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hint="eastAsia" w:ascii="仿宋_GB2312" w:hAnsi="仿宋_GB2312" w:eastAsia="仿宋_GB2312" w:cs="仿宋_GB2312"/>
          <w:color w:val="auto"/>
          <w:sz w:val="36"/>
          <w:szCs w:val="36"/>
        </w:rPr>
      </w:pPr>
    </w:p>
    <w:p>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pPr>
        <w:adjustRightInd w:val="0"/>
        <w:snapToGrid w:val="0"/>
        <w:spacing w:line="288" w:lineRule="auto"/>
        <w:jc w:val="center"/>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288" w:lineRule="auto"/>
        <w:ind w:firstLine="1040"/>
        <w:jc w:val="left"/>
        <w:rPr>
          <w:rFonts w:eastAsia="仿宋"/>
          <w:color w:val="auto"/>
          <w:sz w:val="36"/>
          <w:szCs w:val="36"/>
          <w:u w:val="single"/>
        </w:rPr>
      </w:pPr>
      <w:r>
        <w:rPr>
          <w:rFonts w:eastAsia="仿宋_GB2312"/>
          <w:color w:val="auto"/>
          <w:sz w:val="36"/>
          <w:szCs w:val="36"/>
        </w:rPr>
        <w:t>项目名称：</w:t>
      </w:r>
      <w:r>
        <w:rPr>
          <w:rFonts w:hint="eastAsia" w:eastAsia="仿宋_GB2312"/>
          <w:color w:val="auto"/>
          <w:sz w:val="36"/>
          <w:szCs w:val="36"/>
          <w:u w:val="single"/>
        </w:rPr>
        <w:t xml:space="preserve">    </w:t>
      </w:r>
      <w:r>
        <w:rPr>
          <w:rFonts w:eastAsia="仿宋"/>
          <w:color w:val="auto"/>
          <w:sz w:val="36"/>
          <w:szCs w:val="36"/>
          <w:u w:val="single"/>
        </w:rPr>
        <w:t>合肥晶澳太阳能科技有限公司</w:t>
      </w:r>
      <w:r>
        <w:rPr>
          <w:rFonts w:hint="eastAsia" w:eastAsia="仿宋"/>
          <w:color w:val="auto"/>
          <w:sz w:val="36"/>
          <w:szCs w:val="36"/>
          <w:u w:val="single"/>
        </w:rPr>
        <w:t xml:space="preserve">   </w:t>
      </w:r>
    </w:p>
    <w:p>
      <w:pPr>
        <w:adjustRightInd w:val="0"/>
        <w:snapToGrid w:val="0"/>
        <w:spacing w:line="288" w:lineRule="auto"/>
        <w:ind w:firstLine="2858" w:firstLineChars="794"/>
        <w:jc w:val="left"/>
        <w:rPr>
          <w:rFonts w:eastAsia="仿宋"/>
          <w:color w:val="auto"/>
          <w:sz w:val="36"/>
          <w:szCs w:val="36"/>
          <w:u w:val="single"/>
        </w:rPr>
      </w:pPr>
      <w:r>
        <w:rPr>
          <w:rFonts w:hint="eastAsia" w:eastAsia="仿宋_GB2312"/>
          <w:color w:val="auto"/>
          <w:sz w:val="36"/>
          <w:szCs w:val="36"/>
          <w:u w:val="single"/>
        </w:rPr>
        <w:t xml:space="preserve">       </w:t>
      </w:r>
      <w:r>
        <w:rPr>
          <w:rFonts w:hint="eastAsia" w:eastAsia="仿宋"/>
          <w:color w:val="auto"/>
          <w:sz w:val="36"/>
          <w:szCs w:val="36"/>
          <w:u w:val="single"/>
        </w:rPr>
        <w:t>智慧工厂项目（</w:t>
      </w:r>
      <w:r>
        <w:rPr>
          <w:rFonts w:hint="eastAsia" w:eastAsia="仿宋"/>
          <w:color w:val="auto"/>
          <w:sz w:val="36"/>
          <w:szCs w:val="36"/>
          <w:u w:val="single"/>
          <w:lang w:eastAsia="zh-CN"/>
        </w:rPr>
        <w:t>二</w:t>
      </w:r>
      <w:r>
        <w:rPr>
          <w:rFonts w:hint="eastAsia" w:eastAsia="仿宋"/>
          <w:color w:val="auto"/>
          <w:sz w:val="36"/>
          <w:szCs w:val="36"/>
          <w:u w:val="single"/>
        </w:rPr>
        <w:t xml:space="preserve">期）    </w:t>
      </w:r>
      <w:r>
        <w:rPr>
          <w:rFonts w:hint="eastAsia" w:eastAsia="仿宋"/>
          <w:color w:val="auto"/>
          <w:sz w:val="36"/>
          <w:szCs w:val="36"/>
          <w:u w:val="single"/>
          <w:lang w:val="en-US" w:eastAsia="zh-CN"/>
        </w:rPr>
        <w:t xml:space="preserve"> </w:t>
      </w:r>
      <w:r>
        <w:rPr>
          <w:rFonts w:hint="eastAsia" w:eastAsia="仿宋"/>
          <w:color w:val="auto"/>
          <w:sz w:val="36"/>
          <w:szCs w:val="36"/>
          <w:u w:val="single"/>
        </w:rPr>
        <w:t xml:space="preserve"> </w:t>
      </w:r>
    </w:p>
    <w:p>
      <w:pPr>
        <w:adjustRightInd w:val="0"/>
        <w:snapToGrid w:val="0"/>
        <w:spacing w:line="288" w:lineRule="auto"/>
        <w:ind w:firstLine="1040"/>
        <w:rPr>
          <w:rFonts w:eastAsia="仿宋_GB2312"/>
          <w:color w:val="auto"/>
          <w:sz w:val="36"/>
          <w:szCs w:val="36"/>
          <w:u w:val="single"/>
        </w:rPr>
      </w:pPr>
      <w:r>
        <w:rPr>
          <w:rFonts w:eastAsia="仿宋_GB2312"/>
          <w:color w:val="auto"/>
          <w:sz w:val="36"/>
          <w:szCs w:val="36"/>
        </w:rPr>
        <w:t>建设单位：</w:t>
      </w:r>
      <w:r>
        <w:rPr>
          <w:rFonts w:hint="eastAsia" w:eastAsia="仿宋_GB2312"/>
          <w:color w:val="auto"/>
          <w:sz w:val="36"/>
          <w:szCs w:val="36"/>
          <w:u w:val="single"/>
        </w:rPr>
        <w:t xml:space="preserve">     </w:t>
      </w:r>
      <w:r>
        <w:rPr>
          <w:rFonts w:eastAsia="仿宋"/>
          <w:color w:val="auto"/>
          <w:sz w:val="36"/>
          <w:szCs w:val="36"/>
          <w:u w:val="single"/>
        </w:rPr>
        <w:t>合肥晶澳太阳能科技有限公司</w:t>
      </w:r>
      <w:r>
        <w:rPr>
          <w:rFonts w:hint="eastAsia" w:eastAsia="仿宋"/>
          <w:color w:val="auto"/>
          <w:sz w:val="36"/>
          <w:szCs w:val="36"/>
          <w:u w:val="single"/>
        </w:rPr>
        <w:t xml:space="preserve">  </w:t>
      </w:r>
    </w:p>
    <w:p>
      <w:pPr>
        <w:adjustRightInd w:val="0"/>
        <w:snapToGrid w:val="0"/>
        <w:spacing w:line="288" w:lineRule="auto"/>
        <w:ind w:firstLine="1040"/>
        <w:rPr>
          <w:rFonts w:hint="eastAsia" w:ascii="仿宋_GB2312"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w:t>
      </w:r>
      <w:r>
        <w:rPr>
          <w:rFonts w:hint="eastAsia" w:eastAsia="仿宋_GB2312"/>
          <w:color w:val="auto"/>
          <w:sz w:val="36"/>
          <w:szCs w:val="36"/>
          <w:u w:val="single"/>
        </w:rPr>
        <w:t>2</w:t>
      </w:r>
      <w:r>
        <w:rPr>
          <w:rFonts w:eastAsia="仿宋_GB2312"/>
          <w:color w:val="auto"/>
          <w:sz w:val="36"/>
          <w:szCs w:val="36"/>
          <w:u w:val="single"/>
        </w:rPr>
        <w:t>年</w:t>
      </w:r>
      <w:r>
        <w:rPr>
          <w:rFonts w:hint="eastAsia" w:eastAsia="仿宋_GB2312"/>
          <w:color w:val="auto"/>
          <w:sz w:val="36"/>
          <w:szCs w:val="36"/>
          <w:u w:val="single"/>
        </w:rPr>
        <w:t>1</w:t>
      </w:r>
      <w:r>
        <w:rPr>
          <w:rFonts w:hint="eastAsia" w:eastAsia="仿宋_GB2312"/>
          <w:color w:val="auto"/>
          <w:sz w:val="36"/>
          <w:szCs w:val="36"/>
          <w:u w:val="single"/>
          <w:lang w:val="en-US" w:eastAsia="zh-CN"/>
        </w:rPr>
        <w:t>1</w:t>
      </w:r>
      <w:r>
        <w:rPr>
          <w:rFonts w:eastAsia="仿宋_GB2312"/>
          <w:color w:val="auto"/>
          <w:sz w:val="36"/>
          <w:szCs w:val="36"/>
          <w:u w:val="single"/>
        </w:rPr>
        <w:t xml:space="preserve">月   </w:t>
      </w:r>
      <w:r>
        <w:rPr>
          <w:rFonts w:ascii="仿宋_GB2312" w:eastAsia="仿宋_GB2312"/>
          <w:color w:val="auto"/>
          <w:sz w:val="36"/>
          <w:szCs w:val="36"/>
          <w:u w:val="single"/>
        </w:rPr>
        <w:t xml:space="preserve">         </w:t>
      </w:r>
    </w:p>
    <w:p>
      <w:pPr>
        <w:adjustRightInd w:val="0"/>
        <w:snapToGrid w:val="0"/>
        <w:spacing w:line="288" w:lineRule="auto"/>
        <w:ind w:firstLine="1040"/>
        <w:rPr>
          <w:rFonts w:ascii="仿宋_GB2312" w:eastAsia="仿宋_GB2312"/>
          <w:color w:val="auto"/>
          <w:sz w:val="36"/>
          <w:szCs w:val="36"/>
          <w:u w:val="single"/>
        </w:rPr>
      </w:pPr>
      <w:bookmarkStart w:id="0"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headerReference r:id="rId3" w:type="default"/>
          <w:footerReference r:id="rId4" w:type="default"/>
          <w:footerReference r:id="rId5" w:type="even"/>
          <w:pgSz w:w="11906" w:h="16838"/>
          <w:pgMar w:top="1418" w:right="1418" w:bottom="1418" w:left="1418"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18"/>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一、建设项目基本情况</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97"/>
        <w:gridCol w:w="1284"/>
        <w:gridCol w:w="2038"/>
        <w:gridCol w:w="2212"/>
        <w:gridCol w:w="26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建设项目名称</w:t>
            </w:r>
          </w:p>
        </w:tc>
        <w:tc>
          <w:tcPr>
            <w:tcW w:w="6889" w:type="dxa"/>
            <w:gridSpan w:val="3"/>
            <w:noWrap w:val="0"/>
            <w:vAlign w:val="center"/>
          </w:tcPr>
          <w:p>
            <w:pPr>
              <w:adjustRightInd w:val="0"/>
              <w:snapToGrid w:val="0"/>
              <w:jc w:val="center"/>
              <w:rPr>
                <w:rFonts w:ascii="宋体" w:hAnsi="宋体" w:cs="宋体"/>
                <w:color w:val="auto"/>
                <w:szCs w:val="21"/>
              </w:rPr>
            </w:pPr>
            <w:r>
              <w:rPr>
                <w:color w:val="auto"/>
                <w:szCs w:val="21"/>
              </w:rPr>
              <w:t>合肥晶澳太阳能科技有限公司</w:t>
            </w:r>
            <w:r>
              <w:rPr>
                <w:rFonts w:hint="eastAsia"/>
                <w:color w:val="auto"/>
                <w:szCs w:val="21"/>
              </w:rPr>
              <w:t>智慧工厂项目（</w:t>
            </w:r>
            <w:r>
              <w:rPr>
                <w:rFonts w:hint="eastAsia"/>
                <w:color w:val="auto"/>
                <w:szCs w:val="21"/>
                <w:lang w:eastAsia="zh-CN"/>
              </w:rPr>
              <w:t>二</w:t>
            </w:r>
            <w:r>
              <w:rPr>
                <w:rFonts w:hint="eastAsia"/>
                <w:color w:val="auto"/>
                <w:szCs w:val="21"/>
              </w:rPr>
              <w:t>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项目代码</w:t>
            </w:r>
          </w:p>
        </w:tc>
        <w:tc>
          <w:tcPr>
            <w:tcW w:w="6889" w:type="dxa"/>
            <w:gridSpan w:val="3"/>
            <w:noWrap w:val="0"/>
            <w:vAlign w:val="center"/>
          </w:tcPr>
          <w:p>
            <w:pPr>
              <w:adjustRightInd w:val="0"/>
              <w:snapToGrid w:val="0"/>
              <w:jc w:val="center"/>
              <w:rPr>
                <w:rFonts w:hint="default" w:ascii="宋体" w:hAnsi="宋体" w:eastAsia="宋体" w:cs="宋体"/>
                <w:color w:val="auto"/>
                <w:szCs w:val="21"/>
                <w:lang w:val="en-US" w:eastAsia="zh-CN"/>
              </w:rPr>
            </w:pPr>
            <w:r>
              <w:rPr>
                <w:rFonts w:hint="eastAsia"/>
                <w:color w:val="auto"/>
                <w:szCs w:val="21"/>
              </w:rPr>
              <w:t>2209-340161-04-01-</w:t>
            </w:r>
            <w:r>
              <w:rPr>
                <w:rFonts w:hint="eastAsia"/>
                <w:color w:val="auto"/>
                <w:szCs w:val="21"/>
                <w:lang w:val="en-US" w:eastAsia="zh-CN"/>
              </w:rPr>
              <w:t>633279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建设单位联系人</w:t>
            </w:r>
          </w:p>
        </w:tc>
        <w:tc>
          <w:tcPr>
            <w:tcW w:w="2038" w:type="dxa"/>
            <w:noWrap w:val="0"/>
            <w:vAlign w:val="center"/>
          </w:tcPr>
          <w:p>
            <w:pPr>
              <w:adjustRightInd w:val="0"/>
              <w:snapToGrid w:val="0"/>
              <w:jc w:val="center"/>
              <w:rPr>
                <w:rFonts w:hint="eastAsia" w:ascii="宋体" w:hAnsi="宋体" w:cs="宋体"/>
                <w:color w:val="auto"/>
                <w:szCs w:val="21"/>
              </w:rPr>
            </w:pPr>
            <w:r>
              <w:rPr>
                <w:rFonts w:hint="eastAsia"/>
                <w:color w:val="auto"/>
                <w:kern w:val="0"/>
                <w:szCs w:val="21"/>
              </w:rPr>
              <w:t>徐莉芝</w:t>
            </w:r>
          </w:p>
        </w:tc>
        <w:tc>
          <w:tcPr>
            <w:tcW w:w="2212" w:type="dxa"/>
            <w:noWrap w:val="0"/>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联系方式</w:t>
            </w:r>
          </w:p>
        </w:tc>
        <w:tc>
          <w:tcPr>
            <w:tcW w:w="2639" w:type="dxa"/>
            <w:noWrap w:val="0"/>
            <w:vAlign w:val="center"/>
          </w:tcPr>
          <w:p>
            <w:pPr>
              <w:adjustRightInd w:val="0"/>
              <w:snapToGrid w:val="0"/>
              <w:jc w:val="center"/>
              <w:rPr>
                <w:rFonts w:ascii="宋体" w:hAnsi="宋体" w:cs="宋体"/>
                <w:color w:val="auto"/>
                <w:szCs w:val="21"/>
              </w:rPr>
            </w:pPr>
            <w:r>
              <w:rPr>
                <w:rFonts w:hint="default" w:ascii="Times New Roman" w:hAnsi="Times New Roman" w:cs="Times New Roman"/>
                <w:color w:val="auto"/>
                <w:szCs w:val="21"/>
              </w:rPr>
              <w:t>18096609191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建设地点</w:t>
            </w:r>
          </w:p>
        </w:tc>
        <w:tc>
          <w:tcPr>
            <w:tcW w:w="6889" w:type="dxa"/>
            <w:gridSpan w:val="3"/>
            <w:noWrap w:val="0"/>
            <w:vAlign w:val="center"/>
          </w:tcPr>
          <w:p>
            <w:pPr>
              <w:adjustRightInd w:val="0"/>
              <w:snapToGrid w:val="0"/>
              <w:jc w:val="center"/>
              <w:rPr>
                <w:rFonts w:ascii="宋体" w:hAnsi="宋体" w:cs="宋体"/>
                <w:color w:val="auto"/>
                <w:szCs w:val="21"/>
              </w:rPr>
            </w:pPr>
            <w:r>
              <w:rPr>
                <w:color w:val="auto"/>
                <w:kern w:val="0"/>
                <w:szCs w:val="21"/>
              </w:rPr>
              <w:t>安徽省合肥市高新技术产业开发区长宁大道999号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地理坐标</w:t>
            </w:r>
          </w:p>
        </w:tc>
        <w:tc>
          <w:tcPr>
            <w:tcW w:w="6889" w:type="dxa"/>
            <w:gridSpan w:val="3"/>
            <w:noWrap w:val="0"/>
            <w:vAlign w:val="center"/>
          </w:tcPr>
          <w:p>
            <w:pPr>
              <w:jc w:val="center"/>
              <w:rPr>
                <w:rFonts w:hint="eastAsia" w:ascii="宋体" w:hAnsi="宋体" w:cs="宋体"/>
                <w:color w:val="auto"/>
                <w:szCs w:val="21"/>
              </w:rPr>
            </w:pPr>
            <w:r>
              <w:rPr>
                <w:rFonts w:hint="eastAsia"/>
                <w:color w:val="auto"/>
                <w:szCs w:val="21"/>
              </w:rPr>
              <w:t>经度</w:t>
            </w:r>
            <w:r>
              <w:rPr>
                <w:rFonts w:hint="eastAsia"/>
                <w:color w:val="auto"/>
                <w:szCs w:val="21"/>
                <w:u w:val="single"/>
              </w:rPr>
              <w:t>：</w:t>
            </w:r>
            <w:r>
              <w:rPr>
                <w:color w:val="auto"/>
                <w:szCs w:val="21"/>
                <w:u w:val="single"/>
              </w:rPr>
              <w:t>117</w:t>
            </w:r>
            <w:r>
              <w:rPr>
                <w:color w:val="auto"/>
                <w:szCs w:val="21"/>
              </w:rPr>
              <w:t>度</w:t>
            </w:r>
            <w:r>
              <w:rPr>
                <w:rFonts w:hint="eastAsia"/>
                <w:color w:val="auto"/>
                <w:szCs w:val="21"/>
                <w:u w:val="single"/>
              </w:rPr>
              <w:t>6</w:t>
            </w:r>
            <w:r>
              <w:rPr>
                <w:color w:val="auto"/>
                <w:szCs w:val="21"/>
              </w:rPr>
              <w:t>分</w:t>
            </w:r>
            <w:r>
              <w:rPr>
                <w:rFonts w:hint="eastAsia"/>
                <w:color w:val="auto"/>
                <w:szCs w:val="21"/>
                <w:u w:val="single"/>
              </w:rPr>
              <w:t>41.836</w:t>
            </w:r>
            <w:r>
              <w:rPr>
                <w:color w:val="auto"/>
                <w:szCs w:val="21"/>
              </w:rPr>
              <w:t>秒，</w:t>
            </w:r>
            <w:r>
              <w:rPr>
                <w:rFonts w:hint="eastAsia"/>
                <w:color w:val="auto"/>
                <w:szCs w:val="21"/>
              </w:rPr>
              <w:t>纬度：</w:t>
            </w:r>
            <w:r>
              <w:rPr>
                <w:color w:val="auto"/>
                <w:szCs w:val="21"/>
              </w:rPr>
              <w:t>31度</w:t>
            </w:r>
            <w:r>
              <w:rPr>
                <w:rFonts w:hint="eastAsia"/>
                <w:color w:val="auto"/>
                <w:szCs w:val="21"/>
                <w:u w:val="single"/>
              </w:rPr>
              <w:t>48</w:t>
            </w:r>
            <w:r>
              <w:rPr>
                <w:color w:val="auto"/>
                <w:szCs w:val="21"/>
              </w:rPr>
              <w:t>分</w:t>
            </w:r>
            <w:r>
              <w:rPr>
                <w:rFonts w:hint="eastAsia"/>
                <w:color w:val="auto"/>
                <w:szCs w:val="21"/>
                <w:u w:val="single"/>
              </w:rPr>
              <w:t>32.665</w:t>
            </w:r>
            <w:r>
              <w:rPr>
                <w:color w:val="auto"/>
                <w:szCs w:val="21"/>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981" w:type="dxa"/>
            <w:gridSpan w:val="2"/>
            <w:noWrap w:val="0"/>
            <w:tcMar>
              <w:top w:w="16" w:type="dxa"/>
              <w:left w:w="16" w:type="dxa"/>
              <w:right w:w="16" w:type="dxa"/>
            </w:tcMar>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国民经济</w:t>
            </w:r>
          </w:p>
          <w:p>
            <w:pPr>
              <w:adjustRightInd w:val="0"/>
              <w:snapToGrid w:val="0"/>
              <w:jc w:val="center"/>
              <w:rPr>
                <w:rFonts w:ascii="宋体" w:hAnsi="宋体" w:cs="宋体"/>
                <w:b/>
                <w:color w:val="auto"/>
                <w:szCs w:val="21"/>
              </w:rPr>
            </w:pPr>
            <w:r>
              <w:rPr>
                <w:rFonts w:hint="eastAsia" w:ascii="宋体" w:hAnsi="宋体" w:cs="宋体"/>
                <w:b/>
                <w:color w:val="auto"/>
                <w:szCs w:val="21"/>
              </w:rPr>
              <w:t>行业类别</w:t>
            </w:r>
          </w:p>
        </w:tc>
        <w:tc>
          <w:tcPr>
            <w:tcW w:w="2038" w:type="dxa"/>
            <w:noWrap w:val="0"/>
            <w:vAlign w:val="center"/>
          </w:tcPr>
          <w:p>
            <w:pPr>
              <w:adjustRightInd w:val="0"/>
              <w:snapToGrid w:val="0"/>
              <w:jc w:val="center"/>
              <w:rPr>
                <w:rFonts w:ascii="宋体" w:hAnsi="宋体" w:cs="宋体"/>
                <w:color w:val="auto"/>
                <w:szCs w:val="21"/>
              </w:rPr>
            </w:pPr>
            <w:r>
              <w:rPr>
                <w:bCs/>
                <w:color w:val="auto"/>
                <w:szCs w:val="21"/>
              </w:rPr>
              <w:t>光伏设备及元器件制造</w:t>
            </w:r>
            <w:r>
              <w:rPr>
                <w:rFonts w:hint="eastAsia"/>
                <w:bCs/>
                <w:color w:val="auto"/>
                <w:szCs w:val="21"/>
              </w:rPr>
              <w:t xml:space="preserve"> </w:t>
            </w:r>
            <w:r>
              <w:rPr>
                <w:bCs/>
                <w:color w:val="auto"/>
                <w:szCs w:val="21"/>
              </w:rPr>
              <w:t>C3825</w:t>
            </w:r>
          </w:p>
        </w:tc>
        <w:tc>
          <w:tcPr>
            <w:tcW w:w="2212" w:type="dxa"/>
            <w:noWrap w:val="0"/>
            <w:vAlign w:val="center"/>
          </w:tcPr>
          <w:p>
            <w:pPr>
              <w:adjustRightInd w:val="0"/>
              <w:snapToGrid w:val="0"/>
              <w:jc w:val="center"/>
              <w:rPr>
                <w:rFonts w:hint="default" w:ascii="Times New Roman" w:hAnsi="Times New Roman" w:cs="Times New Roman"/>
                <w:b/>
                <w:color w:val="auto"/>
                <w:szCs w:val="21"/>
              </w:rPr>
            </w:pPr>
            <w:bookmarkStart w:id="1" w:name="_Hlk49843745"/>
            <w:r>
              <w:rPr>
                <w:rFonts w:hint="default" w:ascii="Times New Roman" w:hAnsi="Times New Roman" w:cs="Times New Roman"/>
                <w:b/>
                <w:color w:val="auto"/>
                <w:szCs w:val="21"/>
              </w:rPr>
              <w:t>建设项目</w:t>
            </w:r>
          </w:p>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color w:val="auto"/>
                <w:szCs w:val="21"/>
              </w:rPr>
              <w:t>行业类别</w:t>
            </w:r>
            <w:bookmarkEnd w:id="1"/>
          </w:p>
        </w:tc>
        <w:tc>
          <w:tcPr>
            <w:tcW w:w="2639" w:type="dxa"/>
            <w:noWrap w:val="0"/>
            <w:vAlign w:val="center"/>
          </w:tcPr>
          <w:p>
            <w:pPr>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三十五、电气机械和器材制造业-77输配电及控制设备制造382中“其他（仅分割、焊接、组装的除外；年用非溶剂型低VOCs含量涂料10吨以下的除外）”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建设性质</w:t>
            </w:r>
          </w:p>
        </w:tc>
        <w:tc>
          <w:tcPr>
            <w:tcW w:w="2038" w:type="dxa"/>
            <w:noWrap w:val="0"/>
            <w:vAlign w:val="center"/>
          </w:tcPr>
          <w:p>
            <w:pPr>
              <w:jc w:val="left"/>
              <w:rPr>
                <w:rFonts w:ascii="宋体" w:hAnsi="宋体" w:cs="宋体"/>
                <w:color w:val="auto"/>
                <w:szCs w:val="21"/>
              </w:rPr>
            </w:pPr>
            <w:r>
              <w:rPr>
                <w:rFonts w:hint="eastAsia" w:ascii="宋体" w:hAnsi="宋体" w:cs="宋体"/>
                <w:color w:val="auto"/>
                <w:szCs w:val="21"/>
              </w:rPr>
              <w:t>□新建（迁建）</w:t>
            </w:r>
          </w:p>
          <w:p>
            <w:pPr>
              <w:jc w:val="left"/>
              <w:rPr>
                <w:rFonts w:hint="eastAsia"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改建</w:t>
            </w:r>
          </w:p>
          <w:p>
            <w:pPr>
              <w:jc w:val="left"/>
              <w:rPr>
                <w:rFonts w:hint="eastAsia"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扩建</w:t>
            </w:r>
          </w:p>
          <w:p>
            <w:pPr>
              <w:jc w:val="left"/>
              <w:rPr>
                <w:rFonts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技术改造</w:t>
            </w:r>
          </w:p>
        </w:tc>
        <w:tc>
          <w:tcPr>
            <w:tcW w:w="2212"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建设项目</w:t>
            </w:r>
          </w:p>
          <w:p>
            <w:pPr>
              <w:adjustRightInd w:val="0"/>
              <w:snapToGrid w:val="0"/>
              <w:jc w:val="center"/>
              <w:rPr>
                <w:rFonts w:ascii="宋体" w:hAnsi="宋体" w:cs="宋体"/>
                <w:color w:val="auto"/>
                <w:szCs w:val="21"/>
              </w:rPr>
            </w:pPr>
            <w:r>
              <w:rPr>
                <w:rFonts w:hint="eastAsia" w:ascii="宋体" w:hAnsi="宋体" w:cs="宋体"/>
                <w:b/>
                <w:color w:val="auto"/>
                <w:szCs w:val="21"/>
              </w:rPr>
              <w:t>申报情形</w:t>
            </w:r>
          </w:p>
        </w:tc>
        <w:tc>
          <w:tcPr>
            <w:tcW w:w="2639" w:type="dxa"/>
            <w:noWrap w:val="0"/>
            <w:vAlign w:val="center"/>
          </w:tcPr>
          <w:p>
            <w:pPr>
              <w:jc w:val="left"/>
              <w:rPr>
                <w:rFonts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首次申报项目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t>□不予批准后再次申报项目</w:t>
            </w:r>
          </w:p>
          <w:p>
            <w:pPr>
              <w:jc w:val="left"/>
              <w:rPr>
                <w:rFonts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超五年重新审核项目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981" w:type="dxa"/>
            <w:gridSpan w:val="2"/>
            <w:noWrap w:val="0"/>
            <w:tcMar>
              <w:top w:w="16" w:type="dxa"/>
              <w:left w:w="16" w:type="dxa"/>
              <w:right w:w="16" w:type="dxa"/>
            </w:tcMar>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项目审批（核准</w:t>
            </w:r>
            <w:r>
              <w:rPr>
                <w:rFonts w:ascii="宋体" w:hAnsi="宋体" w:cs="宋体"/>
                <w:b/>
                <w:color w:val="auto"/>
                <w:szCs w:val="21"/>
              </w:rPr>
              <w:t>/</w:t>
            </w:r>
          </w:p>
          <w:p>
            <w:pPr>
              <w:adjustRightInd w:val="0"/>
              <w:snapToGrid w:val="0"/>
              <w:jc w:val="center"/>
              <w:rPr>
                <w:rFonts w:ascii="宋体" w:hAnsi="宋体" w:cs="宋体"/>
                <w:b/>
                <w:color w:val="auto"/>
                <w:szCs w:val="21"/>
              </w:rPr>
            </w:pPr>
            <w:r>
              <w:rPr>
                <w:rFonts w:hint="eastAsia" w:ascii="宋体" w:hAnsi="宋体" w:cs="宋体"/>
                <w:b/>
                <w:color w:val="auto"/>
                <w:szCs w:val="21"/>
              </w:rPr>
              <w:t>备案）部门（选填）</w:t>
            </w:r>
          </w:p>
        </w:tc>
        <w:tc>
          <w:tcPr>
            <w:tcW w:w="2038"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合肥市高新技术产业开发区经济贸易局</w:t>
            </w:r>
          </w:p>
        </w:tc>
        <w:tc>
          <w:tcPr>
            <w:tcW w:w="2212" w:type="dxa"/>
            <w:noWrap w:val="0"/>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项目审批（核准</w:t>
            </w:r>
            <w:r>
              <w:rPr>
                <w:rFonts w:ascii="宋体" w:hAnsi="宋体" w:cs="宋体"/>
                <w:b/>
                <w:color w:val="auto"/>
                <w:szCs w:val="21"/>
              </w:rPr>
              <w:t>/</w:t>
            </w:r>
          </w:p>
          <w:p>
            <w:pPr>
              <w:adjustRightInd w:val="0"/>
              <w:snapToGrid w:val="0"/>
              <w:jc w:val="center"/>
              <w:rPr>
                <w:rFonts w:hint="eastAsia" w:ascii="宋体" w:hAnsi="宋体" w:cs="宋体"/>
                <w:color w:val="auto"/>
                <w:szCs w:val="21"/>
              </w:rPr>
            </w:pPr>
            <w:r>
              <w:rPr>
                <w:rFonts w:hint="eastAsia" w:ascii="宋体" w:hAnsi="宋体" w:cs="宋体"/>
                <w:b/>
                <w:color w:val="auto"/>
                <w:szCs w:val="21"/>
              </w:rPr>
              <w:t>备案）文号（选填）</w:t>
            </w:r>
          </w:p>
        </w:tc>
        <w:tc>
          <w:tcPr>
            <w:tcW w:w="2639" w:type="dxa"/>
            <w:noWrap w:val="0"/>
            <w:vAlign w:val="center"/>
          </w:tcPr>
          <w:p>
            <w:pPr>
              <w:adjustRightInd w:val="0"/>
              <w:snapToGrid w:val="0"/>
              <w:jc w:val="center"/>
              <w:rPr>
                <w:rFonts w:hint="eastAsia" w:ascii="宋体" w:hAnsi="宋体" w:cs="宋体"/>
                <w:color w:val="auto"/>
                <w:szCs w:val="21"/>
              </w:rPr>
            </w:pPr>
            <w:r>
              <w:rPr>
                <w:rFonts w:hint="eastAsia" w:ascii="宋体" w:hAnsi="宋体" w:cs="宋体"/>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总投资（万元）</w:t>
            </w:r>
          </w:p>
        </w:tc>
        <w:tc>
          <w:tcPr>
            <w:tcW w:w="2038"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50982.5</w:t>
            </w:r>
          </w:p>
        </w:tc>
        <w:tc>
          <w:tcPr>
            <w:tcW w:w="2212" w:type="dxa"/>
            <w:noWrap w:val="0"/>
            <w:tcMar>
              <w:top w:w="16" w:type="dxa"/>
              <w:left w:w="16" w:type="dxa"/>
              <w:right w:w="16" w:type="dxa"/>
            </w:tcMar>
            <w:vAlign w:val="center"/>
          </w:tcPr>
          <w:p>
            <w:pPr>
              <w:adjustRightInd w:val="0"/>
              <w:snapToGrid w:val="0"/>
              <w:jc w:val="center"/>
              <w:rPr>
                <w:b/>
                <w:color w:val="auto"/>
                <w:szCs w:val="21"/>
              </w:rPr>
            </w:pPr>
            <w:r>
              <w:rPr>
                <w:b/>
                <w:color w:val="auto"/>
                <w:szCs w:val="21"/>
              </w:rPr>
              <w:t>环保投资（万元）</w:t>
            </w:r>
          </w:p>
        </w:tc>
        <w:tc>
          <w:tcPr>
            <w:tcW w:w="2639" w:type="dxa"/>
            <w:noWrap w:val="0"/>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466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环保投资占比（</w:t>
            </w:r>
            <w:r>
              <w:rPr>
                <w:rFonts w:ascii="宋体" w:hAnsi="宋体" w:cs="宋体"/>
                <w:b/>
                <w:color w:val="auto"/>
                <w:szCs w:val="21"/>
              </w:rPr>
              <w:t>%</w:t>
            </w:r>
            <w:r>
              <w:rPr>
                <w:rFonts w:hint="eastAsia" w:ascii="宋体" w:hAnsi="宋体" w:cs="宋体"/>
                <w:b/>
                <w:color w:val="auto"/>
                <w:szCs w:val="21"/>
              </w:rPr>
              <w:t>）</w:t>
            </w:r>
          </w:p>
        </w:tc>
        <w:tc>
          <w:tcPr>
            <w:tcW w:w="2038" w:type="dxa"/>
            <w:noWrap w:val="0"/>
            <w:vAlign w:val="center"/>
          </w:tcPr>
          <w:p>
            <w:pPr>
              <w:adjustRightInd w:val="0"/>
              <w:snapToGrid w:val="0"/>
              <w:jc w:val="center"/>
              <w:rPr>
                <w:rFonts w:hint="default"/>
                <w:color w:val="auto"/>
                <w:szCs w:val="21"/>
                <w:lang w:val="en-US"/>
              </w:rPr>
            </w:pPr>
            <w:r>
              <w:rPr>
                <w:rFonts w:hint="eastAsia"/>
                <w:color w:val="auto"/>
                <w:szCs w:val="21"/>
                <w:lang w:val="en-US" w:eastAsia="zh-CN"/>
              </w:rPr>
              <w:t>0.91%</w:t>
            </w:r>
          </w:p>
        </w:tc>
        <w:tc>
          <w:tcPr>
            <w:tcW w:w="2212" w:type="dxa"/>
            <w:noWrap w:val="0"/>
            <w:tcMar>
              <w:top w:w="16" w:type="dxa"/>
              <w:left w:w="16" w:type="dxa"/>
              <w:right w:w="16" w:type="dxa"/>
            </w:tcMar>
            <w:vAlign w:val="center"/>
          </w:tcPr>
          <w:p>
            <w:pPr>
              <w:adjustRightInd w:val="0"/>
              <w:snapToGrid w:val="0"/>
              <w:jc w:val="center"/>
              <w:rPr>
                <w:b/>
                <w:color w:val="auto"/>
                <w:szCs w:val="21"/>
              </w:rPr>
            </w:pPr>
            <w:r>
              <w:rPr>
                <w:b/>
                <w:color w:val="auto"/>
                <w:szCs w:val="21"/>
              </w:rPr>
              <w:t>施工工期</w:t>
            </w:r>
          </w:p>
        </w:tc>
        <w:tc>
          <w:tcPr>
            <w:tcW w:w="2639" w:type="dxa"/>
            <w:noWrap w:val="0"/>
            <w:vAlign w:val="center"/>
          </w:tcPr>
          <w:p>
            <w:pPr>
              <w:adjustRightInd w:val="0"/>
              <w:snapToGrid w:val="0"/>
              <w:jc w:val="center"/>
              <w:rPr>
                <w:color w:val="auto"/>
                <w:szCs w:val="21"/>
              </w:rPr>
            </w:pPr>
            <w:r>
              <w:rPr>
                <w:rFonts w:hint="eastAsia"/>
                <w:color w:val="auto"/>
                <w:szCs w:val="21"/>
                <w:lang w:val="en-US" w:eastAsia="zh-CN"/>
              </w:rPr>
              <w:t>6</w:t>
            </w:r>
            <w:r>
              <w:rPr>
                <w:color w:val="auto"/>
                <w:szCs w:val="21"/>
              </w:rPr>
              <w:t>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981" w:type="dxa"/>
            <w:gridSpan w:val="2"/>
            <w:noWrap w:val="0"/>
            <w:tcMar>
              <w:top w:w="16" w:type="dxa"/>
              <w:left w:w="16" w:type="dxa"/>
              <w:right w:w="16" w:type="dxa"/>
            </w:tcMar>
            <w:vAlign w:val="center"/>
          </w:tcPr>
          <w:p>
            <w:pPr>
              <w:adjustRightInd w:val="0"/>
              <w:snapToGrid w:val="0"/>
              <w:jc w:val="center"/>
              <w:rPr>
                <w:rFonts w:hint="eastAsia" w:ascii="宋体" w:hAnsi="宋体" w:cs="宋体"/>
                <w:b/>
                <w:color w:val="auto"/>
                <w:szCs w:val="21"/>
              </w:rPr>
            </w:pPr>
            <w:r>
              <w:rPr>
                <w:rFonts w:hint="eastAsia" w:ascii="宋体" w:hAnsi="宋体" w:cs="宋体"/>
                <w:b/>
                <w:color w:val="auto"/>
                <w:szCs w:val="21"/>
              </w:rPr>
              <w:t>是否开工建设</w:t>
            </w:r>
          </w:p>
        </w:tc>
        <w:tc>
          <w:tcPr>
            <w:tcW w:w="2038" w:type="dxa"/>
            <w:noWrap w:val="0"/>
            <w:vAlign w:val="center"/>
          </w:tcPr>
          <w:p>
            <w:pPr>
              <w:adjustRightInd w:val="0"/>
              <w:snapToGrid w:val="0"/>
              <w:rPr>
                <w:rFonts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否</w:t>
            </w:r>
          </w:p>
          <w:p>
            <w:pPr>
              <w:adjustRightInd w:val="0"/>
              <w:snapToGrid w:val="0"/>
              <w:rPr>
                <w:rFonts w:ascii="宋体" w:hAnsi="宋体" w:cs="宋体"/>
                <w:color w:val="auto"/>
                <w:szCs w:val="21"/>
              </w:rPr>
            </w:pPr>
            <w:r>
              <w:rPr>
                <w:rFonts w:hint="eastAsia" w:ascii="宋体" w:hAnsi="宋体" w:cs="宋体"/>
                <w:color w:val="auto"/>
                <w:szCs w:val="21"/>
              </w:rPr>
              <w:sym w:font="Wingdings 2" w:char="00A3"/>
            </w:r>
            <w:r>
              <w:rPr>
                <w:rFonts w:hint="eastAsia" w:ascii="宋体" w:hAnsi="宋体" w:cs="宋体"/>
                <w:color w:val="auto"/>
                <w:szCs w:val="21"/>
              </w:rPr>
              <w:t>是：</w:t>
            </w:r>
            <w:r>
              <w:rPr>
                <w:rFonts w:hint="eastAsia" w:ascii="宋体" w:hAnsi="宋体" w:cs="宋体"/>
                <w:color w:val="auto"/>
                <w:szCs w:val="21"/>
                <w:u w:val="single"/>
              </w:rPr>
              <w:t xml:space="preserve">             </w:t>
            </w:r>
          </w:p>
        </w:tc>
        <w:tc>
          <w:tcPr>
            <w:tcW w:w="2212" w:type="dxa"/>
            <w:noWrap w:val="0"/>
            <w:tcMar>
              <w:top w:w="16" w:type="dxa"/>
              <w:left w:w="16" w:type="dxa"/>
              <w:right w:w="16" w:type="dxa"/>
            </w:tcMar>
            <w:vAlign w:val="center"/>
          </w:tcPr>
          <w:p>
            <w:pPr>
              <w:adjustRightInd w:val="0"/>
              <w:snapToGrid w:val="0"/>
              <w:jc w:val="center"/>
              <w:rPr>
                <w:rFonts w:ascii="宋体" w:hAnsi="宋体" w:cs="宋体"/>
                <w:b/>
                <w:color w:val="auto"/>
                <w:spacing w:val="-6"/>
                <w:szCs w:val="21"/>
              </w:rPr>
            </w:pPr>
            <w:r>
              <w:rPr>
                <w:rFonts w:hint="eastAsia" w:ascii="宋体" w:hAnsi="宋体" w:cs="宋体"/>
                <w:b/>
                <w:color w:val="auto"/>
                <w:spacing w:val="-6"/>
                <w:szCs w:val="21"/>
              </w:rPr>
              <w:t>用地（用海）</w:t>
            </w:r>
          </w:p>
          <w:p>
            <w:pPr>
              <w:adjustRightInd w:val="0"/>
              <w:snapToGrid w:val="0"/>
              <w:jc w:val="center"/>
              <w:rPr>
                <w:rFonts w:hint="eastAsia" w:ascii="宋体" w:hAnsi="宋体" w:cs="宋体"/>
                <w:color w:val="auto"/>
                <w:szCs w:val="21"/>
              </w:rPr>
            </w:pPr>
            <w:r>
              <w:rPr>
                <w:rFonts w:hint="eastAsia" w:ascii="宋体" w:hAnsi="宋体" w:cs="宋体"/>
                <w:b/>
                <w:color w:val="auto"/>
                <w:spacing w:val="-6"/>
                <w:szCs w:val="21"/>
              </w:rPr>
              <w:t>面积</w:t>
            </w:r>
            <w:r>
              <w:rPr>
                <w:b/>
                <w:color w:val="auto"/>
                <w:spacing w:val="-6"/>
                <w:szCs w:val="21"/>
              </w:rPr>
              <w:t>（m</w:t>
            </w:r>
            <w:r>
              <w:rPr>
                <w:b/>
                <w:color w:val="auto"/>
                <w:spacing w:val="-6"/>
                <w:szCs w:val="21"/>
                <w:vertAlign w:val="superscript"/>
              </w:rPr>
              <w:t>2</w:t>
            </w:r>
            <w:r>
              <w:rPr>
                <w:b/>
                <w:color w:val="auto"/>
                <w:spacing w:val="-6"/>
                <w:szCs w:val="21"/>
              </w:rPr>
              <w:t>）</w:t>
            </w:r>
          </w:p>
        </w:tc>
        <w:tc>
          <w:tcPr>
            <w:tcW w:w="2639" w:type="dxa"/>
            <w:noWrap w:val="0"/>
            <w:vAlign w:val="center"/>
          </w:tcPr>
          <w:p>
            <w:pPr>
              <w:adjustRightInd w:val="0"/>
              <w:snapToGrid w:val="0"/>
              <w:jc w:val="center"/>
              <w:rPr>
                <w:rFonts w:ascii="宋体" w:hAnsi="宋体" w:cs="宋体"/>
                <w:color w:val="auto"/>
                <w:szCs w:val="21"/>
              </w:rPr>
            </w:pPr>
            <w:r>
              <w:rPr>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981" w:type="dxa"/>
            <w:gridSpan w:val="2"/>
            <w:noWrap w:val="0"/>
            <w:vAlign w:val="center"/>
          </w:tcPr>
          <w:p>
            <w:pPr>
              <w:autoSpaceDE w:val="0"/>
              <w:autoSpaceDN w:val="0"/>
              <w:adjustRightInd w:val="0"/>
              <w:snapToGrid w:val="0"/>
              <w:jc w:val="center"/>
              <w:rPr>
                <w:rFonts w:ascii="宋体" w:hAnsi="宋体" w:cs="宋体"/>
                <w:b/>
                <w:color w:val="auto"/>
                <w:kern w:val="0"/>
                <w:szCs w:val="21"/>
              </w:rPr>
            </w:pPr>
            <w:r>
              <w:rPr>
                <w:rFonts w:hint="eastAsia" w:ascii="宋体" w:hAnsi="宋体" w:cs="宋体"/>
                <w:b/>
                <w:color w:val="auto"/>
                <w:kern w:val="0"/>
                <w:szCs w:val="21"/>
              </w:rPr>
              <w:t>专项评价设置情况</w:t>
            </w:r>
          </w:p>
        </w:tc>
        <w:tc>
          <w:tcPr>
            <w:tcW w:w="6889" w:type="dxa"/>
            <w:gridSpan w:val="3"/>
            <w:noWrap w:val="0"/>
            <w:vAlign w:val="center"/>
          </w:tcPr>
          <w:p>
            <w:pPr>
              <w:autoSpaceDE w:val="0"/>
              <w:autoSpaceDN w:val="0"/>
              <w:adjustRightInd w:val="0"/>
              <w:snapToGrid w:val="0"/>
              <w:jc w:val="center"/>
              <w:rPr>
                <w:rFonts w:hint="eastAsia" w:ascii="宋体" w:hAnsi="宋体" w:cs="宋体"/>
                <w:color w:val="auto"/>
                <w:kern w:val="0"/>
                <w:sz w:val="24"/>
              </w:rPr>
            </w:pPr>
            <w:r>
              <w:rPr>
                <w:rFonts w:hint="eastAsia" w:ascii="宋体" w:hAnsi="宋体" w:cs="宋体"/>
                <w:color w:val="auto"/>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97" w:type="dxa"/>
            <w:noWrap w:val="0"/>
            <w:vAlign w:val="center"/>
          </w:tcPr>
          <w:p>
            <w:pPr>
              <w:autoSpaceDE w:val="0"/>
              <w:autoSpaceDN w:val="0"/>
              <w:adjustRightInd w:val="0"/>
              <w:snapToGrid w:val="0"/>
              <w:jc w:val="center"/>
              <w:rPr>
                <w:rFonts w:hint="eastAsia" w:ascii="宋体" w:hAnsi="宋体" w:cs="宋体"/>
                <w:b/>
                <w:color w:val="auto"/>
                <w:kern w:val="0"/>
                <w:szCs w:val="21"/>
              </w:rPr>
            </w:pPr>
            <w:r>
              <w:rPr>
                <w:rFonts w:hint="eastAsia" w:ascii="宋体" w:hAnsi="宋体" w:cs="宋体"/>
                <w:b/>
                <w:color w:val="auto"/>
                <w:szCs w:val="21"/>
              </w:rPr>
              <w:t>规划情况</w:t>
            </w:r>
          </w:p>
        </w:tc>
        <w:tc>
          <w:tcPr>
            <w:tcW w:w="8173" w:type="dxa"/>
            <w:gridSpan w:val="4"/>
            <w:noWrap w:val="0"/>
            <w:vAlign w:val="center"/>
          </w:tcPr>
          <w:p>
            <w:pPr>
              <w:pStyle w:val="10"/>
              <w:spacing w:line="360" w:lineRule="auto"/>
              <w:rPr>
                <w:color w:val="auto"/>
                <w:kern w:val="2"/>
                <w:sz w:val="24"/>
                <w:szCs w:val="24"/>
              </w:rPr>
            </w:pPr>
            <w:r>
              <w:rPr>
                <w:b/>
                <w:bCs/>
                <w:color w:val="auto"/>
                <w:kern w:val="2"/>
                <w:szCs w:val="24"/>
              </w:rPr>
              <w:t>规划名称</w:t>
            </w:r>
            <w:r>
              <w:rPr>
                <w:b/>
                <w:bCs/>
                <w:color w:val="auto"/>
                <w:kern w:val="2"/>
                <w:sz w:val="24"/>
                <w:szCs w:val="24"/>
              </w:rPr>
              <w:t>：</w:t>
            </w:r>
            <w:r>
              <w:rPr>
                <w:color w:val="auto"/>
                <w:kern w:val="2"/>
                <w:sz w:val="24"/>
                <w:szCs w:val="24"/>
              </w:rPr>
              <w:t>《合肥市城市近期建设规划（2016-2020年）》</w:t>
            </w:r>
          </w:p>
          <w:p>
            <w:pPr>
              <w:pStyle w:val="10"/>
              <w:spacing w:line="360" w:lineRule="auto"/>
              <w:rPr>
                <w:color w:val="auto"/>
                <w:kern w:val="2"/>
                <w:sz w:val="24"/>
                <w:szCs w:val="24"/>
              </w:rPr>
            </w:pPr>
            <w:r>
              <w:rPr>
                <w:b/>
                <w:bCs/>
                <w:color w:val="auto"/>
                <w:kern w:val="2"/>
                <w:sz w:val="24"/>
                <w:szCs w:val="24"/>
              </w:rPr>
              <w:t>审批机关：</w:t>
            </w:r>
            <w:r>
              <w:rPr>
                <w:color w:val="auto"/>
                <w:kern w:val="2"/>
                <w:sz w:val="24"/>
                <w:szCs w:val="24"/>
              </w:rPr>
              <w:t>合肥市人民政府</w:t>
            </w:r>
          </w:p>
          <w:p>
            <w:pPr>
              <w:autoSpaceDE w:val="0"/>
              <w:autoSpaceDN w:val="0"/>
              <w:adjustRightInd w:val="0"/>
              <w:snapToGrid w:val="0"/>
              <w:spacing w:line="360" w:lineRule="auto"/>
              <w:jc w:val="left"/>
              <w:rPr>
                <w:rFonts w:hint="eastAsia" w:ascii="宋体" w:hAnsi="宋体" w:cs="宋体"/>
                <w:color w:val="auto"/>
                <w:kern w:val="0"/>
                <w:sz w:val="24"/>
              </w:rPr>
            </w:pPr>
            <w:r>
              <w:rPr>
                <w:b/>
                <w:bCs/>
                <w:color w:val="auto"/>
                <w:sz w:val="24"/>
                <w:szCs w:val="24"/>
              </w:rPr>
              <w:t>审批文件名称及文号：</w:t>
            </w:r>
            <w:r>
              <w:rPr>
                <w:color w:val="auto"/>
                <w:sz w:val="24"/>
                <w:szCs w:val="24"/>
              </w:rPr>
              <w:t>《合肥市人民政府关于《合肥市城市近期建设规划（2016-2020年）》的批复》（合政秘[2017]5号）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atLeast"/>
          <w:jc w:val="center"/>
        </w:trPr>
        <w:tc>
          <w:tcPr>
            <w:tcW w:w="697" w:type="dxa"/>
            <w:noWrap w:val="0"/>
            <w:vAlign w:val="center"/>
          </w:tcPr>
          <w:p>
            <w:pPr>
              <w:adjustRightInd w:val="0"/>
              <w:snapToGrid w:val="0"/>
              <w:jc w:val="center"/>
              <w:rPr>
                <w:rFonts w:ascii="宋体" w:hAnsi="宋体" w:cs="宋体"/>
                <w:b/>
                <w:color w:val="auto"/>
                <w:szCs w:val="21"/>
              </w:rPr>
            </w:pPr>
            <w:r>
              <w:rPr>
                <w:rFonts w:hint="eastAsia" w:ascii="宋体" w:hAnsi="宋体" w:cs="宋体"/>
                <w:b/>
                <w:color w:val="auto"/>
                <w:szCs w:val="21"/>
              </w:rPr>
              <w:t>规划环境影响</w:t>
            </w:r>
          </w:p>
          <w:p>
            <w:pPr>
              <w:adjustRightInd w:val="0"/>
              <w:snapToGrid w:val="0"/>
              <w:jc w:val="center"/>
              <w:rPr>
                <w:rFonts w:hint="eastAsia" w:ascii="宋体" w:hAnsi="宋体" w:cs="宋体"/>
                <w:b/>
                <w:color w:val="auto"/>
                <w:kern w:val="0"/>
                <w:szCs w:val="21"/>
              </w:rPr>
            </w:pPr>
            <w:r>
              <w:rPr>
                <w:rFonts w:hint="eastAsia" w:ascii="宋体" w:hAnsi="宋体" w:cs="宋体"/>
                <w:b/>
                <w:color w:val="auto"/>
                <w:szCs w:val="21"/>
              </w:rPr>
              <w:t>评价情况</w:t>
            </w:r>
          </w:p>
        </w:tc>
        <w:tc>
          <w:tcPr>
            <w:tcW w:w="8173" w:type="dxa"/>
            <w:gridSpan w:val="4"/>
            <w:noWrap w:val="0"/>
            <w:vAlign w:val="center"/>
          </w:tcPr>
          <w:p>
            <w:pPr>
              <w:autoSpaceDE w:val="0"/>
              <w:autoSpaceDN w:val="0"/>
              <w:adjustRightInd w:val="0"/>
              <w:snapToGrid w:val="0"/>
              <w:spacing w:line="360" w:lineRule="auto"/>
              <w:rPr>
                <w:color w:val="auto"/>
                <w:kern w:val="0"/>
                <w:sz w:val="24"/>
              </w:rPr>
            </w:pPr>
            <w:r>
              <w:rPr>
                <w:b/>
                <w:bCs/>
                <w:color w:val="auto"/>
                <w:kern w:val="0"/>
                <w:sz w:val="24"/>
              </w:rPr>
              <w:t>1、规划环境影响评价名称：</w:t>
            </w:r>
            <w:r>
              <w:rPr>
                <w:color w:val="auto"/>
                <w:kern w:val="0"/>
                <w:sz w:val="24"/>
              </w:rPr>
              <w:t>《合肥高新技术产业开发区规划环境影响报告书》</w:t>
            </w:r>
          </w:p>
          <w:p>
            <w:pPr>
              <w:autoSpaceDE w:val="0"/>
              <w:autoSpaceDN w:val="0"/>
              <w:adjustRightInd w:val="0"/>
              <w:snapToGrid w:val="0"/>
              <w:spacing w:line="360" w:lineRule="auto"/>
              <w:rPr>
                <w:color w:val="auto"/>
                <w:kern w:val="0"/>
                <w:sz w:val="24"/>
              </w:rPr>
            </w:pPr>
            <w:r>
              <w:rPr>
                <w:b/>
                <w:bCs/>
                <w:color w:val="auto"/>
                <w:kern w:val="0"/>
                <w:sz w:val="24"/>
              </w:rPr>
              <w:t>审查机关：</w:t>
            </w:r>
            <w:r>
              <w:rPr>
                <w:color w:val="auto"/>
                <w:kern w:val="0"/>
                <w:sz w:val="24"/>
              </w:rPr>
              <w:t>原中华人民共和国环境保护部</w:t>
            </w:r>
          </w:p>
          <w:p>
            <w:pPr>
              <w:autoSpaceDE w:val="0"/>
              <w:autoSpaceDN w:val="0"/>
              <w:adjustRightInd w:val="0"/>
              <w:snapToGrid w:val="0"/>
              <w:spacing w:line="360" w:lineRule="auto"/>
              <w:rPr>
                <w:color w:val="auto"/>
                <w:kern w:val="0"/>
                <w:sz w:val="24"/>
              </w:rPr>
            </w:pPr>
            <w:r>
              <w:rPr>
                <w:b/>
                <w:bCs/>
                <w:color w:val="auto"/>
                <w:kern w:val="0"/>
                <w:sz w:val="24"/>
              </w:rPr>
              <w:t>审查文件名称及文号：</w:t>
            </w:r>
            <w:r>
              <w:rPr>
                <w:color w:val="auto"/>
                <w:kern w:val="0"/>
                <w:sz w:val="24"/>
              </w:rPr>
              <w:t>《关于合肥高新技术产业开发区规划环境影响报告书的审查意见》（环审﹝2008﹞143号）</w:t>
            </w:r>
          </w:p>
          <w:p>
            <w:pPr>
              <w:autoSpaceDE w:val="0"/>
              <w:autoSpaceDN w:val="0"/>
              <w:adjustRightInd w:val="0"/>
              <w:snapToGrid w:val="0"/>
              <w:spacing w:line="360" w:lineRule="auto"/>
              <w:rPr>
                <w:color w:val="auto"/>
                <w:kern w:val="0"/>
                <w:sz w:val="24"/>
              </w:rPr>
            </w:pPr>
            <w:r>
              <w:rPr>
                <w:b/>
                <w:bCs/>
                <w:color w:val="auto"/>
                <w:kern w:val="0"/>
                <w:sz w:val="24"/>
              </w:rPr>
              <w:t>2、规划环境影响跟踪评价文件名称：</w:t>
            </w:r>
            <w:r>
              <w:rPr>
                <w:color w:val="auto"/>
                <w:kern w:val="0"/>
                <w:sz w:val="24"/>
              </w:rPr>
              <w:t>《合肥高新技术产业开发区规划环境影响跟踪评价》</w:t>
            </w:r>
          </w:p>
          <w:p>
            <w:pPr>
              <w:autoSpaceDE w:val="0"/>
              <w:autoSpaceDN w:val="0"/>
              <w:adjustRightInd w:val="0"/>
              <w:snapToGrid w:val="0"/>
              <w:spacing w:line="360" w:lineRule="auto"/>
              <w:rPr>
                <w:color w:val="auto"/>
                <w:kern w:val="0"/>
                <w:sz w:val="24"/>
              </w:rPr>
            </w:pPr>
            <w:r>
              <w:rPr>
                <w:b/>
                <w:bCs/>
                <w:color w:val="auto"/>
                <w:kern w:val="0"/>
                <w:sz w:val="24"/>
              </w:rPr>
              <w:t>审查机关：</w:t>
            </w:r>
            <w:r>
              <w:rPr>
                <w:color w:val="auto"/>
                <w:kern w:val="0"/>
                <w:sz w:val="24"/>
              </w:rPr>
              <w:t>中华人民共和国生态环境部</w:t>
            </w:r>
          </w:p>
          <w:p>
            <w:pPr>
              <w:autoSpaceDE w:val="0"/>
              <w:autoSpaceDN w:val="0"/>
              <w:adjustRightInd w:val="0"/>
              <w:snapToGrid w:val="0"/>
              <w:spacing w:line="360" w:lineRule="auto"/>
              <w:rPr>
                <w:rFonts w:ascii="宋体" w:hAnsi="宋体" w:cs="宋体"/>
                <w:color w:val="auto"/>
                <w:kern w:val="0"/>
                <w:sz w:val="24"/>
              </w:rPr>
            </w:pPr>
            <w:r>
              <w:rPr>
                <w:b/>
                <w:bCs/>
                <w:color w:val="auto"/>
                <w:kern w:val="0"/>
                <w:sz w:val="24"/>
              </w:rPr>
              <w:t>审查文件名称及文号：</w:t>
            </w:r>
            <w:r>
              <w:rPr>
                <w:color w:val="auto"/>
                <w:kern w:val="0"/>
                <w:sz w:val="24"/>
              </w:rPr>
              <w:t>《关于合肥高新技术产业开发区规划环境影响跟踪评价工作有关意见的函》（环办环评函﹝2020﹞436号）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7" w:type="dxa"/>
            <w:noWrap w:val="0"/>
            <w:vAlign w:val="center"/>
          </w:tcPr>
          <w:p>
            <w:pPr>
              <w:autoSpaceDE w:val="0"/>
              <w:autoSpaceDN w:val="0"/>
              <w:adjustRightInd w:val="0"/>
              <w:snapToGrid w:val="0"/>
              <w:rPr>
                <w:rFonts w:ascii="宋体" w:hAnsi="宋体" w:cs="宋体"/>
                <w:b/>
                <w:color w:val="auto"/>
                <w:kern w:val="0"/>
                <w:szCs w:val="21"/>
              </w:rPr>
            </w:pPr>
            <w:r>
              <w:rPr>
                <w:rFonts w:hint="eastAsia" w:ascii="宋体" w:hAnsi="宋体" w:cs="宋体"/>
                <w:b/>
                <w:color w:val="auto"/>
                <w:kern w:val="0"/>
                <w:szCs w:val="21"/>
              </w:rPr>
              <w:t>规划及规划环境影响评价符合性分析</w:t>
            </w:r>
          </w:p>
        </w:tc>
        <w:tc>
          <w:tcPr>
            <w:tcW w:w="8173" w:type="dxa"/>
            <w:gridSpan w:val="4"/>
            <w:noWrap w:val="0"/>
            <w:vAlign w:val="center"/>
          </w:tcPr>
          <w:p>
            <w:pPr>
              <w:autoSpaceDE w:val="0"/>
              <w:autoSpaceDN w:val="0"/>
              <w:spacing w:line="360" w:lineRule="auto"/>
              <w:ind w:firstLine="482" w:firstLineChars="200"/>
              <w:jc w:val="left"/>
              <w:rPr>
                <w:rFonts w:hint="eastAsia"/>
                <w:b/>
                <w:bCs/>
                <w:color w:val="auto"/>
                <w:kern w:val="0"/>
                <w:sz w:val="24"/>
              </w:rPr>
            </w:pPr>
            <w:r>
              <w:rPr>
                <w:rFonts w:hint="eastAsia"/>
                <w:b/>
                <w:bCs/>
                <w:color w:val="auto"/>
                <w:kern w:val="0"/>
                <w:sz w:val="24"/>
              </w:rPr>
              <w:t>1、规划符合性分析</w:t>
            </w:r>
          </w:p>
          <w:p>
            <w:pPr>
              <w:numPr>
                <w:ilvl w:val="0"/>
                <w:numId w:val="1"/>
              </w:numPr>
              <w:autoSpaceDE w:val="0"/>
              <w:autoSpaceDN w:val="0"/>
              <w:spacing w:line="360" w:lineRule="auto"/>
              <w:ind w:firstLine="480" w:firstLineChars="200"/>
              <w:rPr>
                <w:rFonts w:hint="eastAsia"/>
                <w:color w:val="auto"/>
                <w:sz w:val="24"/>
                <w:lang w:val="zh-CN"/>
              </w:rPr>
            </w:pPr>
            <w:r>
              <w:rPr>
                <w:rFonts w:hint="eastAsia"/>
                <w:color w:val="auto"/>
                <w:sz w:val="24"/>
              </w:rPr>
              <w:t>与</w:t>
            </w:r>
            <w:r>
              <w:rPr>
                <w:color w:val="auto"/>
                <w:sz w:val="24"/>
                <w:lang w:val="zh-CN"/>
              </w:rPr>
              <w:t>合肥高新技术产业开发区规划</w:t>
            </w:r>
            <w:r>
              <w:rPr>
                <w:rFonts w:hint="eastAsia"/>
                <w:color w:val="auto"/>
                <w:sz w:val="24"/>
                <w:lang w:val="zh-CN"/>
              </w:rPr>
              <w:t>符合性分析</w:t>
            </w:r>
          </w:p>
          <w:p>
            <w:pPr>
              <w:autoSpaceDE w:val="0"/>
              <w:autoSpaceDN w:val="0"/>
              <w:spacing w:line="360" w:lineRule="auto"/>
              <w:ind w:firstLine="480" w:firstLineChars="200"/>
              <w:rPr>
                <w:color w:val="auto"/>
                <w:sz w:val="24"/>
              </w:rPr>
            </w:pPr>
            <w:r>
              <w:rPr>
                <w:color w:val="auto"/>
                <w:sz w:val="24"/>
              </w:rPr>
              <w:t>根据《合肥高新区分区规划（2007-2020年）》，合肥高新技术产业开发区规划重点发展高科技产业及相关产业，主要</w:t>
            </w:r>
            <w:r>
              <w:rPr>
                <w:rFonts w:hint="eastAsia"/>
                <w:color w:val="auto"/>
                <w:sz w:val="24"/>
              </w:rPr>
              <w:t>为</w:t>
            </w:r>
            <w:r>
              <w:rPr>
                <w:color w:val="auto"/>
                <w:sz w:val="24"/>
              </w:rPr>
              <w:t>电子信息、生物医药、新材料、光机电一体化及其国家鼓励类有关产业和符合</w:t>
            </w:r>
            <w:r>
              <w:rPr>
                <w:rFonts w:hint="eastAsia"/>
                <w:color w:val="auto"/>
                <w:sz w:val="24"/>
              </w:rPr>
              <w:t>“</w:t>
            </w:r>
            <w:r>
              <w:rPr>
                <w:color w:val="auto"/>
                <w:sz w:val="24"/>
              </w:rPr>
              <w:t>中国高新技术产业名录</w:t>
            </w:r>
            <w:r>
              <w:rPr>
                <w:rFonts w:hint="eastAsia"/>
                <w:color w:val="auto"/>
                <w:sz w:val="24"/>
              </w:rPr>
              <w:t>”</w:t>
            </w:r>
            <w:r>
              <w:rPr>
                <w:color w:val="auto"/>
                <w:sz w:val="24"/>
              </w:rPr>
              <w:t>的高新技术产业。</w:t>
            </w:r>
          </w:p>
          <w:p>
            <w:pPr>
              <w:autoSpaceDE w:val="0"/>
              <w:autoSpaceDN w:val="0"/>
              <w:spacing w:line="360" w:lineRule="auto"/>
              <w:ind w:firstLine="480" w:firstLineChars="200"/>
              <w:rPr>
                <w:color w:val="auto"/>
                <w:sz w:val="24"/>
              </w:rPr>
            </w:pPr>
            <w:r>
              <w:rPr>
                <w:color w:val="auto"/>
                <w:sz w:val="24"/>
              </w:rPr>
              <w:t>本项目产品为</w:t>
            </w:r>
            <w:r>
              <w:rPr>
                <w:color w:val="auto"/>
                <w:kern w:val="0"/>
                <w:sz w:val="24"/>
              </w:rPr>
              <w:t>光伏设备及元器件制造</w:t>
            </w:r>
            <w:r>
              <w:rPr>
                <w:color w:val="auto"/>
                <w:sz w:val="24"/>
              </w:rPr>
              <w:t>，属于光伏新能源产业，为园区重点发展产业，项目建设符合</w:t>
            </w:r>
            <w:r>
              <w:rPr>
                <w:bCs/>
                <w:color w:val="auto"/>
                <w:sz w:val="24"/>
              </w:rPr>
              <w:t>合肥高新技术产业开发区的产业定位，并满足合肥高新技术产业开发区规划环评环境准入要求</w:t>
            </w:r>
            <w:r>
              <w:rPr>
                <w:color w:val="auto"/>
                <w:sz w:val="24"/>
              </w:rPr>
              <w:t>。</w:t>
            </w:r>
          </w:p>
          <w:p>
            <w:pPr>
              <w:numPr>
                <w:ilvl w:val="0"/>
                <w:numId w:val="1"/>
              </w:numPr>
              <w:autoSpaceDE w:val="0"/>
              <w:autoSpaceDN w:val="0"/>
              <w:spacing w:line="360" w:lineRule="auto"/>
              <w:ind w:firstLine="480" w:firstLineChars="200"/>
              <w:jc w:val="left"/>
              <w:rPr>
                <w:rFonts w:hint="eastAsia"/>
                <w:color w:val="auto"/>
                <w:kern w:val="0"/>
                <w:sz w:val="24"/>
              </w:rPr>
            </w:pPr>
            <w:r>
              <w:rPr>
                <w:rFonts w:hint="eastAsia"/>
                <w:color w:val="auto"/>
                <w:kern w:val="0"/>
                <w:sz w:val="24"/>
              </w:rPr>
              <w:t>用地性质符合性分析</w:t>
            </w:r>
          </w:p>
          <w:p>
            <w:pPr>
              <w:autoSpaceDE w:val="0"/>
              <w:autoSpaceDN w:val="0"/>
              <w:spacing w:line="360" w:lineRule="auto"/>
              <w:ind w:firstLine="480" w:firstLineChars="200"/>
              <w:rPr>
                <w:rFonts w:hint="eastAsia"/>
                <w:color w:val="auto"/>
                <w:kern w:val="0"/>
                <w:sz w:val="24"/>
              </w:rPr>
            </w:pPr>
            <w:r>
              <w:rPr>
                <w:rFonts w:hint="eastAsia"/>
                <w:color w:val="auto"/>
                <w:kern w:val="0"/>
                <w:sz w:val="24"/>
              </w:rPr>
              <w:t>本项目位于合肥市高新技术产业开发区长宁大道与明珠大道交口东北角合肥晶澳太阳能科技有限公司现有厂区，根据《合肥高新区分区规划（含南岗镇）图》（2007-2020），所在地块建设用地性质为工业用地，项目符合规划用地性质；且本项目未被列入国土资源部国家发展和改革委员会关于发布实施《限制用地项目目录（2012年本）》和《禁止用地项目目录（2012年本）》。</w:t>
            </w:r>
          </w:p>
          <w:p>
            <w:pPr>
              <w:pStyle w:val="3"/>
              <w:ind w:left="0" w:leftChars="0" w:firstLine="480"/>
              <w:rPr>
                <w:rFonts w:hint="eastAsia"/>
                <w:color w:val="auto"/>
                <w:sz w:val="24"/>
              </w:rPr>
            </w:pPr>
            <w:r>
              <w:rPr>
                <w:rFonts w:hint="eastAsia"/>
                <w:color w:val="auto"/>
                <w:sz w:val="24"/>
              </w:rPr>
              <w:t>因此，本项目的建设符合</w:t>
            </w:r>
            <w:r>
              <w:rPr>
                <w:color w:val="auto"/>
                <w:sz w:val="24"/>
                <w:lang w:val="zh-CN"/>
              </w:rPr>
              <w:t>合肥高新技术产业开发区规划</w:t>
            </w:r>
            <w:r>
              <w:rPr>
                <w:rFonts w:hint="eastAsia"/>
                <w:color w:val="auto"/>
                <w:sz w:val="24"/>
                <w:lang w:val="zh-CN"/>
              </w:rPr>
              <w:t>。</w:t>
            </w:r>
          </w:p>
          <w:p>
            <w:pPr>
              <w:pStyle w:val="11"/>
              <w:spacing w:before="0" w:after="0" w:line="360" w:lineRule="auto"/>
              <w:ind w:right="0" w:firstLine="482" w:firstLineChars="200"/>
              <w:rPr>
                <w:b/>
                <w:bCs/>
                <w:color w:val="auto"/>
                <w:sz w:val="24"/>
                <w:szCs w:val="24"/>
              </w:rPr>
            </w:pPr>
            <w:r>
              <w:rPr>
                <w:b/>
                <w:bCs/>
                <w:color w:val="auto"/>
                <w:sz w:val="24"/>
                <w:szCs w:val="24"/>
              </w:rPr>
              <w:t>2、规划环境影响评价符合性分析</w:t>
            </w:r>
          </w:p>
          <w:p>
            <w:pPr>
              <w:adjustRightInd w:val="0"/>
              <w:snapToGrid w:val="0"/>
              <w:spacing w:line="360" w:lineRule="auto"/>
              <w:ind w:firstLine="480" w:firstLineChars="200"/>
              <w:rPr>
                <w:color w:val="auto"/>
                <w:sz w:val="24"/>
              </w:rPr>
            </w:pPr>
            <w:r>
              <w:rPr>
                <w:color w:val="auto"/>
                <w:sz w:val="24"/>
              </w:rPr>
              <w:t>（1）与《合肥高新技术产业开发区规划环境影响报告书》及其审查意见的符合性分析</w:t>
            </w:r>
          </w:p>
          <w:p>
            <w:pPr>
              <w:widowControl/>
              <w:numPr>
                <w:ilvl w:val="0"/>
                <w:numId w:val="2"/>
              </w:numPr>
              <w:jc w:val="center"/>
              <w:rPr>
                <w:b/>
                <w:color w:val="auto"/>
                <w:kern w:val="0"/>
                <w:szCs w:val="21"/>
              </w:rPr>
            </w:pPr>
            <w:r>
              <w:rPr>
                <w:b/>
                <w:color w:val="auto"/>
                <w:kern w:val="0"/>
                <w:szCs w:val="21"/>
              </w:rPr>
              <w:t xml:space="preserve"> 项目与规划环境影响报告书及审查意见符合性分析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4576"/>
              <w:gridCol w:w="2148"/>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94" w:type="dxa"/>
                  <w:noWrap w:val="0"/>
                  <w:tcMar>
                    <w:left w:w="57" w:type="dxa"/>
                    <w:right w:w="57" w:type="dxa"/>
                  </w:tcMar>
                  <w:vAlign w:val="center"/>
                </w:tcPr>
                <w:p>
                  <w:pPr>
                    <w:jc w:val="center"/>
                    <w:rPr>
                      <w:b/>
                      <w:bCs/>
                      <w:color w:val="auto"/>
                      <w:szCs w:val="21"/>
                    </w:rPr>
                  </w:pPr>
                  <w:r>
                    <w:rPr>
                      <w:b/>
                      <w:bCs/>
                      <w:color w:val="auto"/>
                      <w:szCs w:val="21"/>
                    </w:rPr>
                    <w:t>序号</w:t>
                  </w:r>
                </w:p>
              </w:tc>
              <w:tc>
                <w:tcPr>
                  <w:tcW w:w="4576" w:type="dxa"/>
                  <w:noWrap w:val="0"/>
                  <w:tcMar>
                    <w:left w:w="57" w:type="dxa"/>
                    <w:right w:w="57" w:type="dxa"/>
                  </w:tcMar>
                  <w:vAlign w:val="center"/>
                </w:tcPr>
                <w:p>
                  <w:pPr>
                    <w:jc w:val="center"/>
                    <w:rPr>
                      <w:b/>
                      <w:bCs/>
                      <w:color w:val="auto"/>
                      <w:szCs w:val="21"/>
                    </w:rPr>
                  </w:pPr>
                  <w:r>
                    <w:rPr>
                      <w:b/>
                      <w:bCs/>
                      <w:color w:val="auto"/>
                      <w:szCs w:val="21"/>
                    </w:rPr>
                    <w:t>报告书及审查意见要求</w:t>
                  </w:r>
                </w:p>
              </w:tc>
              <w:tc>
                <w:tcPr>
                  <w:tcW w:w="2148" w:type="dxa"/>
                  <w:noWrap w:val="0"/>
                  <w:tcMar>
                    <w:left w:w="57" w:type="dxa"/>
                    <w:right w:w="57" w:type="dxa"/>
                  </w:tcMar>
                  <w:vAlign w:val="center"/>
                </w:tcPr>
                <w:p>
                  <w:pPr>
                    <w:jc w:val="center"/>
                    <w:rPr>
                      <w:b/>
                      <w:bCs/>
                      <w:color w:val="auto"/>
                      <w:szCs w:val="21"/>
                    </w:rPr>
                  </w:pPr>
                  <w:r>
                    <w:rPr>
                      <w:b/>
                      <w:bCs/>
                      <w:color w:val="auto"/>
                      <w:szCs w:val="21"/>
                    </w:rPr>
                    <w:t>本项目情况</w:t>
                  </w:r>
                </w:p>
              </w:tc>
              <w:tc>
                <w:tcPr>
                  <w:tcW w:w="629" w:type="dxa"/>
                  <w:noWrap w:val="0"/>
                  <w:tcMar>
                    <w:left w:w="57" w:type="dxa"/>
                    <w:right w:w="57" w:type="dxa"/>
                  </w:tcMar>
                  <w:vAlign w:val="center"/>
                </w:tcPr>
                <w:p>
                  <w:pPr>
                    <w:adjustRightInd w:val="0"/>
                    <w:snapToGrid w:val="0"/>
                    <w:jc w:val="center"/>
                    <w:rPr>
                      <w:b/>
                      <w:bCs/>
                      <w:color w:val="auto"/>
                      <w:szCs w:val="21"/>
                    </w:rPr>
                  </w:pPr>
                  <w:r>
                    <w:rPr>
                      <w:b/>
                      <w:bCs/>
                      <w:color w:val="auto"/>
                      <w:szCs w:val="21"/>
                    </w:rPr>
                    <w:t>符合</w:t>
                  </w:r>
                </w:p>
                <w:p>
                  <w:pPr>
                    <w:adjustRightInd w:val="0"/>
                    <w:snapToGrid w:val="0"/>
                    <w:jc w:val="center"/>
                    <w:rPr>
                      <w:b/>
                      <w:bCs/>
                      <w:color w:val="auto"/>
                      <w:szCs w:val="21"/>
                    </w:rPr>
                  </w:pPr>
                  <w:r>
                    <w:rPr>
                      <w:b/>
                      <w:bCs/>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94" w:type="dxa"/>
                  <w:noWrap w:val="0"/>
                  <w:tcMar>
                    <w:left w:w="57" w:type="dxa"/>
                    <w:right w:w="57" w:type="dxa"/>
                  </w:tcMar>
                  <w:vAlign w:val="center"/>
                </w:tcPr>
                <w:p>
                  <w:pPr>
                    <w:jc w:val="center"/>
                    <w:rPr>
                      <w:b/>
                      <w:bCs/>
                      <w:color w:val="auto"/>
                      <w:szCs w:val="21"/>
                    </w:rPr>
                  </w:pPr>
                  <w:r>
                    <w:rPr>
                      <w:color w:val="auto"/>
                      <w:szCs w:val="21"/>
                    </w:rPr>
                    <w:t>1</w:t>
                  </w:r>
                </w:p>
              </w:tc>
              <w:tc>
                <w:tcPr>
                  <w:tcW w:w="4576" w:type="dxa"/>
                  <w:noWrap w:val="0"/>
                  <w:tcMar>
                    <w:left w:w="57" w:type="dxa"/>
                    <w:right w:w="57" w:type="dxa"/>
                  </w:tcMar>
                  <w:vAlign w:val="center"/>
                </w:tcPr>
                <w:p>
                  <w:pPr>
                    <w:rPr>
                      <w:color w:val="auto"/>
                    </w:rPr>
                  </w:pPr>
                  <w:r>
                    <w:rPr>
                      <w:color w:val="auto"/>
                    </w:rPr>
                    <w:t>进一步优化高新区布局。优化园区内工业区与居住区的布局，确保居住区和学校等达到环境功能区划要求；柏堰科技园应降低工业用地比重，适当增加科研、教育、生态功能用地；科技创新示范区应减少二类立业用地，将规划的长江路以南、312高速公路以西、科一路以东，学二路以北的二类工业用地调整为居往或公共设施用地，控制昌河厂地块的工业用地规模</w:t>
                  </w:r>
                </w:p>
              </w:tc>
              <w:tc>
                <w:tcPr>
                  <w:tcW w:w="2148" w:type="dxa"/>
                  <w:noWrap w:val="0"/>
                  <w:tcMar>
                    <w:left w:w="57" w:type="dxa"/>
                    <w:right w:w="57" w:type="dxa"/>
                  </w:tcMar>
                  <w:vAlign w:val="center"/>
                </w:tcPr>
                <w:p>
                  <w:pPr>
                    <w:rPr>
                      <w:color w:val="auto"/>
                    </w:rPr>
                  </w:pPr>
                  <w:r>
                    <w:rPr>
                      <w:color w:val="auto"/>
                    </w:rPr>
                    <w:t>本项目位于</w:t>
                  </w:r>
                  <w:r>
                    <w:rPr>
                      <w:rFonts w:hint="eastAsia"/>
                      <w:color w:val="auto"/>
                    </w:rPr>
                    <w:t>合肥市高新技术产业开发区长宁大道与明珠大道交口东北角</w:t>
                  </w:r>
                  <w:r>
                    <w:rPr>
                      <w:color w:val="auto"/>
                    </w:rPr>
                    <w:t>，所在地块属于规划二类工业用地</w:t>
                  </w:r>
                </w:p>
              </w:tc>
              <w:tc>
                <w:tcPr>
                  <w:tcW w:w="629" w:type="dxa"/>
                  <w:noWrap w:val="0"/>
                  <w:tcMar>
                    <w:left w:w="57" w:type="dxa"/>
                    <w:right w:w="57" w:type="dxa"/>
                  </w:tcMar>
                  <w:vAlign w:val="center"/>
                </w:tcPr>
                <w:p>
                  <w:pPr>
                    <w:adjustRightInd w:val="0"/>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94" w:type="dxa"/>
                  <w:noWrap w:val="0"/>
                  <w:tcMar>
                    <w:left w:w="57" w:type="dxa"/>
                    <w:right w:w="57" w:type="dxa"/>
                  </w:tcMar>
                  <w:vAlign w:val="center"/>
                </w:tcPr>
                <w:p>
                  <w:pPr>
                    <w:jc w:val="center"/>
                    <w:rPr>
                      <w:color w:val="auto"/>
                    </w:rPr>
                  </w:pPr>
                  <w:r>
                    <w:rPr>
                      <w:color w:val="auto"/>
                    </w:rPr>
                    <w:t>2</w:t>
                  </w:r>
                </w:p>
              </w:tc>
              <w:tc>
                <w:tcPr>
                  <w:tcW w:w="4576" w:type="dxa"/>
                  <w:noWrap w:val="0"/>
                  <w:tcMar>
                    <w:left w:w="57" w:type="dxa"/>
                    <w:right w:w="57" w:type="dxa"/>
                  </w:tcMar>
                  <w:vAlign w:val="center"/>
                </w:tcPr>
                <w:p>
                  <w:pPr>
                    <w:rPr>
                      <w:bCs/>
                      <w:color w:val="auto"/>
                      <w:szCs w:val="21"/>
                    </w:rPr>
                  </w:pPr>
                  <w:r>
                    <w:rPr>
                      <w:color w:val="auto"/>
                    </w:rPr>
                    <w:t>优化和调整高新区产业结构，严格入区项目的环境准入。对不符合园区发展目标和产业导向要求的传统产业以及现有污染严重的企业进行清理整顿，严禁违反国家产业政策和不符合高新区产业定位的建设项目入区，对于符合国家产业政策和高新区产业定位，但水耗、能耗高、废水排放量大的项目也严禁进入园区</w:t>
                  </w:r>
                </w:p>
              </w:tc>
              <w:tc>
                <w:tcPr>
                  <w:tcW w:w="2148" w:type="dxa"/>
                  <w:noWrap w:val="0"/>
                  <w:tcMar>
                    <w:left w:w="57" w:type="dxa"/>
                    <w:right w:w="57" w:type="dxa"/>
                  </w:tcMar>
                  <w:vAlign w:val="center"/>
                </w:tcPr>
                <w:p>
                  <w:pPr>
                    <w:rPr>
                      <w:bCs/>
                      <w:color w:val="auto"/>
                      <w:szCs w:val="21"/>
                    </w:rPr>
                  </w:pPr>
                  <w:r>
                    <w:rPr>
                      <w:color w:val="auto"/>
                      <w:szCs w:val="21"/>
                    </w:rPr>
                    <w:t>本项目行业类别为</w:t>
                  </w:r>
                  <w:r>
                    <w:rPr>
                      <w:bCs/>
                      <w:color w:val="auto"/>
                      <w:szCs w:val="21"/>
                    </w:rPr>
                    <w:t>光伏设备及元器件制造</w:t>
                  </w:r>
                  <w:r>
                    <w:rPr>
                      <w:color w:val="auto"/>
                      <w:szCs w:val="21"/>
                    </w:rPr>
                    <w:t>，符合高新区产业定位；</w:t>
                  </w:r>
                  <w:r>
                    <w:rPr>
                      <w:bCs/>
                      <w:color w:val="auto"/>
                      <w:szCs w:val="21"/>
                    </w:rPr>
                    <w:t>本项目不属于</w:t>
                  </w:r>
                  <w:r>
                    <w:rPr>
                      <w:color w:val="auto"/>
                      <w:szCs w:val="21"/>
                    </w:rPr>
                    <w:t>水耗、能耗高、废水排放量大的项目</w:t>
                  </w:r>
                </w:p>
              </w:tc>
              <w:tc>
                <w:tcPr>
                  <w:tcW w:w="629" w:type="dxa"/>
                  <w:noWrap w:val="0"/>
                  <w:tcMar>
                    <w:left w:w="57" w:type="dxa"/>
                    <w:right w:w="57" w:type="dxa"/>
                  </w:tcMar>
                  <w:vAlign w:val="center"/>
                </w:tcPr>
                <w:p>
                  <w:pPr>
                    <w:snapToGrid w:val="0"/>
                    <w:jc w:val="center"/>
                    <w:rPr>
                      <w:bCs/>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94" w:type="dxa"/>
                  <w:noWrap w:val="0"/>
                  <w:tcMar>
                    <w:left w:w="57" w:type="dxa"/>
                    <w:right w:w="57" w:type="dxa"/>
                  </w:tcMar>
                  <w:vAlign w:val="center"/>
                </w:tcPr>
                <w:p>
                  <w:pPr>
                    <w:jc w:val="center"/>
                    <w:rPr>
                      <w:color w:val="auto"/>
                    </w:rPr>
                  </w:pPr>
                  <w:r>
                    <w:rPr>
                      <w:color w:val="auto"/>
                    </w:rPr>
                    <w:t>3</w:t>
                  </w:r>
                </w:p>
              </w:tc>
              <w:tc>
                <w:tcPr>
                  <w:tcW w:w="4576" w:type="dxa"/>
                  <w:noWrap w:val="0"/>
                  <w:tcMar>
                    <w:left w:w="57" w:type="dxa"/>
                    <w:right w:w="57" w:type="dxa"/>
                  </w:tcMar>
                  <w:vAlign w:val="center"/>
                </w:tcPr>
                <w:p>
                  <w:pPr>
                    <w:rPr>
                      <w:color w:val="auto"/>
                    </w:rPr>
                  </w:pPr>
                  <w:r>
                    <w:rPr>
                      <w:color w:val="auto"/>
                    </w:rPr>
                    <w:t>切实落实报告书提出的生态环境保护和建设措施。对于大蜀山森林公园及其周围生态保护地带布置蔬菜园林、苗圃基地、风景林区等生态绿地予以保护，对于南山区、西山湖沿湖建设防护林予以保护</w:t>
                  </w:r>
                </w:p>
              </w:tc>
              <w:tc>
                <w:tcPr>
                  <w:tcW w:w="2148" w:type="dxa"/>
                  <w:noWrap w:val="0"/>
                  <w:tcMar>
                    <w:left w:w="57" w:type="dxa"/>
                    <w:right w:w="57" w:type="dxa"/>
                  </w:tcMar>
                  <w:vAlign w:val="center"/>
                </w:tcPr>
                <w:p>
                  <w:pPr>
                    <w:rPr>
                      <w:color w:val="auto"/>
                    </w:rPr>
                  </w:pPr>
                  <w:r>
                    <w:rPr>
                      <w:color w:val="auto"/>
                    </w:rPr>
                    <w:t>本项目不在大蜀山森林公园及其周围生态保护地带等</w:t>
                  </w:r>
                </w:p>
              </w:tc>
              <w:tc>
                <w:tcPr>
                  <w:tcW w:w="629" w:type="dxa"/>
                  <w:noWrap w:val="0"/>
                  <w:tcMar>
                    <w:left w:w="57" w:type="dxa"/>
                    <w:right w:w="57" w:type="dxa"/>
                  </w:tcMar>
                  <w:vAlign w:val="center"/>
                </w:tcPr>
                <w:p>
                  <w:pPr>
                    <w:snapToGrid w:val="0"/>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94" w:type="dxa"/>
                  <w:noWrap w:val="0"/>
                  <w:tcMar>
                    <w:left w:w="57" w:type="dxa"/>
                    <w:right w:w="57" w:type="dxa"/>
                  </w:tcMar>
                  <w:vAlign w:val="center"/>
                </w:tcPr>
                <w:p>
                  <w:pPr>
                    <w:jc w:val="center"/>
                    <w:rPr>
                      <w:color w:val="auto"/>
                    </w:rPr>
                  </w:pPr>
                  <w:r>
                    <w:rPr>
                      <w:color w:val="auto"/>
                    </w:rPr>
                    <w:t>4</w:t>
                  </w:r>
                </w:p>
              </w:tc>
              <w:tc>
                <w:tcPr>
                  <w:tcW w:w="4576" w:type="dxa"/>
                  <w:noWrap w:val="0"/>
                  <w:tcMar>
                    <w:left w:w="57" w:type="dxa"/>
                    <w:right w:w="57" w:type="dxa"/>
                  </w:tcMar>
                  <w:vAlign w:val="center"/>
                </w:tcPr>
                <w:p>
                  <w:pPr>
                    <w:rPr>
                      <w:color w:val="auto"/>
                    </w:rPr>
                  </w:pPr>
                  <w:r>
                    <w:rPr>
                      <w:color w:val="auto"/>
                    </w:rPr>
                    <w:t>尽快健全高新区环境管理体系。编制环境保护专项规划，结合《巢湖流域水污染防治“十一五”规划》和国家“十一五”期间节能减排的政策，以及省、市的相关要求，控制高新区废水排放总量</w:t>
                  </w:r>
                </w:p>
              </w:tc>
              <w:tc>
                <w:tcPr>
                  <w:tcW w:w="2148" w:type="dxa"/>
                  <w:noWrap w:val="0"/>
                  <w:tcMar>
                    <w:left w:w="57" w:type="dxa"/>
                    <w:right w:w="57" w:type="dxa"/>
                  </w:tcMar>
                  <w:vAlign w:val="center"/>
                </w:tcPr>
                <w:p>
                  <w:pPr>
                    <w:jc w:val="center"/>
                    <w:rPr>
                      <w:color w:val="auto"/>
                    </w:rPr>
                  </w:pPr>
                  <w:r>
                    <w:rPr>
                      <w:color w:val="auto"/>
                    </w:rPr>
                    <w:t>/</w:t>
                  </w:r>
                </w:p>
              </w:tc>
              <w:tc>
                <w:tcPr>
                  <w:tcW w:w="629" w:type="dxa"/>
                  <w:noWrap w:val="0"/>
                  <w:tcMar>
                    <w:left w:w="57" w:type="dxa"/>
                    <w:right w:w="57" w:type="dxa"/>
                  </w:tcMar>
                  <w:vAlign w:val="center"/>
                </w:tcPr>
                <w:p>
                  <w:pPr>
                    <w:snapToGri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594" w:type="dxa"/>
                  <w:noWrap w:val="0"/>
                  <w:tcMar>
                    <w:left w:w="57" w:type="dxa"/>
                    <w:right w:w="57" w:type="dxa"/>
                  </w:tcMar>
                  <w:vAlign w:val="center"/>
                </w:tcPr>
                <w:p>
                  <w:pPr>
                    <w:jc w:val="center"/>
                    <w:rPr>
                      <w:color w:val="auto"/>
                    </w:rPr>
                  </w:pPr>
                  <w:r>
                    <w:rPr>
                      <w:color w:val="auto"/>
                    </w:rPr>
                    <w:t>5</w:t>
                  </w:r>
                </w:p>
              </w:tc>
              <w:tc>
                <w:tcPr>
                  <w:tcW w:w="4576" w:type="dxa"/>
                  <w:noWrap w:val="0"/>
                  <w:tcMar>
                    <w:left w:w="57" w:type="dxa"/>
                    <w:right w:w="57" w:type="dxa"/>
                  </w:tcMar>
                  <w:vAlign w:val="center"/>
                </w:tcPr>
                <w:p>
                  <w:pPr>
                    <w:rPr>
                      <w:color w:val="auto"/>
                    </w:rPr>
                  </w:pPr>
                  <w:r>
                    <w:rPr>
                      <w:color w:val="auto"/>
                    </w:rPr>
                    <w:t>加快高新区环保基础设施的建设。尽快建成高新区配套污水处理厂，采取中水回用等有效措施减少废水排放</w:t>
                  </w:r>
                </w:p>
              </w:tc>
              <w:tc>
                <w:tcPr>
                  <w:tcW w:w="2148" w:type="dxa"/>
                  <w:noWrap w:val="0"/>
                  <w:tcMar>
                    <w:left w:w="57" w:type="dxa"/>
                    <w:right w:w="57" w:type="dxa"/>
                  </w:tcMar>
                  <w:vAlign w:val="center"/>
                </w:tcPr>
                <w:p>
                  <w:pPr>
                    <w:rPr>
                      <w:color w:val="auto"/>
                    </w:rPr>
                  </w:pPr>
                  <w:r>
                    <w:rPr>
                      <w:color w:val="auto"/>
                    </w:rPr>
                    <w:t>本项目</w:t>
                  </w:r>
                  <w:r>
                    <w:rPr>
                      <w:rFonts w:hint="eastAsia"/>
                      <w:color w:val="auto"/>
                    </w:rPr>
                    <w:t>废水</w:t>
                  </w:r>
                  <w:r>
                    <w:rPr>
                      <w:color w:val="auto"/>
                    </w:rPr>
                    <w:t>预处理满足接管限值后经市政污水管网排入合肥市西部组团污水处理厂</w:t>
                  </w:r>
                  <w:r>
                    <w:rPr>
                      <w:rFonts w:hint="eastAsia"/>
                      <w:color w:val="auto"/>
                    </w:rPr>
                    <w:t>深度</w:t>
                  </w:r>
                  <w:r>
                    <w:rPr>
                      <w:color w:val="auto"/>
                    </w:rPr>
                    <w:t>处理</w:t>
                  </w:r>
                </w:p>
              </w:tc>
              <w:tc>
                <w:tcPr>
                  <w:tcW w:w="629" w:type="dxa"/>
                  <w:noWrap w:val="0"/>
                  <w:tcMar>
                    <w:left w:w="57" w:type="dxa"/>
                    <w:right w:w="57" w:type="dxa"/>
                  </w:tcMar>
                  <w:vAlign w:val="center"/>
                </w:tcPr>
                <w:p>
                  <w:pPr>
                    <w:snapToGrid w:val="0"/>
                    <w:jc w:val="center"/>
                    <w:rPr>
                      <w:color w:val="auto"/>
                      <w:szCs w:val="21"/>
                    </w:rPr>
                  </w:pPr>
                  <w:r>
                    <w:rPr>
                      <w:color w:val="auto"/>
                      <w:szCs w:val="21"/>
                    </w:rPr>
                    <w:t>符合</w:t>
                  </w:r>
                </w:p>
              </w:tc>
            </w:tr>
          </w:tbl>
          <w:p>
            <w:pPr>
              <w:adjustRightInd w:val="0"/>
              <w:snapToGrid w:val="0"/>
              <w:spacing w:line="360" w:lineRule="auto"/>
              <w:ind w:firstLine="480" w:firstLineChars="200"/>
              <w:rPr>
                <w:color w:val="auto"/>
                <w:sz w:val="24"/>
              </w:rPr>
            </w:pPr>
            <w:r>
              <w:rPr>
                <w:color w:val="auto"/>
                <w:sz w:val="24"/>
              </w:rPr>
              <w:t>（2）与《合肥高新技术产业开发区规划环境影响跟踪评价报告书》及其审查意见符合性分析</w:t>
            </w:r>
          </w:p>
          <w:p>
            <w:pPr>
              <w:widowControl/>
              <w:numPr>
                <w:ilvl w:val="0"/>
                <w:numId w:val="2"/>
              </w:numPr>
              <w:jc w:val="center"/>
              <w:rPr>
                <w:b/>
                <w:color w:val="auto"/>
                <w:kern w:val="0"/>
                <w:szCs w:val="21"/>
              </w:rPr>
            </w:pPr>
            <w:r>
              <w:rPr>
                <w:b/>
                <w:color w:val="auto"/>
                <w:kern w:val="0"/>
                <w:szCs w:val="21"/>
              </w:rPr>
              <w:t xml:space="preserve"> 项目与区域规划环境影响跟踪评价报告书及审查意见符合性分析</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905"/>
              <w:gridCol w:w="2653"/>
              <w:gridCol w:w="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654" w:type="dxa"/>
                  <w:noWrap w:val="0"/>
                  <w:vAlign w:val="center"/>
                </w:tcPr>
                <w:p>
                  <w:pPr>
                    <w:adjustRightInd w:val="0"/>
                    <w:snapToGrid w:val="0"/>
                    <w:jc w:val="center"/>
                    <w:rPr>
                      <w:b/>
                      <w:bCs/>
                      <w:color w:val="auto"/>
                      <w:kern w:val="0"/>
                      <w:szCs w:val="21"/>
                    </w:rPr>
                  </w:pPr>
                  <w:r>
                    <w:rPr>
                      <w:b/>
                      <w:bCs/>
                      <w:color w:val="auto"/>
                      <w:szCs w:val="21"/>
                    </w:rPr>
                    <w:t>序号</w:t>
                  </w:r>
                </w:p>
              </w:tc>
              <w:tc>
                <w:tcPr>
                  <w:tcW w:w="3905" w:type="dxa"/>
                  <w:noWrap w:val="0"/>
                  <w:vAlign w:val="center"/>
                </w:tcPr>
                <w:p>
                  <w:pPr>
                    <w:adjustRightInd w:val="0"/>
                    <w:snapToGrid w:val="0"/>
                    <w:jc w:val="center"/>
                    <w:rPr>
                      <w:b/>
                      <w:bCs/>
                      <w:color w:val="auto"/>
                      <w:kern w:val="0"/>
                      <w:szCs w:val="21"/>
                    </w:rPr>
                  </w:pPr>
                  <w:r>
                    <w:rPr>
                      <w:b/>
                      <w:bCs/>
                      <w:color w:val="auto"/>
                      <w:szCs w:val="21"/>
                    </w:rPr>
                    <w:t>报告书及审查意见要求</w:t>
                  </w:r>
                </w:p>
              </w:tc>
              <w:tc>
                <w:tcPr>
                  <w:tcW w:w="2653" w:type="dxa"/>
                  <w:noWrap w:val="0"/>
                  <w:vAlign w:val="center"/>
                </w:tcPr>
                <w:p>
                  <w:pPr>
                    <w:adjustRightInd w:val="0"/>
                    <w:snapToGrid w:val="0"/>
                    <w:jc w:val="center"/>
                    <w:rPr>
                      <w:b/>
                      <w:bCs/>
                      <w:color w:val="auto"/>
                      <w:kern w:val="0"/>
                      <w:szCs w:val="21"/>
                    </w:rPr>
                  </w:pPr>
                  <w:r>
                    <w:rPr>
                      <w:b/>
                      <w:bCs/>
                      <w:color w:val="auto"/>
                      <w:szCs w:val="21"/>
                    </w:rPr>
                    <w:t>本项目情况</w:t>
                  </w:r>
                </w:p>
              </w:tc>
              <w:tc>
                <w:tcPr>
                  <w:tcW w:w="735" w:type="dxa"/>
                  <w:noWrap w:val="0"/>
                  <w:vAlign w:val="center"/>
                </w:tcPr>
                <w:p>
                  <w:pPr>
                    <w:adjustRightInd w:val="0"/>
                    <w:snapToGrid w:val="0"/>
                    <w:jc w:val="center"/>
                    <w:rPr>
                      <w:b/>
                      <w:bCs/>
                      <w:color w:val="auto"/>
                      <w:szCs w:val="21"/>
                    </w:rPr>
                  </w:pPr>
                  <w:r>
                    <w:rPr>
                      <w:b/>
                      <w:bCs/>
                      <w:color w:val="auto"/>
                      <w:szCs w:val="21"/>
                    </w:rPr>
                    <w:t>符合</w:t>
                  </w:r>
                </w:p>
                <w:p>
                  <w:pPr>
                    <w:adjustRightInd w:val="0"/>
                    <w:snapToGrid w:val="0"/>
                    <w:jc w:val="center"/>
                    <w:rPr>
                      <w:b/>
                      <w:bCs/>
                      <w:color w:val="auto"/>
                      <w:kern w:val="0"/>
                      <w:szCs w:val="21"/>
                    </w:rPr>
                  </w:pPr>
                  <w:r>
                    <w:rPr>
                      <w:b/>
                      <w:bCs/>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1</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落实长江经济带“共抓大保护，不搞大开发”的总体要求及《巢湖流域水污染防治条例（2020年3月1日实施）》等环境管理要求，坚持高质量发展、协调发展。做好与安徽省“三线一单”（生态保护红线、环境质量底线、资源利用上线、生态环境准入清单）、合肥市国土空间总体规划等成果的衔接，确保产业发展与区域生态环境保护、人居环境质量保障相协调</w:t>
                  </w:r>
                </w:p>
              </w:tc>
              <w:tc>
                <w:tcPr>
                  <w:tcW w:w="2653" w:type="dxa"/>
                  <w:noWrap w:val="0"/>
                  <w:vAlign w:val="center"/>
                </w:tcPr>
                <w:p>
                  <w:pPr>
                    <w:autoSpaceDE w:val="0"/>
                    <w:autoSpaceDN w:val="0"/>
                    <w:adjustRightInd w:val="0"/>
                    <w:snapToGrid w:val="0"/>
                    <w:rPr>
                      <w:color w:val="auto"/>
                      <w:kern w:val="0"/>
                      <w:szCs w:val="21"/>
                    </w:rPr>
                  </w:pPr>
                  <w:r>
                    <w:rPr>
                      <w:color w:val="auto"/>
                      <w:kern w:val="0"/>
                      <w:szCs w:val="21"/>
                    </w:rPr>
                    <w:t>本项目为</w:t>
                  </w:r>
                  <w:r>
                    <w:rPr>
                      <w:bCs/>
                      <w:color w:val="auto"/>
                      <w:szCs w:val="21"/>
                    </w:rPr>
                    <w:t>光伏设备及元器件制造</w:t>
                  </w:r>
                  <w:r>
                    <w:rPr>
                      <w:color w:val="auto"/>
                      <w:kern w:val="0"/>
                      <w:szCs w:val="21"/>
                    </w:rPr>
                    <w:t>，符合高新区产业规划，不属于大开发类型项目。</w:t>
                  </w:r>
                  <w:r>
                    <w:rPr>
                      <w:color w:val="auto"/>
                    </w:rPr>
                    <w:t>本项目</w:t>
                  </w:r>
                  <w:r>
                    <w:rPr>
                      <w:rFonts w:hint="eastAsia"/>
                      <w:color w:val="auto"/>
                    </w:rPr>
                    <w:t>废水预</w:t>
                  </w:r>
                  <w:r>
                    <w:rPr>
                      <w:color w:val="auto"/>
                    </w:rPr>
                    <w:t>处理满足接管限值后</w:t>
                  </w:r>
                  <w:r>
                    <w:rPr>
                      <w:color w:val="auto"/>
                      <w:kern w:val="0"/>
                      <w:szCs w:val="21"/>
                    </w:rPr>
                    <w:t>经市政污水管网排入合肥市西部组团污水处理厂深度处理。本项目符合“三线一单”要求</w:t>
                  </w:r>
                  <w:r>
                    <w:rPr>
                      <w:rFonts w:hint="eastAsia"/>
                      <w:color w:val="auto"/>
                      <w:kern w:val="0"/>
                      <w:szCs w:val="21"/>
                    </w:rPr>
                    <w:t>（见“三线一单”符合性分析）</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2</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着力推动高新区转型升级，做好全过程环境管控。按照国家和安徽省最新环境管理要求，加快高新区产业转型升级和结构优化。现有不符合高新区发展定位和环境保护要求的企业应逐步升级改造或搬迁、淘汰。做好污染企业遗留场地的土壤环境调查和风险评估，确保土地安全利用；</w:t>
                  </w:r>
                </w:p>
              </w:tc>
              <w:tc>
                <w:tcPr>
                  <w:tcW w:w="2653" w:type="dxa"/>
                  <w:noWrap w:val="0"/>
                  <w:vAlign w:val="center"/>
                </w:tcPr>
                <w:p>
                  <w:pPr>
                    <w:autoSpaceDE w:val="0"/>
                    <w:autoSpaceDN w:val="0"/>
                    <w:adjustRightInd w:val="0"/>
                    <w:snapToGrid w:val="0"/>
                    <w:rPr>
                      <w:color w:val="auto"/>
                      <w:kern w:val="0"/>
                      <w:szCs w:val="21"/>
                    </w:rPr>
                  </w:pPr>
                  <w:r>
                    <w:rPr>
                      <w:color w:val="auto"/>
                      <w:kern w:val="0"/>
                      <w:szCs w:val="21"/>
                    </w:rPr>
                    <w:t>本项目</w:t>
                  </w:r>
                  <w:r>
                    <w:rPr>
                      <w:color w:val="auto"/>
                      <w:szCs w:val="21"/>
                    </w:rPr>
                    <w:t>属于</w:t>
                  </w:r>
                  <w:r>
                    <w:rPr>
                      <w:bCs/>
                      <w:color w:val="auto"/>
                      <w:szCs w:val="21"/>
                    </w:rPr>
                    <w:t>光伏设备及元器件制造</w:t>
                  </w:r>
                  <w:r>
                    <w:rPr>
                      <w:color w:val="auto"/>
                      <w:kern w:val="0"/>
                      <w:szCs w:val="21"/>
                    </w:rPr>
                    <w:t>，符合高新区产业定位要求</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3</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严格空间管控，优化区内空间布局。做好规划用地控制和生态隔离带建设，加强对高新区内及周边集中居住区等生活空间的防护，优化集中居住区及周边的用地布局。加强区内大蜀山森林公园，蜀山干渠、柏堰湖、王咀湖等地表水体，绿地等生态空间的保护，严禁不符合环境管控要求的各类开发建设活动</w:t>
                  </w:r>
                </w:p>
              </w:tc>
              <w:tc>
                <w:tcPr>
                  <w:tcW w:w="2653" w:type="dxa"/>
                  <w:noWrap w:val="0"/>
                  <w:vAlign w:val="center"/>
                </w:tcPr>
                <w:p>
                  <w:pPr>
                    <w:autoSpaceDE w:val="0"/>
                    <w:autoSpaceDN w:val="0"/>
                    <w:adjustRightInd w:val="0"/>
                    <w:snapToGrid w:val="0"/>
                    <w:rPr>
                      <w:color w:val="auto"/>
                      <w:kern w:val="0"/>
                      <w:szCs w:val="21"/>
                    </w:rPr>
                  </w:pPr>
                  <w:r>
                    <w:rPr>
                      <w:color w:val="auto"/>
                      <w:kern w:val="0"/>
                      <w:szCs w:val="21"/>
                    </w:rPr>
                    <w:t>本项目位于</w:t>
                  </w:r>
                  <w:r>
                    <w:rPr>
                      <w:rFonts w:hint="eastAsia"/>
                      <w:color w:val="auto"/>
                    </w:rPr>
                    <w:t>合肥市高新技术产业开发区长宁大道与明珠大道交口东北角</w:t>
                  </w:r>
                  <w:r>
                    <w:rPr>
                      <w:color w:val="auto"/>
                      <w:kern w:val="0"/>
                      <w:szCs w:val="21"/>
                    </w:rPr>
                    <w:t>，不属于不符合环境管控要求的开发建设项目</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4</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严守环境质量底线，强化污染物排放总量管控。根据合肥市大气环境质量达标规划、巢湖流域污染防治规划等最新环境管理要求、以及安徽省"三线一单"成果，制定高新区污染减排方案，落实污染物总量管控要求。采取有效措施减少挥发性有机物、重金属污染物的排放量，坚持“增产减污”，确保达标排放和区域环境质量持续改善；</w:t>
                  </w:r>
                </w:p>
              </w:tc>
              <w:tc>
                <w:tcPr>
                  <w:tcW w:w="2653" w:type="dxa"/>
                  <w:noWrap w:val="0"/>
                  <w:vAlign w:val="center"/>
                </w:tcPr>
                <w:p>
                  <w:pPr>
                    <w:autoSpaceDE w:val="0"/>
                    <w:autoSpaceDN w:val="0"/>
                    <w:adjustRightInd w:val="0"/>
                    <w:snapToGrid w:val="0"/>
                    <w:rPr>
                      <w:color w:val="auto"/>
                      <w:kern w:val="0"/>
                      <w:szCs w:val="21"/>
                    </w:rPr>
                  </w:pPr>
                  <w:r>
                    <w:rPr>
                      <w:color w:val="auto"/>
                      <w:kern w:val="0"/>
                      <w:szCs w:val="21"/>
                    </w:rPr>
                    <w:t>本项目建设能够满足合肥市大气环境质量达标规划、巢湖流域污染防治规划等最新环境管理要求以及安徽省"三线一单"成果要求。本项目生产过程产生的有机废气经配套处理设施处理后均能做到达标排放</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5</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推进完善集中供热，落实热电厂节能和超低排放改造。加强挥发性有机物、恶臭污染的治理。固体废物、危险废物应依法依规收集、处理处置</w:t>
                  </w:r>
                </w:p>
              </w:tc>
              <w:tc>
                <w:tcPr>
                  <w:tcW w:w="2653" w:type="dxa"/>
                  <w:noWrap w:val="0"/>
                  <w:vAlign w:val="center"/>
                </w:tcPr>
                <w:p>
                  <w:pPr>
                    <w:autoSpaceDE w:val="0"/>
                    <w:autoSpaceDN w:val="0"/>
                    <w:adjustRightInd w:val="0"/>
                    <w:snapToGrid w:val="0"/>
                    <w:rPr>
                      <w:color w:val="auto"/>
                      <w:kern w:val="0"/>
                      <w:szCs w:val="21"/>
                    </w:rPr>
                  </w:pPr>
                  <w:r>
                    <w:rPr>
                      <w:bCs/>
                      <w:color w:val="auto"/>
                      <w:szCs w:val="21"/>
                    </w:rPr>
                    <w:t>本项目危险废物在厂区危废</w:t>
                  </w:r>
                  <w:r>
                    <w:rPr>
                      <w:rFonts w:hint="eastAsia"/>
                      <w:bCs/>
                      <w:color w:val="auto"/>
                      <w:szCs w:val="21"/>
                      <w:lang w:eastAsia="zh-CN"/>
                    </w:rPr>
                    <w:t>仓库</w:t>
                  </w:r>
                  <w:r>
                    <w:rPr>
                      <w:bCs/>
                      <w:color w:val="auto"/>
                      <w:szCs w:val="21"/>
                    </w:rPr>
                    <w:t>暂存后定期交由有资质单位处置；一般固废委托物资公司回收利用。</w:t>
                  </w:r>
                  <w:r>
                    <w:rPr>
                      <w:color w:val="auto"/>
                      <w:kern w:val="0"/>
                      <w:szCs w:val="21"/>
                    </w:rPr>
                    <w:t>有机废气经配套处理设施处理后能够做到达标排放</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6</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严格项目生态环境准入，推动高质量发展。入园项目应落实《安徽省长江经济带发展负面清单实施细则（试行）》（皖长江办〔2019〕18号）要求，围绕主导产业，确保工艺先进、技术创新、排污量少，并达到清洁生产国际先进水平。禁止引进纯电镀加工类项目，主导产业配套的电镀工序项目应依法依规集中布局</w:t>
                  </w:r>
                </w:p>
              </w:tc>
              <w:tc>
                <w:tcPr>
                  <w:tcW w:w="2653" w:type="dxa"/>
                  <w:noWrap w:val="0"/>
                  <w:vAlign w:val="center"/>
                </w:tcPr>
                <w:p>
                  <w:pPr>
                    <w:autoSpaceDE w:val="0"/>
                    <w:autoSpaceDN w:val="0"/>
                    <w:adjustRightInd w:val="0"/>
                    <w:snapToGrid w:val="0"/>
                    <w:rPr>
                      <w:color w:val="auto"/>
                      <w:kern w:val="0"/>
                      <w:szCs w:val="21"/>
                    </w:rPr>
                  </w:pPr>
                  <w:r>
                    <w:rPr>
                      <w:bCs/>
                      <w:color w:val="auto"/>
                      <w:szCs w:val="21"/>
                    </w:rPr>
                    <w:t>本项目不含电镀工艺，各项污染物经治理后均能实现达标排放，符合</w:t>
                  </w:r>
                  <w:r>
                    <w:rPr>
                      <w:rFonts w:hint="eastAsia"/>
                      <w:color w:val="auto"/>
                    </w:rPr>
                    <w:t>《关于印发安徽省长江经济带发展负面清单实施细则（试行，2022年版）的通知》（皖长江办[2022]10号）</w:t>
                  </w:r>
                  <w:r>
                    <w:rPr>
                      <w:bCs/>
                      <w:color w:val="auto"/>
                      <w:szCs w:val="21"/>
                    </w:rPr>
                    <w:t>要求</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dxa"/>
                  <w:noWrap w:val="0"/>
                  <w:vAlign w:val="center"/>
                </w:tcPr>
                <w:p>
                  <w:pPr>
                    <w:autoSpaceDE w:val="0"/>
                    <w:autoSpaceDN w:val="0"/>
                    <w:adjustRightInd w:val="0"/>
                    <w:snapToGrid w:val="0"/>
                    <w:jc w:val="center"/>
                    <w:rPr>
                      <w:color w:val="auto"/>
                      <w:kern w:val="0"/>
                      <w:szCs w:val="21"/>
                    </w:rPr>
                  </w:pPr>
                  <w:r>
                    <w:rPr>
                      <w:color w:val="auto"/>
                      <w:kern w:val="0"/>
                      <w:szCs w:val="21"/>
                    </w:rPr>
                    <w:t>7</w:t>
                  </w:r>
                </w:p>
              </w:tc>
              <w:tc>
                <w:tcPr>
                  <w:tcW w:w="3905" w:type="dxa"/>
                  <w:noWrap w:val="0"/>
                  <w:vAlign w:val="center"/>
                </w:tcPr>
                <w:p>
                  <w:pPr>
                    <w:autoSpaceDE w:val="0"/>
                    <w:autoSpaceDN w:val="0"/>
                    <w:adjustRightInd w:val="0"/>
                    <w:snapToGrid w:val="0"/>
                    <w:rPr>
                      <w:color w:val="auto"/>
                      <w:kern w:val="0"/>
                      <w:szCs w:val="21"/>
                    </w:rPr>
                  </w:pPr>
                  <w:r>
                    <w:rPr>
                      <w:color w:val="auto"/>
                      <w:kern w:val="0"/>
                      <w:szCs w:val="21"/>
                    </w:rPr>
                    <w:t>组织制定生态环境保护规划，完善环境监测体系。统筹考虑区内污染防治、生态恢复与建设、环境风险防范、环境管理等事宜。建立健全区域环境风险防范体系，建立应急响应联动机制，提升高新区环境风险防控和应急响应能力，保障区域环境安全。完善包括环境空气、地表水、地下水、土壤、底泥等环境要素的监控体系，做好长期跟踪监测与管理</w:t>
                  </w:r>
                </w:p>
              </w:tc>
              <w:tc>
                <w:tcPr>
                  <w:tcW w:w="2653" w:type="dxa"/>
                  <w:noWrap w:val="0"/>
                  <w:vAlign w:val="center"/>
                </w:tcPr>
                <w:p>
                  <w:pPr>
                    <w:autoSpaceDE w:val="0"/>
                    <w:autoSpaceDN w:val="0"/>
                    <w:adjustRightInd w:val="0"/>
                    <w:snapToGrid w:val="0"/>
                    <w:rPr>
                      <w:color w:val="auto"/>
                      <w:kern w:val="0"/>
                      <w:szCs w:val="21"/>
                    </w:rPr>
                  </w:pPr>
                  <w:r>
                    <w:rPr>
                      <w:bCs/>
                      <w:color w:val="auto"/>
                      <w:szCs w:val="21"/>
                    </w:rPr>
                    <w:t>本项目建成后拟按要求落实环境风险防范措施，并按照监测计划定期开展例行监测</w:t>
                  </w:r>
                </w:p>
              </w:tc>
              <w:tc>
                <w:tcPr>
                  <w:tcW w:w="735" w:type="dxa"/>
                  <w:noWrap w:val="0"/>
                  <w:vAlign w:val="center"/>
                </w:tcPr>
                <w:p>
                  <w:pPr>
                    <w:autoSpaceDE w:val="0"/>
                    <w:autoSpaceDN w:val="0"/>
                    <w:adjustRightInd w:val="0"/>
                    <w:snapToGrid w:val="0"/>
                    <w:jc w:val="center"/>
                    <w:rPr>
                      <w:color w:val="auto"/>
                      <w:kern w:val="0"/>
                      <w:szCs w:val="21"/>
                    </w:rPr>
                  </w:pPr>
                  <w:r>
                    <w:rPr>
                      <w:color w:val="auto"/>
                      <w:kern w:val="0"/>
                      <w:szCs w:val="21"/>
                    </w:rPr>
                    <w:t>符合</w:t>
                  </w:r>
                </w:p>
              </w:tc>
            </w:tr>
          </w:tbl>
          <w:p>
            <w:pPr>
              <w:autoSpaceDE w:val="0"/>
              <w:autoSpaceDN w:val="0"/>
              <w:adjustRightInd w:val="0"/>
              <w:snapToGrid w:val="0"/>
              <w:jc w:val="center"/>
              <w:rPr>
                <w:rFonts w:ascii="宋体" w:hAnsi="宋体" w:cs="宋体"/>
                <w:color w:val="auto"/>
                <w:kern w:val="0"/>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48" w:hRule="atLeast"/>
          <w:jc w:val="center"/>
        </w:trPr>
        <w:tc>
          <w:tcPr>
            <w:tcW w:w="697" w:type="dxa"/>
            <w:noWrap w:val="0"/>
            <w:vAlign w:val="center"/>
          </w:tcPr>
          <w:p>
            <w:pPr>
              <w:autoSpaceDE w:val="0"/>
              <w:autoSpaceDN w:val="0"/>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其他符合性分析</w:t>
            </w:r>
          </w:p>
        </w:tc>
        <w:tc>
          <w:tcPr>
            <w:tcW w:w="8173" w:type="dxa"/>
            <w:gridSpan w:val="4"/>
            <w:noWrap w:val="0"/>
            <w:vAlign w:val="center"/>
          </w:tcPr>
          <w:p>
            <w:pPr>
              <w:spacing w:line="360" w:lineRule="auto"/>
              <w:ind w:firstLine="422" w:firstLineChars="175"/>
              <w:rPr>
                <w:rFonts w:hint="eastAsia"/>
                <w:b/>
                <w:bCs/>
                <w:color w:val="auto"/>
                <w:sz w:val="24"/>
              </w:rPr>
            </w:pPr>
            <w:r>
              <w:rPr>
                <w:rFonts w:hint="eastAsia"/>
                <w:b/>
                <w:bCs/>
                <w:color w:val="auto"/>
                <w:sz w:val="24"/>
              </w:rPr>
              <w:t>（一）</w:t>
            </w:r>
            <w:r>
              <w:rPr>
                <w:b/>
                <w:bCs/>
                <w:color w:val="auto"/>
                <w:sz w:val="24"/>
              </w:rPr>
              <w:t>“三线一单”符合性分析</w:t>
            </w:r>
          </w:p>
          <w:p>
            <w:pPr>
              <w:spacing w:line="360" w:lineRule="auto"/>
              <w:ind w:firstLine="420" w:firstLineChars="175"/>
              <w:rPr>
                <w:color w:val="auto"/>
                <w:sz w:val="24"/>
              </w:rPr>
            </w:pPr>
            <w:r>
              <w:rPr>
                <w:color w:val="auto"/>
                <w:sz w:val="24"/>
              </w:rPr>
              <w:t>本项目的“三线一单”符合性分析如下：</w:t>
            </w:r>
          </w:p>
          <w:p>
            <w:pPr>
              <w:spacing w:line="360" w:lineRule="auto"/>
              <w:ind w:firstLine="420" w:firstLineChars="175"/>
              <w:rPr>
                <w:color w:val="auto"/>
                <w:sz w:val="24"/>
              </w:rPr>
            </w:pPr>
            <w:r>
              <w:rPr>
                <w:color w:val="auto"/>
                <w:sz w:val="24"/>
              </w:rPr>
              <w:t>1、生态保护红线：</w:t>
            </w:r>
          </w:p>
          <w:p>
            <w:pPr>
              <w:spacing w:line="360" w:lineRule="auto"/>
              <w:ind w:firstLine="420" w:firstLineChars="175"/>
              <w:rPr>
                <w:color w:val="auto"/>
                <w:sz w:val="24"/>
              </w:rPr>
            </w:pPr>
            <w:r>
              <w:rPr>
                <w:color w:val="auto"/>
                <w:sz w:val="24"/>
              </w:rPr>
              <w:t>本项目位于</w:t>
            </w:r>
            <w:r>
              <w:rPr>
                <w:rFonts w:hint="eastAsia"/>
                <w:color w:val="auto"/>
                <w:sz w:val="24"/>
              </w:rPr>
              <w:t>安徽省合肥高新技术产业开发区长宁大道与明珠大道交口东北角</w:t>
            </w:r>
            <w:r>
              <w:rPr>
                <w:color w:val="auto"/>
                <w:sz w:val="24"/>
              </w:rPr>
              <w:t>，根据</w:t>
            </w:r>
            <w:r>
              <w:rPr>
                <w:rFonts w:hint="eastAsia"/>
                <w:color w:val="auto"/>
                <w:sz w:val="24"/>
              </w:rPr>
              <w:t>《安徽省人民政府关于发布安徽省生态保护红线的通知》（皖政秘〔2018〕120号）</w:t>
            </w:r>
            <w:r>
              <w:rPr>
                <w:rFonts w:hint="eastAsia"/>
                <w:color w:val="auto"/>
                <w:sz w:val="24"/>
                <w:lang w:eastAsia="zh-CN"/>
              </w:rPr>
              <w:t>及</w:t>
            </w:r>
            <w:r>
              <w:rPr>
                <w:color w:val="auto"/>
                <w:sz w:val="24"/>
              </w:rPr>
              <w:t>合肥市生态红线保护图可知，本项目厂界距离最近</w:t>
            </w:r>
            <w:r>
              <w:rPr>
                <w:rFonts w:hint="eastAsia"/>
                <w:color w:val="auto"/>
                <w:sz w:val="24"/>
              </w:rPr>
              <w:t>生态</w:t>
            </w:r>
            <w:r>
              <w:rPr>
                <w:color w:val="auto"/>
                <w:sz w:val="24"/>
              </w:rPr>
              <w:t>红线大蜀山国家森林公园为</w:t>
            </w:r>
            <w:r>
              <w:rPr>
                <w:rFonts w:hint="eastAsia"/>
                <w:color w:val="auto"/>
                <w:sz w:val="24"/>
              </w:rPr>
              <w:t>5.325k</w:t>
            </w:r>
            <w:r>
              <w:rPr>
                <w:color w:val="auto"/>
                <w:sz w:val="24"/>
              </w:rPr>
              <w:t>m，方位为</w:t>
            </w:r>
            <w:r>
              <w:rPr>
                <w:rFonts w:hint="eastAsia"/>
                <w:color w:val="auto"/>
                <w:sz w:val="24"/>
              </w:rPr>
              <w:t>NE</w:t>
            </w:r>
            <w:r>
              <w:rPr>
                <w:color w:val="auto"/>
                <w:sz w:val="24"/>
              </w:rPr>
              <w:t>，</w:t>
            </w:r>
            <w:r>
              <w:rPr>
                <w:rFonts w:hint="eastAsia"/>
                <w:color w:val="auto"/>
                <w:sz w:val="24"/>
                <w:lang w:eastAsia="zh-CN"/>
              </w:rPr>
              <w:t>不涉及生态红线，</w:t>
            </w:r>
            <w:r>
              <w:rPr>
                <w:color w:val="auto"/>
                <w:sz w:val="24"/>
              </w:rPr>
              <w:t>故本项目建设符合生态保护红线要求。</w:t>
            </w:r>
          </w:p>
          <w:p>
            <w:pPr>
              <w:spacing w:line="360" w:lineRule="auto"/>
              <w:ind w:firstLine="420" w:firstLineChars="175"/>
              <w:rPr>
                <w:color w:val="auto"/>
                <w:sz w:val="24"/>
              </w:rPr>
            </w:pPr>
            <w:r>
              <w:rPr>
                <w:color w:val="auto"/>
                <w:sz w:val="24"/>
              </w:rPr>
              <w:t>2、环境质量底线及分区管控：</w:t>
            </w:r>
          </w:p>
          <w:p>
            <w:pPr>
              <w:spacing w:line="360" w:lineRule="auto"/>
              <w:ind w:firstLine="480" w:firstLineChars="200"/>
              <w:rPr>
                <w:color w:val="auto"/>
                <w:sz w:val="24"/>
              </w:rPr>
            </w:pPr>
            <w:r>
              <w:rPr>
                <w:color w:val="auto"/>
                <w:sz w:val="24"/>
              </w:rPr>
              <w:t>①</w:t>
            </w:r>
            <w:r>
              <w:rPr>
                <w:rFonts w:hint="eastAsia"/>
                <w:color w:val="auto"/>
                <w:sz w:val="24"/>
                <w:lang w:eastAsia="zh-CN"/>
              </w:rPr>
              <w:t>大气环境</w:t>
            </w:r>
            <w:r>
              <w:rPr>
                <w:color w:val="auto"/>
                <w:sz w:val="24"/>
              </w:rPr>
              <w:t>质量底线及分区管控</w:t>
            </w:r>
          </w:p>
          <w:p>
            <w:pPr>
              <w:spacing w:line="360" w:lineRule="auto"/>
              <w:ind w:firstLine="480" w:firstLineChars="200"/>
              <w:rPr>
                <w:color w:val="auto"/>
                <w:sz w:val="24"/>
              </w:rPr>
            </w:pPr>
            <w:r>
              <w:rPr>
                <w:color w:val="auto"/>
                <w:sz w:val="24"/>
              </w:rPr>
              <w:t>A.大</w:t>
            </w:r>
            <w:r>
              <w:rPr>
                <w:rFonts w:hint="eastAsia"/>
                <w:color w:val="auto"/>
                <w:sz w:val="24"/>
                <w:lang w:eastAsia="zh-CN"/>
              </w:rPr>
              <w:t>环境空气</w:t>
            </w:r>
            <w:r>
              <w:rPr>
                <w:color w:val="auto"/>
                <w:sz w:val="24"/>
              </w:rPr>
              <w:t>质量底线</w:t>
            </w:r>
          </w:p>
          <w:p>
            <w:pPr>
              <w:spacing w:line="360" w:lineRule="auto"/>
              <w:ind w:firstLine="480" w:firstLineChars="200"/>
              <w:rPr>
                <w:color w:val="auto"/>
                <w:sz w:val="24"/>
              </w:rPr>
            </w:pPr>
            <w:r>
              <w:rPr>
                <w:color w:val="auto"/>
                <w:sz w:val="24"/>
              </w:rPr>
              <w:t>到2025年，在2020年目标的基础上，合肥市PM</w:t>
            </w:r>
            <w:r>
              <w:rPr>
                <w:color w:val="auto"/>
                <w:sz w:val="24"/>
                <w:vertAlign w:val="subscript"/>
              </w:rPr>
              <w:t>2.5</w:t>
            </w:r>
            <w:r>
              <w:rPr>
                <w:color w:val="auto"/>
                <w:sz w:val="24"/>
              </w:rPr>
              <w:t>平均浓度暂定为下降至36微克/立方米；到2035年，合肥市PM</w:t>
            </w:r>
            <w:r>
              <w:rPr>
                <w:color w:val="auto"/>
                <w:sz w:val="24"/>
                <w:vertAlign w:val="subscript"/>
              </w:rPr>
              <w:t>2.5</w:t>
            </w:r>
            <w:r>
              <w:rPr>
                <w:color w:val="auto"/>
                <w:sz w:val="24"/>
              </w:rPr>
              <w:t>平均浓度目标暂定为35微克/立方米。2025年、2035年目标值均为暂定，最终以“十四五”、“十六五”生态环境保护规划确定的目标为准。</w:t>
            </w:r>
          </w:p>
          <w:p>
            <w:pPr>
              <w:spacing w:line="360" w:lineRule="auto"/>
              <w:ind w:firstLine="480" w:firstLineChars="200"/>
              <w:rPr>
                <w:color w:val="auto"/>
                <w:sz w:val="24"/>
              </w:rPr>
            </w:pPr>
            <w:r>
              <w:rPr>
                <w:color w:val="auto"/>
                <w:sz w:val="24"/>
              </w:rPr>
              <w:t>本项目位于合肥高新技术产业开发区内，</w:t>
            </w:r>
            <w:r>
              <w:rPr>
                <w:color w:val="auto"/>
                <w:spacing w:val="-8"/>
                <w:sz w:val="24"/>
              </w:rPr>
              <w:t>根据《2021年合肥市生态环境状况公报》，</w:t>
            </w:r>
            <w:r>
              <w:rPr>
                <w:color w:val="auto"/>
                <w:sz w:val="24"/>
              </w:rPr>
              <w:t>合肥市环境空气NO</w:t>
            </w:r>
            <w:r>
              <w:rPr>
                <w:color w:val="auto"/>
                <w:sz w:val="24"/>
                <w:vertAlign w:val="subscript"/>
              </w:rPr>
              <w:t>2</w:t>
            </w:r>
            <w:r>
              <w:rPr>
                <w:color w:val="auto"/>
                <w:sz w:val="24"/>
              </w:rPr>
              <w:t>、SO</w:t>
            </w:r>
            <w:r>
              <w:rPr>
                <w:color w:val="auto"/>
                <w:sz w:val="24"/>
                <w:vertAlign w:val="subscript"/>
              </w:rPr>
              <w:t>2</w:t>
            </w:r>
            <w:r>
              <w:rPr>
                <w:color w:val="auto"/>
                <w:sz w:val="24"/>
              </w:rPr>
              <w:t>、PM</w:t>
            </w:r>
            <w:r>
              <w:rPr>
                <w:color w:val="auto"/>
                <w:sz w:val="24"/>
                <w:vertAlign w:val="subscript"/>
              </w:rPr>
              <w:t>2.5</w:t>
            </w:r>
            <w:r>
              <w:rPr>
                <w:color w:val="auto"/>
                <w:sz w:val="24"/>
              </w:rPr>
              <w:t>、PM</w:t>
            </w:r>
            <w:r>
              <w:rPr>
                <w:color w:val="auto"/>
                <w:sz w:val="24"/>
                <w:vertAlign w:val="subscript"/>
              </w:rPr>
              <w:t>10</w:t>
            </w:r>
            <w:r>
              <w:rPr>
                <w:color w:val="auto"/>
                <w:sz w:val="24"/>
              </w:rPr>
              <w:t>、CO以及O</w:t>
            </w:r>
            <w:r>
              <w:rPr>
                <w:color w:val="auto"/>
                <w:sz w:val="24"/>
                <w:vertAlign w:val="subscript"/>
              </w:rPr>
              <w:t>3</w:t>
            </w:r>
            <w:r>
              <w:rPr>
                <w:color w:val="auto"/>
                <w:sz w:val="24"/>
              </w:rPr>
              <w:t>年平均浓度值均满足《环境空气质量标准》(GB3095-2012)中二级标准，本项目区为环境空气质量达标区；</w:t>
            </w:r>
            <w:r>
              <w:rPr>
                <w:rFonts w:hint="eastAsia"/>
                <w:color w:val="auto"/>
                <w:sz w:val="24"/>
              </w:rPr>
              <w:t>根据区域监测数据，项目所在</w:t>
            </w:r>
            <w:r>
              <w:rPr>
                <w:color w:val="auto"/>
                <w:sz w:val="24"/>
              </w:rPr>
              <w:t>区域环境空气非甲烷总烃</w:t>
            </w:r>
            <w:r>
              <w:rPr>
                <w:rFonts w:hint="eastAsia"/>
                <w:color w:val="auto"/>
                <w:sz w:val="24"/>
              </w:rPr>
              <w:t>、锡及其化合物</w:t>
            </w:r>
            <w:r>
              <w:rPr>
                <w:rFonts w:hint="eastAsia"/>
                <w:color w:val="auto"/>
                <w:sz w:val="24"/>
                <w:lang w:eastAsia="zh-CN"/>
              </w:rPr>
              <w:t>、</w:t>
            </w:r>
            <w:r>
              <w:rPr>
                <w:rFonts w:hint="eastAsia"/>
                <w:color w:val="auto"/>
                <w:sz w:val="24"/>
                <w:lang w:val="en-US" w:eastAsia="zh-CN"/>
              </w:rPr>
              <w:t>二甲苯</w:t>
            </w:r>
            <w:r>
              <w:rPr>
                <w:color w:val="auto"/>
                <w:sz w:val="24"/>
              </w:rPr>
              <w:t>质量浓度满足相应大气环境质量标准。</w:t>
            </w:r>
          </w:p>
          <w:p>
            <w:pPr>
              <w:spacing w:line="360" w:lineRule="auto"/>
              <w:ind w:firstLine="480" w:firstLineChars="200"/>
              <w:rPr>
                <w:color w:val="auto"/>
                <w:sz w:val="24"/>
              </w:rPr>
            </w:pPr>
            <w:r>
              <w:rPr>
                <w:color w:val="auto"/>
                <w:sz w:val="24"/>
              </w:rPr>
              <w:t>B.大气环境分区管控</w:t>
            </w:r>
          </w:p>
          <w:p>
            <w:pPr>
              <w:spacing w:line="360" w:lineRule="auto"/>
              <w:ind w:firstLine="420" w:firstLineChars="175"/>
              <w:rPr>
                <w:color w:val="auto"/>
                <w:sz w:val="24"/>
              </w:rPr>
            </w:pPr>
            <w:r>
              <w:rPr>
                <w:color w:val="auto"/>
                <w:sz w:val="24"/>
              </w:rPr>
              <w:t>对照合肥市大气环境分区管控图，项目位于高排重点管控区，管控要求如下：落实《安徽省大气污染防治条例》、《“十三五”生态环境保护规划》、《安徽省“十三五”环境保护规划》《打赢蓝天保卫战三年行动计划》、《安徽省打赢蓝天保卫战三年行动计划实施方案》、《重点行业挥发性有机物综合治理方案》、《合肥市大气污染防治条例》《合肥市“十三五”生态环境建设规划》、《合肥市打赢蓝天保卫战三年行动计划实施方案》等要求，严格目标实施计划，加强环境监管，促进生态环境质量好转。新建、改建和扩建项目大气污染物实施“倍量替代”，执行特别排放标准的行业实施提标升级改造。</w:t>
            </w:r>
          </w:p>
          <w:p>
            <w:pPr>
              <w:spacing w:line="360" w:lineRule="auto"/>
              <w:ind w:firstLine="480" w:firstLineChars="200"/>
              <w:rPr>
                <w:color w:val="auto"/>
                <w:sz w:val="24"/>
              </w:rPr>
            </w:pPr>
            <w:r>
              <w:rPr>
                <w:color w:val="auto"/>
                <w:sz w:val="24"/>
              </w:rPr>
              <w:t>本项目废气污染物为</w:t>
            </w:r>
            <w:r>
              <w:rPr>
                <w:rFonts w:hint="eastAsia"/>
                <w:color w:val="auto"/>
                <w:sz w:val="24"/>
              </w:rPr>
              <w:t>非甲烷总烃、颗粒物、锡及其化合物</w:t>
            </w:r>
            <w:r>
              <w:rPr>
                <w:rFonts w:hint="eastAsia"/>
                <w:color w:val="auto"/>
                <w:sz w:val="24"/>
                <w:lang w:eastAsia="zh-CN"/>
              </w:rPr>
              <w:t>、二甲苯</w:t>
            </w:r>
            <w:r>
              <w:rPr>
                <w:color w:val="auto"/>
                <w:sz w:val="24"/>
              </w:rPr>
              <w:t>，通过</w:t>
            </w:r>
            <w:r>
              <w:rPr>
                <w:rFonts w:hint="eastAsia"/>
                <w:color w:val="auto"/>
                <w:sz w:val="24"/>
              </w:rPr>
              <w:t>配套</w:t>
            </w:r>
            <w:r>
              <w:rPr>
                <w:color w:val="auto"/>
                <w:sz w:val="24"/>
              </w:rPr>
              <w:t>废气处理装置处理后污染物能够实现达标排放，不会对区域大气环境产生明显影响，项目的建设不会降低区域</w:t>
            </w:r>
            <w:r>
              <w:rPr>
                <w:rFonts w:hint="eastAsia"/>
                <w:color w:val="auto"/>
                <w:sz w:val="24"/>
                <w:lang w:eastAsia="zh-CN"/>
              </w:rPr>
              <w:t>环境空气</w:t>
            </w:r>
            <w:r>
              <w:rPr>
                <w:color w:val="auto"/>
                <w:sz w:val="24"/>
              </w:rPr>
              <w:t>质量功能，能够满足区域大气环境质量底线要求。综上，本项目</w:t>
            </w:r>
            <w:r>
              <w:rPr>
                <w:rFonts w:hint="eastAsia"/>
                <w:color w:val="auto"/>
                <w:sz w:val="24"/>
              </w:rPr>
              <w:t>建设能够</w:t>
            </w:r>
            <w:r>
              <w:rPr>
                <w:color w:val="auto"/>
                <w:sz w:val="24"/>
              </w:rPr>
              <w:t>满足</w:t>
            </w:r>
            <w:r>
              <w:rPr>
                <w:rFonts w:hint="eastAsia"/>
                <w:color w:val="auto"/>
                <w:sz w:val="24"/>
                <w:lang w:eastAsia="zh-CN"/>
              </w:rPr>
              <w:t>环境空气</w:t>
            </w:r>
            <w:r>
              <w:rPr>
                <w:color w:val="auto"/>
                <w:sz w:val="24"/>
              </w:rPr>
              <w:t>重点管控区要求。</w:t>
            </w:r>
          </w:p>
          <w:p>
            <w:pPr>
              <w:spacing w:line="360" w:lineRule="auto"/>
              <w:ind w:firstLine="480" w:firstLineChars="200"/>
              <w:rPr>
                <w:color w:val="auto"/>
                <w:sz w:val="24"/>
              </w:rPr>
            </w:pPr>
            <w:r>
              <w:rPr>
                <w:color w:val="auto"/>
                <w:sz w:val="24"/>
              </w:rPr>
              <w:t>②水环境质量底线及分区管控</w:t>
            </w:r>
          </w:p>
          <w:p>
            <w:pPr>
              <w:spacing w:line="360" w:lineRule="auto"/>
              <w:ind w:firstLine="480" w:firstLineChars="200"/>
              <w:rPr>
                <w:color w:val="auto"/>
                <w:sz w:val="24"/>
              </w:rPr>
            </w:pPr>
            <w:r>
              <w:rPr>
                <w:color w:val="auto"/>
                <w:sz w:val="24"/>
              </w:rPr>
              <w:t>A.水环境质量底线</w:t>
            </w:r>
          </w:p>
          <w:p>
            <w:pPr>
              <w:spacing w:line="360" w:lineRule="auto"/>
              <w:ind w:firstLine="420" w:firstLineChars="175"/>
              <w:rPr>
                <w:color w:val="auto"/>
                <w:sz w:val="24"/>
              </w:rPr>
            </w:pPr>
            <w:r>
              <w:rPr>
                <w:color w:val="auto"/>
                <w:sz w:val="24"/>
              </w:rPr>
              <w:t>到2025年，地表水水质优良（达到或优于Ⅲ类）断面比例达到75%；到2035年，暂时维持2025年目标。2025年、2035年目标值均为暂定，最终以“十四五”、“十六五”生态环境保护规划确定的目标为准。</w:t>
            </w:r>
          </w:p>
          <w:p>
            <w:pPr>
              <w:spacing w:line="360" w:lineRule="auto"/>
              <w:ind w:firstLine="420" w:firstLineChars="175"/>
              <w:rPr>
                <w:color w:val="auto"/>
                <w:sz w:val="24"/>
              </w:rPr>
            </w:pPr>
            <w:r>
              <w:rPr>
                <w:color w:val="auto"/>
                <w:sz w:val="24"/>
              </w:rPr>
              <w:t>根据《2021年合肥市生态环境状况公报》</w:t>
            </w:r>
            <w:r>
              <w:rPr>
                <w:rFonts w:hint="eastAsia"/>
                <w:color w:val="auto"/>
                <w:sz w:val="24"/>
              </w:rPr>
              <w:t>，本项目区域地表水</w:t>
            </w:r>
            <w:r>
              <w:rPr>
                <w:color w:val="auto"/>
                <w:sz w:val="24"/>
              </w:rPr>
              <w:t>派河的氨氮和总磷浓度均呈下降趋势</w:t>
            </w:r>
            <w:r>
              <w:rPr>
                <w:rFonts w:hint="eastAsia"/>
                <w:color w:val="auto"/>
                <w:sz w:val="24"/>
              </w:rPr>
              <w:t>，</w:t>
            </w:r>
            <w:r>
              <w:rPr>
                <w:color w:val="auto"/>
                <w:sz w:val="24"/>
              </w:rPr>
              <w:t>派河氨氮和总磷浓度分别为0.89mg/L和0.145mg/L ，较去年同期分别下降24.57%和4.61%。根据合肥市《南淝河、十五里河、派河、双桥河水体达标方案》，拟通过外源截污、底泥清淤、水生生态修复、旁路人工湿地净化、生态补水，加强周边企业监管，严格环境执法、完善排污许可制度和总量控制等措施，确保</w:t>
            </w:r>
            <w:r>
              <w:rPr>
                <w:rFonts w:hint="eastAsia"/>
                <w:color w:val="auto"/>
                <w:sz w:val="24"/>
              </w:rPr>
              <w:t>派河</w:t>
            </w:r>
            <w:r>
              <w:rPr>
                <w:color w:val="auto"/>
                <w:sz w:val="24"/>
              </w:rPr>
              <w:t>水质达标。</w:t>
            </w:r>
          </w:p>
          <w:p>
            <w:pPr>
              <w:spacing w:line="360" w:lineRule="auto"/>
              <w:ind w:firstLine="480" w:firstLineChars="200"/>
              <w:rPr>
                <w:color w:val="auto"/>
                <w:sz w:val="24"/>
              </w:rPr>
            </w:pPr>
            <w:r>
              <w:rPr>
                <w:color w:val="auto"/>
                <w:sz w:val="24"/>
              </w:rPr>
              <w:t>B.水环境分区管控</w:t>
            </w:r>
          </w:p>
          <w:p>
            <w:pPr>
              <w:spacing w:line="360" w:lineRule="auto"/>
              <w:ind w:firstLine="420" w:firstLineChars="175"/>
              <w:rPr>
                <w:color w:val="auto"/>
                <w:sz w:val="24"/>
              </w:rPr>
            </w:pPr>
            <w:r>
              <w:rPr>
                <w:color w:val="auto"/>
                <w:sz w:val="24"/>
              </w:rPr>
              <w:t>对照合肥市水环境分区管控图，项目区域属于水环境工业污染重点管控区，管控要求如下：依据《中华人民共和国水污染防治法》、《水污染防治行动计划》、《安徽省水污染防治工作方案》、《合肥市水污染防治工作方案》对重点管控区实施管控；依据《安徽省淮河流域水污染防治条例》对淮河流域实施管控；依据《巢湖流域水污染防治条例》、《巢湖综合治理绿色发展总体规划》、《巢湖流域农业面源污染防治实施方案》、《关于建设绿色发展美丽巢湖的意见》对巢湖流域实施管控；依据《合肥市水环境保护条例》对合肥市实施管控；依据开发区规划、规划环评及审查意见相关要求对开发区实施管控；落实《“十三五”生态环境保护规划》、《安徽省“十三五”环境保护规划》、《安徽省“十三五”节能减排实施方案》、《合肥市“十三五”生态环境建设规划》、《合肥市“十三五”节能减排综合性工作方案》等要求，新建、改建和扩建项目水污染物实施“等量替代”。</w:t>
            </w:r>
          </w:p>
          <w:p>
            <w:pPr>
              <w:spacing w:line="360" w:lineRule="auto"/>
              <w:ind w:firstLine="480" w:firstLineChars="200"/>
              <w:rPr>
                <w:color w:val="auto"/>
                <w:sz w:val="24"/>
              </w:rPr>
            </w:pPr>
            <w:r>
              <w:rPr>
                <w:color w:val="auto"/>
                <w:sz w:val="24"/>
              </w:rPr>
              <w:t>本项目废水</w:t>
            </w:r>
            <w:r>
              <w:rPr>
                <w:rFonts w:hint="eastAsia"/>
                <w:color w:val="auto"/>
                <w:sz w:val="24"/>
              </w:rPr>
              <w:t>主要为生活污水、保洁废水</w:t>
            </w:r>
            <w:r>
              <w:rPr>
                <w:rFonts w:hint="eastAsia"/>
                <w:color w:val="auto"/>
                <w:sz w:val="24"/>
                <w:lang w:eastAsia="zh-CN"/>
              </w:rPr>
              <w:t>、循环冷却系统排水</w:t>
            </w:r>
            <w:r>
              <w:rPr>
                <w:rFonts w:hint="eastAsia"/>
                <w:color w:val="auto"/>
                <w:sz w:val="24"/>
              </w:rPr>
              <w:t>和</w:t>
            </w:r>
            <w:r>
              <w:rPr>
                <w:rFonts w:hint="eastAsia"/>
                <w:color w:val="auto"/>
                <w:sz w:val="24"/>
                <w:lang w:eastAsia="zh-CN"/>
              </w:rPr>
              <w:t>蒸汽冷凝水</w:t>
            </w:r>
            <w:r>
              <w:rPr>
                <w:rFonts w:hint="eastAsia"/>
                <w:color w:val="auto"/>
                <w:sz w:val="24"/>
              </w:rPr>
              <w:t>，</w:t>
            </w:r>
            <w:r>
              <w:rPr>
                <w:color w:val="auto"/>
                <w:sz w:val="24"/>
              </w:rPr>
              <w:t>预处理满足</w:t>
            </w:r>
            <w:r>
              <w:rPr>
                <w:color w:val="auto"/>
                <w:kern w:val="0"/>
                <w:sz w:val="24"/>
              </w:rPr>
              <w:t>接管限值</w:t>
            </w:r>
            <w:r>
              <w:rPr>
                <w:color w:val="auto"/>
                <w:sz w:val="24"/>
              </w:rPr>
              <w:t>后</w:t>
            </w:r>
            <w:r>
              <w:rPr>
                <w:rFonts w:hint="eastAsia"/>
                <w:color w:val="auto"/>
                <w:sz w:val="24"/>
              </w:rPr>
              <w:t>进</w:t>
            </w:r>
            <w:r>
              <w:rPr>
                <w:color w:val="auto"/>
                <w:sz w:val="24"/>
              </w:rPr>
              <w:t>入</w:t>
            </w:r>
            <w:r>
              <w:rPr>
                <w:rFonts w:hint="eastAsia"/>
                <w:color w:val="auto"/>
                <w:sz w:val="24"/>
              </w:rPr>
              <w:t>西部组团</w:t>
            </w:r>
            <w:r>
              <w:rPr>
                <w:color w:val="auto"/>
                <w:sz w:val="24"/>
              </w:rPr>
              <w:t>污水处理厂深度处理达标后排入</w:t>
            </w:r>
            <w:r>
              <w:rPr>
                <w:rFonts w:hint="eastAsia"/>
                <w:color w:val="auto"/>
                <w:sz w:val="24"/>
              </w:rPr>
              <w:t>派河</w:t>
            </w:r>
            <w:r>
              <w:rPr>
                <w:color w:val="auto"/>
                <w:sz w:val="24"/>
              </w:rPr>
              <w:t>。项目的建设不会对区域地表水环境质量产生明显影响，不会降低区域地表水环境质量功能，能够满足区域地表水环境质量底线要求。综上，本项目满足水环境工业污染重点管控区要求。</w:t>
            </w:r>
          </w:p>
          <w:p>
            <w:pPr>
              <w:spacing w:line="360" w:lineRule="auto"/>
              <w:ind w:firstLine="420" w:firstLineChars="175"/>
              <w:rPr>
                <w:color w:val="auto"/>
                <w:sz w:val="24"/>
              </w:rPr>
            </w:pPr>
            <w:r>
              <w:rPr>
                <w:color w:val="auto"/>
                <w:sz w:val="24"/>
              </w:rPr>
              <w:t>③声环境质量底线</w:t>
            </w:r>
          </w:p>
          <w:p>
            <w:pPr>
              <w:spacing w:line="360" w:lineRule="auto"/>
              <w:ind w:firstLine="420" w:firstLineChars="175"/>
              <w:rPr>
                <w:color w:val="auto"/>
                <w:sz w:val="24"/>
              </w:rPr>
            </w:pPr>
            <w:r>
              <w:rPr>
                <w:color w:val="auto"/>
                <w:sz w:val="24"/>
                <w:szCs w:val="32"/>
              </w:rPr>
              <w:t>根据</w:t>
            </w:r>
            <w:r>
              <w:rPr>
                <w:color w:val="auto"/>
                <w:spacing w:val="-8"/>
                <w:sz w:val="24"/>
              </w:rPr>
              <w:t>《2021年合肥市生态环境状况公报》</w:t>
            </w:r>
            <w:r>
              <w:rPr>
                <w:rFonts w:hint="eastAsia"/>
                <w:color w:val="auto"/>
                <w:sz w:val="24"/>
              </w:rPr>
              <w:t>，项目区域</w:t>
            </w:r>
            <w:r>
              <w:rPr>
                <w:color w:val="auto"/>
                <w:sz w:val="24"/>
              </w:rPr>
              <w:t>声环境质量现状能够满足《声环境质量标准》（GB3096-2008）中</w:t>
            </w:r>
            <w:r>
              <w:rPr>
                <w:rFonts w:hint="eastAsia"/>
                <w:color w:val="auto"/>
                <w:sz w:val="24"/>
              </w:rPr>
              <w:t>3</w:t>
            </w:r>
            <w:r>
              <w:rPr>
                <w:color w:val="auto"/>
                <w:sz w:val="24"/>
              </w:rPr>
              <w:t>类区标准要求。本项目的建设不会对区域声环境质量产生明显影响，不会降低区域声环境质量功能，能够满足区域声环境质量底线要求。</w:t>
            </w:r>
          </w:p>
          <w:p>
            <w:pPr>
              <w:spacing w:line="360" w:lineRule="auto"/>
              <w:ind w:firstLine="480" w:firstLineChars="200"/>
              <w:rPr>
                <w:color w:val="auto"/>
                <w:sz w:val="24"/>
              </w:rPr>
            </w:pPr>
            <w:r>
              <w:rPr>
                <w:color w:val="auto"/>
                <w:sz w:val="24"/>
              </w:rPr>
              <w:t>3、资源利用上线：</w:t>
            </w:r>
          </w:p>
          <w:p>
            <w:pPr>
              <w:spacing w:line="360" w:lineRule="auto"/>
              <w:ind w:firstLine="420" w:firstLineChars="175"/>
              <w:rPr>
                <w:color w:val="auto"/>
                <w:sz w:val="24"/>
              </w:rPr>
            </w:pPr>
            <w:r>
              <w:rPr>
                <w:color w:val="auto"/>
                <w:sz w:val="24"/>
              </w:rPr>
              <w:t>本项目位于合肥高新技术产业开发区内，项目水、电、蒸汽由园区供水、供电、蒸汽管网提供，余量充足。项目使用的原材料均为外购，对当地资源利用影响较小。因此，项目建设符合资源利用上线要求。</w:t>
            </w:r>
          </w:p>
          <w:p>
            <w:pPr>
              <w:spacing w:line="360" w:lineRule="auto"/>
              <w:ind w:firstLine="420" w:firstLineChars="175"/>
              <w:rPr>
                <w:color w:val="auto"/>
                <w:sz w:val="24"/>
              </w:rPr>
            </w:pPr>
            <w:r>
              <w:rPr>
                <w:color w:val="auto"/>
                <w:sz w:val="24"/>
              </w:rPr>
              <w:t>4、生态环境准入清单</w:t>
            </w:r>
          </w:p>
          <w:p>
            <w:pPr>
              <w:pStyle w:val="11"/>
              <w:spacing w:before="0" w:after="0" w:line="360" w:lineRule="auto"/>
              <w:ind w:right="0" w:firstLine="480" w:firstLineChars="200"/>
              <w:rPr>
                <w:color w:val="auto"/>
                <w:sz w:val="24"/>
                <w:szCs w:val="24"/>
              </w:rPr>
            </w:pPr>
            <w:r>
              <w:rPr>
                <w:color w:val="auto"/>
                <w:sz w:val="24"/>
              </w:rPr>
              <w:t>本项目位于合肥高新技术产业开发区内，</w:t>
            </w:r>
            <w:r>
              <w:rPr>
                <w:color w:val="auto"/>
                <w:sz w:val="24"/>
                <w:szCs w:val="24"/>
              </w:rPr>
              <w:t>禁止进入行业负面清单为建材加工、化工及化学原料制造、造纸及纸制品业、皮革毛皮羽绒及其制造业、黑色金属冶炼及压延加工业、印染类、炼油、产生致癌致畸致突变的项目。</w:t>
            </w:r>
          </w:p>
          <w:p>
            <w:pPr>
              <w:spacing w:line="360" w:lineRule="auto"/>
              <w:ind w:firstLine="420" w:firstLineChars="175"/>
              <w:rPr>
                <w:rFonts w:hint="eastAsia"/>
                <w:color w:val="auto"/>
                <w:sz w:val="24"/>
              </w:rPr>
            </w:pPr>
            <w:r>
              <w:rPr>
                <w:color w:val="auto"/>
                <w:sz w:val="24"/>
              </w:rPr>
              <w:t>本项目属于本项目属光伏设备及元器件制造，</w:t>
            </w:r>
            <w:r>
              <w:rPr>
                <w:rFonts w:hint="eastAsia"/>
                <w:color w:val="auto"/>
                <w:sz w:val="24"/>
              </w:rPr>
              <w:t>属于</w:t>
            </w:r>
            <w:r>
              <w:rPr>
                <w:color w:val="auto"/>
                <w:sz w:val="24"/>
              </w:rPr>
              <w:t>高新区</w:t>
            </w:r>
            <w:r>
              <w:rPr>
                <w:rFonts w:hint="eastAsia"/>
                <w:color w:val="auto"/>
                <w:sz w:val="24"/>
              </w:rPr>
              <w:t>主导</w:t>
            </w:r>
            <w:r>
              <w:rPr>
                <w:color w:val="auto"/>
                <w:sz w:val="24"/>
              </w:rPr>
              <w:t>产业，不属于园区禁止入驻的项目。本项目不属于《长江经济带发展负面清单指南（试行，2022年版）》提出的禁止类项目、《市场准入负面清单（2022年版）》中提出的禁止类项目、《巢湖流域禁止和限制的产业目录》中的禁止类和限制类产业。</w:t>
            </w:r>
            <w:r>
              <w:rPr>
                <w:rFonts w:hint="eastAsia"/>
                <w:color w:val="auto"/>
                <w:sz w:val="24"/>
              </w:rPr>
              <w:t>因此本项目建设能够满足</w:t>
            </w:r>
            <w:r>
              <w:rPr>
                <w:color w:val="auto"/>
                <w:sz w:val="24"/>
              </w:rPr>
              <w:t>生态环境准入清单</w:t>
            </w:r>
            <w:r>
              <w:rPr>
                <w:rFonts w:hint="eastAsia"/>
                <w:color w:val="auto"/>
                <w:sz w:val="24"/>
              </w:rPr>
              <w:t>要求。</w:t>
            </w:r>
          </w:p>
          <w:p>
            <w:pPr>
              <w:spacing w:line="360" w:lineRule="auto"/>
              <w:ind w:firstLine="420" w:firstLineChars="175"/>
              <w:rPr>
                <w:color w:val="auto"/>
                <w:sz w:val="24"/>
              </w:rPr>
            </w:pPr>
            <w:r>
              <w:rPr>
                <w:color w:val="auto"/>
                <w:sz w:val="24"/>
              </w:rPr>
              <w:t>综上所述，本项目建设能够满足“三线一单”要求。</w:t>
            </w:r>
          </w:p>
          <w:p>
            <w:pPr>
              <w:spacing w:line="360" w:lineRule="auto"/>
              <w:ind w:firstLine="482" w:firstLineChars="200"/>
              <w:rPr>
                <w:b/>
                <w:color w:val="auto"/>
                <w:kern w:val="0"/>
                <w:sz w:val="24"/>
              </w:rPr>
            </w:pPr>
            <w:r>
              <w:rPr>
                <w:rFonts w:hint="eastAsia"/>
                <w:b/>
                <w:color w:val="auto"/>
                <w:kern w:val="0"/>
                <w:sz w:val="24"/>
              </w:rPr>
              <w:t>（二）</w:t>
            </w:r>
            <w:r>
              <w:rPr>
                <w:b/>
                <w:color w:val="auto"/>
                <w:kern w:val="0"/>
                <w:sz w:val="24"/>
              </w:rPr>
              <w:t>与相关</w:t>
            </w:r>
            <w:r>
              <w:rPr>
                <w:rFonts w:hint="eastAsia"/>
                <w:b/>
                <w:color w:val="auto"/>
                <w:kern w:val="0"/>
                <w:sz w:val="24"/>
              </w:rPr>
              <w:t>法规、</w:t>
            </w:r>
            <w:r>
              <w:rPr>
                <w:b/>
                <w:color w:val="auto"/>
                <w:kern w:val="0"/>
                <w:sz w:val="24"/>
              </w:rPr>
              <w:t>政策</w:t>
            </w:r>
            <w:r>
              <w:rPr>
                <w:rFonts w:hint="eastAsia"/>
                <w:b/>
                <w:color w:val="auto"/>
                <w:kern w:val="0"/>
                <w:sz w:val="24"/>
              </w:rPr>
              <w:t>及生态环境保护规划的符合性分析</w:t>
            </w:r>
          </w:p>
          <w:p>
            <w:pPr>
              <w:spacing w:line="360" w:lineRule="auto"/>
              <w:ind w:firstLine="482" w:firstLineChars="200"/>
              <w:rPr>
                <w:rFonts w:hint="eastAsia"/>
                <w:b/>
                <w:color w:val="auto"/>
                <w:kern w:val="0"/>
                <w:sz w:val="24"/>
              </w:rPr>
            </w:pPr>
            <w:r>
              <w:rPr>
                <w:rFonts w:hint="eastAsia"/>
                <w:b/>
                <w:color w:val="auto"/>
                <w:kern w:val="0"/>
                <w:sz w:val="24"/>
              </w:rPr>
              <w:t>1</w:t>
            </w:r>
            <w:r>
              <w:rPr>
                <w:b/>
                <w:color w:val="auto"/>
                <w:kern w:val="0"/>
                <w:sz w:val="24"/>
              </w:rPr>
              <w:t>、产业政策</w:t>
            </w:r>
            <w:r>
              <w:rPr>
                <w:rFonts w:hint="eastAsia"/>
                <w:b/>
                <w:color w:val="auto"/>
                <w:kern w:val="0"/>
                <w:sz w:val="24"/>
              </w:rPr>
              <w:t>符合性分析</w:t>
            </w:r>
          </w:p>
          <w:p>
            <w:pPr>
              <w:spacing w:line="360" w:lineRule="auto"/>
              <w:ind w:firstLine="480" w:firstLineChars="200"/>
              <w:rPr>
                <w:color w:val="auto"/>
                <w:sz w:val="24"/>
              </w:rPr>
            </w:pPr>
            <w:r>
              <w:rPr>
                <w:color w:val="auto"/>
                <w:sz w:val="24"/>
              </w:rPr>
              <w:t>本项目属于</w:t>
            </w:r>
            <w:r>
              <w:rPr>
                <w:color w:val="auto"/>
                <w:kern w:val="0"/>
                <w:sz w:val="24"/>
              </w:rPr>
              <w:t>光伏设备及元器件制造</w:t>
            </w:r>
            <w:r>
              <w:rPr>
                <w:color w:val="auto"/>
                <w:sz w:val="24"/>
              </w:rPr>
              <w:t>（行业代码C3825），属于国家发改委《国家产业结构调整指导目录（2019年本</w:t>
            </w:r>
            <w:r>
              <w:rPr>
                <w:rFonts w:hint="eastAsia"/>
                <w:color w:val="auto"/>
                <w:sz w:val="24"/>
              </w:rPr>
              <w:t>，2021年修订</w:t>
            </w:r>
            <w:r>
              <w:rPr>
                <w:color w:val="auto"/>
                <w:sz w:val="24"/>
              </w:rPr>
              <w:t>）》中鼓励类中第五项、新能源中“4、高效太阳能热水器及热水工程，太阳能中高温利用技术开发与设备制造”，故本项目为鼓励类项目</w:t>
            </w:r>
            <w:r>
              <w:rPr>
                <w:rFonts w:hint="eastAsia"/>
                <w:color w:val="auto"/>
                <w:sz w:val="24"/>
              </w:rPr>
              <w:t>；且项目已经</w:t>
            </w:r>
            <w:r>
              <w:rPr>
                <w:rFonts w:hint="eastAsia" w:ascii="宋体" w:hAnsi="宋体" w:cs="宋体"/>
                <w:color w:val="auto"/>
                <w:sz w:val="24"/>
              </w:rPr>
              <w:t>合肥市高新技术产业开发区经济贸易局</w:t>
            </w:r>
            <w:r>
              <w:rPr>
                <w:rFonts w:hint="eastAsia"/>
                <w:color w:val="auto"/>
                <w:sz w:val="24"/>
              </w:rPr>
              <w:t>备案（代码为2209-340161-04-01-</w:t>
            </w:r>
            <w:r>
              <w:rPr>
                <w:rFonts w:hint="eastAsia"/>
                <w:color w:val="auto"/>
                <w:sz w:val="24"/>
                <w:lang w:val="en-US" w:eastAsia="zh-CN"/>
              </w:rPr>
              <w:t>633279</w:t>
            </w:r>
            <w:r>
              <w:rPr>
                <w:rFonts w:hint="eastAsia"/>
                <w:color w:val="auto"/>
                <w:sz w:val="24"/>
              </w:rPr>
              <w:t>），因此本项目建设满足</w:t>
            </w:r>
            <w:r>
              <w:rPr>
                <w:color w:val="auto"/>
                <w:sz w:val="24"/>
              </w:rPr>
              <w:t>国家</w:t>
            </w:r>
            <w:r>
              <w:rPr>
                <w:rFonts w:hint="eastAsia"/>
                <w:color w:val="auto"/>
                <w:sz w:val="24"/>
              </w:rPr>
              <w:t>和地方</w:t>
            </w:r>
            <w:r>
              <w:rPr>
                <w:color w:val="auto"/>
                <w:sz w:val="24"/>
              </w:rPr>
              <w:t>产业政策要求。</w:t>
            </w:r>
          </w:p>
          <w:p>
            <w:pPr>
              <w:adjustRightInd w:val="0"/>
              <w:snapToGrid w:val="0"/>
              <w:spacing w:line="440" w:lineRule="exact"/>
              <w:ind w:firstLine="482" w:firstLineChars="200"/>
              <w:rPr>
                <w:b/>
                <w:bCs/>
                <w:color w:val="auto"/>
                <w:sz w:val="24"/>
              </w:rPr>
            </w:pPr>
            <w:r>
              <w:rPr>
                <w:rFonts w:hint="eastAsia"/>
                <w:b/>
                <w:bCs/>
                <w:color w:val="auto"/>
                <w:sz w:val="24"/>
                <w:lang w:val="en-US" w:eastAsia="zh-CN"/>
              </w:rPr>
              <w:t>2</w:t>
            </w:r>
            <w:r>
              <w:rPr>
                <w:rFonts w:hint="eastAsia"/>
                <w:b/>
                <w:bCs/>
                <w:color w:val="auto"/>
                <w:sz w:val="24"/>
              </w:rPr>
              <w:t>、</w:t>
            </w:r>
            <w:r>
              <w:rPr>
                <w:b/>
                <w:bCs/>
                <w:color w:val="auto"/>
                <w:sz w:val="24"/>
              </w:rPr>
              <w:t>与《2020年挥发性有机物治理攻坚方案》（环大气[2020]33号）相符性分析</w:t>
            </w:r>
          </w:p>
          <w:p>
            <w:pPr>
              <w:widowControl/>
              <w:numPr>
                <w:ilvl w:val="0"/>
                <w:numId w:val="2"/>
              </w:numPr>
              <w:jc w:val="center"/>
              <w:rPr>
                <w:b/>
                <w:color w:val="auto"/>
                <w:kern w:val="0"/>
                <w:szCs w:val="21"/>
              </w:rPr>
            </w:pPr>
            <w:r>
              <w:rPr>
                <w:b/>
                <w:color w:val="auto"/>
                <w:kern w:val="0"/>
                <w:szCs w:val="21"/>
              </w:rPr>
              <w:t xml:space="preserve">  </w:t>
            </w:r>
            <w:r>
              <w:rPr>
                <w:rFonts w:hint="eastAsia"/>
                <w:b/>
                <w:color w:val="auto"/>
                <w:kern w:val="0"/>
                <w:szCs w:val="21"/>
              </w:rPr>
              <w:t>本项目</w:t>
            </w:r>
            <w:r>
              <w:rPr>
                <w:b/>
                <w:color w:val="auto"/>
                <w:kern w:val="0"/>
                <w:szCs w:val="21"/>
              </w:rPr>
              <w:t>与挥发性有机物治理攻坚方案相符性分析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3986"/>
              <w:gridCol w:w="259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07" w:type="dxa"/>
                  <w:noWrap w:val="0"/>
                  <w:vAlign w:val="center"/>
                </w:tcPr>
                <w:p>
                  <w:pPr>
                    <w:adjustRightInd w:val="0"/>
                    <w:snapToGrid w:val="0"/>
                    <w:jc w:val="center"/>
                    <w:rPr>
                      <w:b/>
                      <w:bCs/>
                      <w:color w:val="auto"/>
                      <w:szCs w:val="21"/>
                    </w:rPr>
                  </w:pPr>
                  <w:r>
                    <w:rPr>
                      <w:b/>
                      <w:bCs/>
                      <w:color w:val="auto"/>
                      <w:szCs w:val="21"/>
                      <w:lang w:bidi="ar"/>
                    </w:rPr>
                    <w:t>序号</w:t>
                  </w:r>
                </w:p>
              </w:tc>
              <w:tc>
                <w:tcPr>
                  <w:tcW w:w="3986" w:type="dxa"/>
                  <w:noWrap w:val="0"/>
                  <w:vAlign w:val="center"/>
                </w:tcPr>
                <w:p>
                  <w:pPr>
                    <w:adjustRightInd w:val="0"/>
                    <w:snapToGrid w:val="0"/>
                    <w:jc w:val="center"/>
                    <w:rPr>
                      <w:b/>
                      <w:bCs/>
                      <w:color w:val="auto"/>
                      <w:szCs w:val="21"/>
                    </w:rPr>
                  </w:pPr>
                  <w:r>
                    <w:rPr>
                      <w:b/>
                      <w:bCs/>
                      <w:color w:val="auto"/>
                      <w:szCs w:val="21"/>
                      <w:lang w:bidi="ar"/>
                    </w:rPr>
                    <w:t>方案要求</w:t>
                  </w:r>
                </w:p>
              </w:tc>
              <w:tc>
                <w:tcPr>
                  <w:tcW w:w="2596" w:type="dxa"/>
                  <w:noWrap w:val="0"/>
                  <w:vAlign w:val="center"/>
                </w:tcPr>
                <w:p>
                  <w:pPr>
                    <w:adjustRightInd w:val="0"/>
                    <w:snapToGrid w:val="0"/>
                    <w:jc w:val="center"/>
                    <w:rPr>
                      <w:b/>
                      <w:bCs/>
                      <w:color w:val="auto"/>
                      <w:szCs w:val="21"/>
                    </w:rPr>
                  </w:pPr>
                  <w:r>
                    <w:rPr>
                      <w:b/>
                      <w:bCs/>
                      <w:color w:val="auto"/>
                      <w:szCs w:val="21"/>
                      <w:lang w:bidi="ar"/>
                    </w:rPr>
                    <w:t>本项目情况</w:t>
                  </w:r>
                </w:p>
              </w:tc>
              <w:tc>
                <w:tcPr>
                  <w:tcW w:w="755" w:type="dxa"/>
                  <w:noWrap w:val="0"/>
                  <w:vAlign w:val="center"/>
                </w:tcPr>
                <w:p>
                  <w:pPr>
                    <w:adjustRightInd w:val="0"/>
                    <w:snapToGrid w:val="0"/>
                    <w:jc w:val="center"/>
                    <w:rPr>
                      <w:rFonts w:hint="eastAsia"/>
                      <w:b/>
                      <w:bCs/>
                      <w:color w:val="auto"/>
                      <w:szCs w:val="21"/>
                    </w:rPr>
                  </w:pPr>
                  <w:r>
                    <w:rPr>
                      <w:rFonts w:hint="eastAsia"/>
                      <w:b/>
                      <w:bCs/>
                      <w:color w:val="auto"/>
                      <w:szCs w:val="21"/>
                      <w:lang w:bidi="ar"/>
                    </w:rPr>
                    <w:t>符合分析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607"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1</w:t>
                  </w:r>
                </w:p>
              </w:tc>
              <w:tc>
                <w:tcPr>
                  <w:tcW w:w="3986"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2596" w:type="dxa"/>
                  <w:noWrap w:val="0"/>
                  <w:vAlign w:val="center"/>
                </w:tcPr>
                <w:p>
                  <w:pPr>
                    <w:adjustRightInd w:val="0"/>
                    <w:snapToGrid w:val="0"/>
                    <w:rPr>
                      <w:color w:val="auto"/>
                      <w:szCs w:val="21"/>
                      <w:shd w:val="clear" w:color="auto" w:fill="FFFFFF"/>
                      <w:lang w:bidi="ar"/>
                    </w:rPr>
                  </w:pPr>
                  <w:r>
                    <w:rPr>
                      <w:color w:val="auto"/>
                      <w:szCs w:val="21"/>
                      <w:lang w:bidi="ar"/>
                    </w:rPr>
                    <w:t>本项目生产过程</w:t>
                  </w:r>
                  <w:r>
                    <w:rPr>
                      <w:color w:val="auto"/>
                      <w:szCs w:val="21"/>
                      <w:shd w:val="clear" w:color="auto" w:fill="FFFFFF"/>
                      <w:lang w:bidi="ar"/>
                    </w:rPr>
                    <w:t>有机废气</w:t>
                  </w:r>
                  <w:r>
                    <w:rPr>
                      <w:color w:val="auto"/>
                      <w:szCs w:val="21"/>
                      <w:lang w:bidi="ar"/>
                    </w:rPr>
                    <w:t>采用“二级活性炭吸附”装置处理，能够实现达标排放，挥发性有机物</w:t>
                  </w:r>
                  <w:r>
                    <w:rPr>
                      <w:rFonts w:hint="eastAsia"/>
                      <w:color w:val="auto"/>
                      <w:szCs w:val="21"/>
                      <w:lang w:bidi="ar"/>
                    </w:rPr>
                    <w:t>排放</w:t>
                  </w:r>
                  <w:r>
                    <w:rPr>
                      <w:color w:val="auto"/>
                      <w:szCs w:val="21"/>
                      <w:lang w:bidi="ar"/>
                    </w:rPr>
                    <w:t>执行《大气污染物综合排放标准》（DB3</w:t>
                  </w:r>
                  <w:r>
                    <w:rPr>
                      <w:rFonts w:hint="eastAsia"/>
                      <w:color w:val="auto"/>
                      <w:szCs w:val="21"/>
                      <w:lang w:val="en-US" w:eastAsia="zh-CN" w:bidi="ar"/>
                    </w:rPr>
                    <w:t>/</w:t>
                  </w:r>
                  <w:r>
                    <w:rPr>
                      <w:color w:val="auto"/>
                      <w:szCs w:val="21"/>
                      <w:lang w:bidi="ar"/>
                    </w:rPr>
                    <w:t>933-2015）</w:t>
                  </w:r>
                  <w:r>
                    <w:rPr>
                      <w:rFonts w:hint="eastAsia"/>
                      <w:color w:val="auto"/>
                      <w:szCs w:val="21"/>
                      <w:lang w:bidi="ar"/>
                    </w:rPr>
                    <w:t>及《</w:t>
                  </w:r>
                  <w:r>
                    <w:rPr>
                      <w:color w:val="auto"/>
                      <w:szCs w:val="21"/>
                      <w:lang w:bidi="ar"/>
                    </w:rPr>
                    <w:t>挥发性有机物无组织排放控制标准》（GB37822-2019）中特别排放限值</w:t>
                  </w:r>
                </w:p>
              </w:tc>
              <w:tc>
                <w:tcPr>
                  <w:tcW w:w="755" w:type="dxa"/>
                  <w:noWrap w:val="0"/>
                  <w:vAlign w:val="center"/>
                </w:tcPr>
                <w:p>
                  <w:pPr>
                    <w:adjustRightInd w:val="0"/>
                    <w:snapToGrid w:val="0"/>
                    <w:jc w:val="center"/>
                    <w:rPr>
                      <w:color w:val="auto"/>
                      <w:szCs w:val="21"/>
                      <w:shd w:val="clear" w:color="auto" w:fill="FFFFFF"/>
                      <w:lang w:bidi="ar"/>
                    </w:rPr>
                  </w:pPr>
                  <w:r>
                    <w:rPr>
                      <w:color w:val="auto"/>
                      <w:szCs w:val="21"/>
                      <w:shd w:val="clear" w:color="auto" w:fill="FFFFFF"/>
                      <w:lang w:bidi="ar"/>
                    </w:rPr>
                    <w:t>符合</w:t>
                  </w:r>
                </w:p>
                <w:p>
                  <w:pPr>
                    <w:adjustRightInd w:val="0"/>
                    <w:snapToGrid w:val="0"/>
                    <w:jc w:val="center"/>
                    <w:rPr>
                      <w:color w:val="auto"/>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607"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2</w:t>
                  </w:r>
                </w:p>
              </w:tc>
              <w:tc>
                <w:tcPr>
                  <w:tcW w:w="3986"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对于采用局部集气罩的，应根据废气排放特点合理选择收集点位，距集气罩开口面最远处的VOCs无组织排放位置，控制风速不低于0.3米/秒</w:t>
                  </w:r>
                </w:p>
              </w:tc>
              <w:tc>
                <w:tcPr>
                  <w:tcW w:w="2596"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本项目有机废气采用密闭设备或密闭车间收集措施，能够满足收集要求</w:t>
                  </w:r>
                </w:p>
              </w:tc>
              <w:tc>
                <w:tcPr>
                  <w:tcW w:w="755" w:type="dxa"/>
                  <w:noWrap w:val="0"/>
                  <w:vAlign w:val="center"/>
                </w:tcPr>
                <w:p>
                  <w:pPr>
                    <w:adjustRightInd w:val="0"/>
                    <w:snapToGrid w:val="0"/>
                    <w:jc w:val="center"/>
                    <w:rPr>
                      <w:color w:val="auto"/>
                      <w:szCs w:val="21"/>
                      <w:shd w:val="clear" w:color="auto" w:fill="FFFFFF"/>
                      <w:lang w:bidi="ar"/>
                    </w:rPr>
                  </w:pPr>
                  <w:r>
                    <w:rPr>
                      <w:color w:val="auto"/>
                      <w:szCs w:val="21"/>
                      <w:shd w:val="clear" w:color="auto" w:fill="FFFFFF"/>
                      <w:lang w:bidi="ar"/>
                    </w:rPr>
                    <w:t>符合</w:t>
                  </w:r>
                </w:p>
                <w:p>
                  <w:pPr>
                    <w:adjustRightInd w:val="0"/>
                    <w:snapToGrid w:val="0"/>
                    <w:jc w:val="center"/>
                    <w:rPr>
                      <w:color w:val="auto"/>
                      <w:szCs w:val="21"/>
                      <w:shd w:val="clear" w:color="auto" w:fill="FFFFFF"/>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3" w:hRule="atLeast"/>
                <w:jc w:val="center"/>
              </w:trPr>
              <w:tc>
                <w:tcPr>
                  <w:tcW w:w="607"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3</w:t>
                  </w:r>
                </w:p>
              </w:tc>
              <w:tc>
                <w:tcPr>
                  <w:tcW w:w="3986" w:type="dxa"/>
                  <w:noWrap w:val="0"/>
                  <w:vAlign w:val="center"/>
                </w:tcPr>
                <w:p>
                  <w:pPr>
                    <w:adjustRightInd w:val="0"/>
                    <w:snapToGrid w:val="0"/>
                    <w:rPr>
                      <w:color w:val="auto"/>
                      <w:szCs w:val="21"/>
                      <w:shd w:val="clear" w:color="auto" w:fill="FFFFFF"/>
                      <w:lang w:bidi="ar"/>
                    </w:rPr>
                  </w:pPr>
                  <w:r>
                    <w:rPr>
                      <w:color w:val="auto"/>
                      <w:szCs w:val="21"/>
                      <w:shd w:val="clear" w:color="auto" w:fill="FFFFFF"/>
                      <w:lang w:bidi="ar"/>
                    </w:rPr>
                    <w:t>企业新建治污设施或对现有治污设施实施改造，应依据排放废气特征、VOCs组分及浓度、生产工况等，合理选择治理技术，对治理难度大、单一治理工艺难以稳定达标的，要采用多种技术的组合工艺。采用活性炭吸附技术的，应选择碘值不低于800毫克/克的活性炭，并按设计要求足量添加、及时更换</w:t>
                  </w:r>
                </w:p>
              </w:tc>
              <w:tc>
                <w:tcPr>
                  <w:tcW w:w="2596" w:type="dxa"/>
                  <w:noWrap w:val="0"/>
                  <w:vAlign w:val="center"/>
                </w:tcPr>
                <w:p>
                  <w:pPr>
                    <w:adjustRightInd w:val="0"/>
                    <w:snapToGrid w:val="0"/>
                    <w:rPr>
                      <w:color w:val="auto"/>
                      <w:szCs w:val="21"/>
                      <w:shd w:val="clear" w:color="auto" w:fill="FFFFFF"/>
                      <w:lang w:bidi="ar"/>
                    </w:rPr>
                  </w:pPr>
                  <w:r>
                    <w:rPr>
                      <w:color w:val="auto"/>
                      <w:szCs w:val="21"/>
                      <w:lang w:bidi="ar"/>
                    </w:rPr>
                    <w:t>本项目生产过程</w:t>
                  </w:r>
                  <w:r>
                    <w:rPr>
                      <w:color w:val="auto"/>
                      <w:szCs w:val="21"/>
                      <w:shd w:val="clear" w:color="auto" w:fill="FFFFFF"/>
                      <w:lang w:bidi="ar"/>
                    </w:rPr>
                    <w:t>有机废气</w:t>
                  </w:r>
                  <w:r>
                    <w:rPr>
                      <w:color w:val="auto"/>
                      <w:szCs w:val="21"/>
                      <w:lang w:bidi="ar"/>
                    </w:rPr>
                    <w:t>采用“二级活性炭吸附”装置处理，并提出使用</w:t>
                  </w:r>
                  <w:r>
                    <w:rPr>
                      <w:color w:val="auto"/>
                      <w:szCs w:val="21"/>
                      <w:shd w:val="clear" w:color="auto" w:fill="FFFFFF"/>
                      <w:lang w:bidi="ar"/>
                    </w:rPr>
                    <w:t>碘值不低于800毫克/克的活性炭的要求，并按设计要求足量添加、及时更换</w:t>
                  </w:r>
                </w:p>
              </w:tc>
              <w:tc>
                <w:tcPr>
                  <w:tcW w:w="755" w:type="dxa"/>
                  <w:noWrap w:val="0"/>
                  <w:vAlign w:val="center"/>
                </w:tcPr>
                <w:p>
                  <w:pPr>
                    <w:adjustRightInd w:val="0"/>
                    <w:snapToGrid w:val="0"/>
                    <w:jc w:val="center"/>
                    <w:rPr>
                      <w:color w:val="auto"/>
                      <w:szCs w:val="21"/>
                      <w:shd w:val="clear" w:color="auto" w:fill="FFFFFF"/>
                      <w:lang w:bidi="ar"/>
                    </w:rPr>
                  </w:pPr>
                  <w:r>
                    <w:rPr>
                      <w:color w:val="auto"/>
                      <w:szCs w:val="21"/>
                      <w:shd w:val="clear" w:color="auto" w:fill="FFFFFF"/>
                      <w:lang w:bidi="ar"/>
                    </w:rPr>
                    <w:t>符合</w:t>
                  </w:r>
                </w:p>
                <w:p>
                  <w:pPr>
                    <w:adjustRightInd w:val="0"/>
                    <w:snapToGrid w:val="0"/>
                    <w:jc w:val="center"/>
                    <w:rPr>
                      <w:color w:val="auto"/>
                      <w:szCs w:val="21"/>
                      <w:shd w:val="clear" w:color="auto" w:fill="FFFFFF"/>
                      <w:lang w:bidi="ar"/>
                    </w:rPr>
                  </w:pPr>
                </w:p>
              </w:tc>
            </w:tr>
          </w:tbl>
          <w:p>
            <w:pPr>
              <w:pStyle w:val="11"/>
              <w:snapToGrid/>
              <w:spacing w:before="0" w:after="0" w:line="360" w:lineRule="auto"/>
              <w:ind w:right="0" w:firstLine="482" w:firstLineChars="200"/>
              <w:rPr>
                <w:b/>
                <w:color w:val="auto"/>
                <w:sz w:val="24"/>
                <w:szCs w:val="24"/>
              </w:rPr>
            </w:pPr>
            <w:r>
              <w:rPr>
                <w:b/>
                <w:color w:val="auto"/>
                <w:sz w:val="24"/>
                <w:szCs w:val="24"/>
              </w:rPr>
              <w:t>3、与《安徽省大气办关于深入开展挥发性有机物污染治理工作的通知》（皖大气办〔2021〕4号）符合性分析</w:t>
            </w:r>
          </w:p>
          <w:p>
            <w:pPr>
              <w:widowControl/>
              <w:numPr>
                <w:ilvl w:val="0"/>
                <w:numId w:val="2"/>
              </w:numPr>
              <w:jc w:val="center"/>
              <w:rPr>
                <w:b/>
                <w:color w:val="auto"/>
                <w:kern w:val="0"/>
                <w:szCs w:val="21"/>
              </w:rPr>
            </w:pPr>
            <w:r>
              <w:rPr>
                <w:b/>
                <w:color w:val="auto"/>
                <w:kern w:val="0"/>
                <w:szCs w:val="21"/>
              </w:rPr>
              <w:t xml:space="preserve"> 与（皖大气办〔2021〕4号）通知的相符性对比表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4267"/>
              <w:gridCol w:w="2336"/>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dxa"/>
                  <w:noWrap w:val="0"/>
                  <w:vAlign w:val="center"/>
                </w:tcPr>
                <w:p>
                  <w:pPr>
                    <w:jc w:val="center"/>
                    <w:rPr>
                      <w:b/>
                      <w:bCs/>
                      <w:color w:val="auto"/>
                      <w:szCs w:val="21"/>
                    </w:rPr>
                  </w:pPr>
                  <w:r>
                    <w:rPr>
                      <w:b/>
                      <w:bCs/>
                      <w:color w:val="auto"/>
                      <w:szCs w:val="21"/>
                    </w:rPr>
                    <w:t>序号</w:t>
                  </w:r>
                </w:p>
              </w:tc>
              <w:tc>
                <w:tcPr>
                  <w:tcW w:w="4267" w:type="dxa"/>
                  <w:noWrap w:val="0"/>
                  <w:vAlign w:val="center"/>
                </w:tcPr>
                <w:p>
                  <w:pPr>
                    <w:jc w:val="center"/>
                    <w:rPr>
                      <w:b/>
                      <w:bCs/>
                      <w:color w:val="auto"/>
                      <w:szCs w:val="21"/>
                    </w:rPr>
                  </w:pPr>
                  <w:r>
                    <w:rPr>
                      <w:b/>
                      <w:bCs/>
                      <w:color w:val="auto"/>
                      <w:szCs w:val="21"/>
                    </w:rPr>
                    <w:t>文件要求</w:t>
                  </w:r>
                </w:p>
              </w:tc>
              <w:tc>
                <w:tcPr>
                  <w:tcW w:w="2336" w:type="dxa"/>
                  <w:noWrap w:val="0"/>
                  <w:vAlign w:val="center"/>
                </w:tcPr>
                <w:p>
                  <w:pPr>
                    <w:jc w:val="center"/>
                    <w:rPr>
                      <w:b/>
                      <w:bCs/>
                      <w:color w:val="auto"/>
                      <w:szCs w:val="21"/>
                    </w:rPr>
                  </w:pPr>
                  <w:r>
                    <w:rPr>
                      <w:b/>
                      <w:bCs/>
                      <w:color w:val="auto"/>
                      <w:szCs w:val="21"/>
                    </w:rPr>
                    <w:t>本项目</w:t>
                  </w:r>
                </w:p>
              </w:tc>
              <w:tc>
                <w:tcPr>
                  <w:tcW w:w="767" w:type="dxa"/>
                  <w:noWrap w:val="0"/>
                  <w:vAlign w:val="center"/>
                </w:tcPr>
                <w:p>
                  <w:pPr>
                    <w:adjustRightInd w:val="0"/>
                    <w:snapToGrid w:val="0"/>
                    <w:jc w:val="center"/>
                    <w:rPr>
                      <w:b/>
                      <w:bCs/>
                      <w:color w:val="auto"/>
                      <w:szCs w:val="21"/>
                    </w:rPr>
                  </w:pPr>
                  <w:r>
                    <w:rPr>
                      <w:b/>
                      <w:bCs/>
                      <w:color w:val="auto"/>
                      <w:szCs w:val="21"/>
                    </w:rPr>
                    <w:t>符合</w:t>
                  </w:r>
                </w:p>
                <w:p>
                  <w:pPr>
                    <w:adjustRightInd w:val="0"/>
                    <w:snapToGrid w:val="0"/>
                    <w:jc w:val="center"/>
                    <w:rPr>
                      <w:b/>
                      <w:bCs/>
                      <w:color w:val="auto"/>
                      <w:szCs w:val="21"/>
                    </w:rPr>
                  </w:pPr>
                  <w:r>
                    <w:rPr>
                      <w:b/>
                      <w:bCs/>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7" w:type="dxa"/>
                  <w:noWrap w:val="0"/>
                  <w:vAlign w:val="center"/>
                </w:tcPr>
                <w:p>
                  <w:pPr>
                    <w:tabs>
                      <w:tab w:val="left" w:pos="4698"/>
                    </w:tabs>
                    <w:jc w:val="center"/>
                    <w:rPr>
                      <w:color w:val="auto"/>
                      <w:szCs w:val="21"/>
                    </w:rPr>
                  </w:pPr>
                  <w:r>
                    <w:rPr>
                      <w:color w:val="auto"/>
                      <w:szCs w:val="21"/>
                    </w:rPr>
                    <w:t>1</w:t>
                  </w:r>
                </w:p>
              </w:tc>
              <w:tc>
                <w:tcPr>
                  <w:tcW w:w="4267" w:type="dxa"/>
                  <w:noWrap w:val="0"/>
                  <w:vAlign w:val="center"/>
                </w:tcPr>
                <w:p>
                  <w:pPr>
                    <w:tabs>
                      <w:tab w:val="left" w:pos="4698"/>
                    </w:tabs>
                    <w:rPr>
                      <w:color w:val="auto"/>
                      <w:szCs w:val="21"/>
                    </w:rPr>
                  </w:pPr>
                  <w:r>
                    <w:rPr>
                      <w:color w:val="auto"/>
                      <w:szCs w:val="21"/>
                    </w:rPr>
                    <w:t>重点推进源头削减。鼓励支持使用涂料、油墨、胶粘剂、涂层剂（树脂）、清洗剂等原辅材料的企业进行低VOCs含量原辅材料的源头替代，推广VOCs含量低于10%原辅材料的源头替代，并纳入年度源头削减项目管理，实现“可替尽替、应代尽代”，源头削减年度完成项目占30%以上</w:t>
                  </w:r>
                </w:p>
              </w:tc>
              <w:tc>
                <w:tcPr>
                  <w:tcW w:w="2336" w:type="dxa"/>
                  <w:noWrap w:val="0"/>
                  <w:vAlign w:val="center"/>
                </w:tcPr>
                <w:p>
                  <w:pPr>
                    <w:tabs>
                      <w:tab w:val="left" w:pos="4698"/>
                    </w:tabs>
                    <w:rPr>
                      <w:color w:val="auto"/>
                      <w:szCs w:val="21"/>
                    </w:rPr>
                  </w:pPr>
                  <w:r>
                    <w:rPr>
                      <w:color w:val="auto"/>
                      <w:szCs w:val="21"/>
                    </w:rPr>
                    <w:t>本项目</w:t>
                  </w:r>
                  <w:r>
                    <w:rPr>
                      <w:rFonts w:hint="eastAsia"/>
                      <w:color w:val="auto"/>
                      <w:szCs w:val="21"/>
                    </w:rPr>
                    <w:t>密封胶</w:t>
                  </w:r>
                  <w:r>
                    <w:rPr>
                      <w:color w:val="auto"/>
                      <w:szCs w:val="21"/>
                    </w:rPr>
                    <w:t>挥发性有机化合物含量为4g/kg，能够满足《胶粘剂挥发性有机化合物限量》（GB33372-2020）规定本体型胶粘剂-有机硅类VOC含量100g/</w:t>
                  </w:r>
                  <w:r>
                    <w:rPr>
                      <w:rFonts w:hint="eastAsia"/>
                      <w:color w:val="auto"/>
                      <w:szCs w:val="21"/>
                    </w:rPr>
                    <w:t>kg</w:t>
                  </w:r>
                  <w:r>
                    <w:rPr>
                      <w:color w:val="auto"/>
                      <w:szCs w:val="21"/>
                    </w:rPr>
                    <w:t>（装配）的限值要求</w:t>
                  </w:r>
                </w:p>
              </w:tc>
              <w:tc>
                <w:tcPr>
                  <w:tcW w:w="767" w:type="dxa"/>
                  <w:noWrap w:val="0"/>
                  <w:vAlign w:val="center"/>
                </w:tcPr>
                <w:p>
                  <w:pPr>
                    <w:tabs>
                      <w:tab w:val="left" w:pos="4698"/>
                    </w:tabs>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77" w:type="dxa"/>
                  <w:noWrap w:val="0"/>
                  <w:vAlign w:val="center"/>
                </w:tcPr>
                <w:p>
                  <w:pPr>
                    <w:tabs>
                      <w:tab w:val="left" w:pos="4698"/>
                    </w:tabs>
                    <w:jc w:val="center"/>
                    <w:rPr>
                      <w:color w:val="auto"/>
                      <w:szCs w:val="21"/>
                    </w:rPr>
                  </w:pPr>
                  <w:r>
                    <w:rPr>
                      <w:color w:val="auto"/>
                      <w:szCs w:val="21"/>
                    </w:rPr>
                    <w:t>2</w:t>
                  </w:r>
                </w:p>
              </w:tc>
              <w:tc>
                <w:tcPr>
                  <w:tcW w:w="4267" w:type="dxa"/>
                  <w:noWrap w:val="0"/>
                  <w:vAlign w:val="center"/>
                </w:tcPr>
                <w:p>
                  <w:pPr>
                    <w:tabs>
                      <w:tab w:val="left" w:pos="4698"/>
                    </w:tabs>
                    <w:rPr>
                      <w:color w:val="auto"/>
                      <w:szCs w:val="21"/>
                    </w:rPr>
                  </w:pPr>
                  <w:r>
                    <w:rPr>
                      <w:color w:val="auto"/>
                      <w:szCs w:val="21"/>
                    </w:rPr>
                    <w:t>实施排污许可。建立健全以排污许可核发为中心的VOCs管控依据，不断规范涉VOCs工业企业的排污许可登记管理，落实企业VOCs源头削减、过程控制和末端污染治理工作，推进企业自行监测、台账落实和定期报告的具体规定落地，严厉处罚无证和不按证排污行为</w:t>
                  </w:r>
                </w:p>
              </w:tc>
              <w:tc>
                <w:tcPr>
                  <w:tcW w:w="2336" w:type="dxa"/>
                  <w:noWrap w:val="0"/>
                  <w:vAlign w:val="center"/>
                </w:tcPr>
                <w:p>
                  <w:pPr>
                    <w:tabs>
                      <w:tab w:val="left" w:pos="4698"/>
                    </w:tabs>
                    <w:rPr>
                      <w:rFonts w:hint="eastAsia"/>
                      <w:color w:val="auto"/>
                      <w:szCs w:val="21"/>
                    </w:rPr>
                  </w:pPr>
                  <w:r>
                    <w:rPr>
                      <w:color w:val="auto"/>
                      <w:szCs w:val="21"/>
                    </w:rPr>
                    <w:t>本</w:t>
                  </w:r>
                  <w:r>
                    <w:rPr>
                      <w:rFonts w:hint="eastAsia"/>
                      <w:color w:val="auto"/>
                      <w:szCs w:val="21"/>
                    </w:rPr>
                    <w:t>企业</w:t>
                  </w:r>
                  <w:r>
                    <w:rPr>
                      <w:color w:val="auto"/>
                      <w:szCs w:val="21"/>
                    </w:rPr>
                    <w:t>排污许可类别为</w:t>
                  </w:r>
                  <w:r>
                    <w:rPr>
                      <w:rFonts w:hint="eastAsia"/>
                      <w:color w:val="auto"/>
                      <w:szCs w:val="21"/>
                    </w:rPr>
                    <w:t>重点</w:t>
                  </w:r>
                  <w:r>
                    <w:rPr>
                      <w:color w:val="auto"/>
                      <w:szCs w:val="21"/>
                    </w:rPr>
                    <w:t>管理，项目建成后将按要求</w:t>
                  </w:r>
                  <w:r>
                    <w:rPr>
                      <w:rFonts w:hint="eastAsia"/>
                      <w:color w:val="auto"/>
                      <w:szCs w:val="21"/>
                    </w:rPr>
                    <w:t>进行排污许可证变更</w:t>
                  </w:r>
                </w:p>
              </w:tc>
              <w:tc>
                <w:tcPr>
                  <w:tcW w:w="767" w:type="dxa"/>
                  <w:noWrap w:val="0"/>
                  <w:vAlign w:val="center"/>
                </w:tcPr>
                <w:p>
                  <w:pPr>
                    <w:tabs>
                      <w:tab w:val="left" w:pos="4698"/>
                    </w:tabs>
                    <w:jc w:val="center"/>
                    <w:rPr>
                      <w:color w:val="auto"/>
                      <w:szCs w:val="21"/>
                    </w:rPr>
                  </w:pPr>
                  <w:r>
                    <w:rPr>
                      <w:color w:val="auto"/>
                      <w:szCs w:val="21"/>
                    </w:rPr>
                    <w:t>符合</w:t>
                  </w:r>
                </w:p>
              </w:tc>
            </w:tr>
          </w:tbl>
          <w:p>
            <w:pPr>
              <w:pStyle w:val="11"/>
              <w:snapToGrid/>
              <w:spacing w:before="0" w:after="0" w:line="360" w:lineRule="auto"/>
              <w:ind w:right="0" w:firstLine="482" w:firstLineChars="200"/>
              <w:rPr>
                <w:b/>
                <w:color w:val="auto"/>
                <w:sz w:val="24"/>
                <w:szCs w:val="24"/>
              </w:rPr>
            </w:pPr>
            <w:r>
              <w:rPr>
                <w:rFonts w:hint="eastAsia"/>
                <w:b/>
                <w:color w:val="auto"/>
                <w:sz w:val="24"/>
                <w:szCs w:val="24"/>
                <w:lang w:val="en-US" w:eastAsia="zh-CN"/>
              </w:rPr>
              <w:t>4</w:t>
            </w:r>
            <w:r>
              <w:rPr>
                <w:b/>
                <w:color w:val="auto"/>
                <w:sz w:val="24"/>
                <w:szCs w:val="24"/>
              </w:rPr>
              <w:t>、与《安徽省2022年大气污染防治工作要点》</w:t>
            </w:r>
            <w:r>
              <w:rPr>
                <w:rFonts w:hint="eastAsia"/>
                <w:b/>
                <w:color w:val="auto"/>
                <w:sz w:val="24"/>
                <w:szCs w:val="24"/>
              </w:rPr>
              <w:t>（</w:t>
            </w:r>
            <w:r>
              <w:rPr>
                <w:b/>
                <w:color w:val="auto"/>
                <w:sz w:val="24"/>
                <w:szCs w:val="24"/>
              </w:rPr>
              <w:t>安环委办〔2022〕37号</w:t>
            </w:r>
            <w:r>
              <w:rPr>
                <w:rFonts w:hint="eastAsia"/>
                <w:b/>
                <w:color w:val="auto"/>
                <w:sz w:val="24"/>
                <w:szCs w:val="24"/>
              </w:rPr>
              <w:t>）</w:t>
            </w:r>
            <w:r>
              <w:rPr>
                <w:b/>
                <w:color w:val="auto"/>
                <w:sz w:val="24"/>
                <w:szCs w:val="24"/>
              </w:rPr>
              <w:t>符合性分析</w:t>
            </w:r>
          </w:p>
          <w:p>
            <w:pPr>
              <w:widowControl/>
              <w:numPr>
                <w:ilvl w:val="0"/>
                <w:numId w:val="2"/>
              </w:numPr>
              <w:jc w:val="center"/>
              <w:rPr>
                <w:b/>
                <w:color w:val="auto"/>
                <w:kern w:val="0"/>
                <w:szCs w:val="21"/>
              </w:rPr>
            </w:pPr>
            <w:r>
              <w:rPr>
                <w:b/>
                <w:color w:val="auto"/>
                <w:kern w:val="0"/>
                <w:szCs w:val="21"/>
              </w:rPr>
              <w:t xml:space="preserve"> </w:t>
            </w:r>
            <w:r>
              <w:rPr>
                <w:rFonts w:hint="eastAsia"/>
                <w:b/>
                <w:color w:val="auto"/>
                <w:kern w:val="0"/>
                <w:szCs w:val="21"/>
              </w:rPr>
              <w:t>本项目</w:t>
            </w:r>
            <w:r>
              <w:rPr>
                <w:b/>
                <w:color w:val="auto"/>
                <w:kern w:val="0"/>
                <w:szCs w:val="21"/>
              </w:rPr>
              <w:t>与</w:t>
            </w:r>
            <w:r>
              <w:rPr>
                <w:b/>
                <w:color w:val="auto"/>
                <w:szCs w:val="21"/>
              </w:rPr>
              <w:t>安环委办〔2022〕37号</w:t>
            </w:r>
            <w:r>
              <w:rPr>
                <w:rFonts w:hint="eastAsia"/>
                <w:b/>
                <w:color w:val="auto"/>
                <w:szCs w:val="21"/>
              </w:rPr>
              <w:t>文</w:t>
            </w:r>
            <w:r>
              <w:rPr>
                <w:b/>
                <w:color w:val="auto"/>
                <w:kern w:val="0"/>
                <w:szCs w:val="21"/>
              </w:rPr>
              <w:t>通知的相符性对比表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3480"/>
              <w:gridCol w:w="3119"/>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dxa"/>
                  <w:noWrap w:val="0"/>
                  <w:vAlign w:val="center"/>
                </w:tcPr>
                <w:p>
                  <w:pPr>
                    <w:jc w:val="center"/>
                    <w:rPr>
                      <w:b/>
                      <w:bCs/>
                      <w:color w:val="auto"/>
                      <w:szCs w:val="21"/>
                    </w:rPr>
                  </w:pPr>
                  <w:r>
                    <w:rPr>
                      <w:b/>
                      <w:bCs/>
                      <w:color w:val="auto"/>
                      <w:szCs w:val="21"/>
                    </w:rPr>
                    <w:t>序号</w:t>
                  </w:r>
                </w:p>
              </w:tc>
              <w:tc>
                <w:tcPr>
                  <w:tcW w:w="3480" w:type="dxa"/>
                  <w:noWrap w:val="0"/>
                  <w:vAlign w:val="center"/>
                </w:tcPr>
                <w:p>
                  <w:pPr>
                    <w:jc w:val="center"/>
                    <w:rPr>
                      <w:b/>
                      <w:bCs/>
                      <w:color w:val="auto"/>
                      <w:szCs w:val="21"/>
                    </w:rPr>
                  </w:pPr>
                  <w:r>
                    <w:rPr>
                      <w:b/>
                      <w:bCs/>
                      <w:color w:val="auto"/>
                      <w:szCs w:val="21"/>
                    </w:rPr>
                    <w:t>文</w:t>
                  </w:r>
                  <w:r>
                    <w:rPr>
                      <w:b/>
                      <w:bCs/>
                      <w:color w:val="auto"/>
                      <w:szCs w:val="21"/>
                    </w:rPr>
                    <w:cr/>
                  </w:r>
                  <w:r>
                    <w:rPr>
                      <w:b/>
                      <w:bCs/>
                      <w:color w:val="auto"/>
                      <w:szCs w:val="21"/>
                    </w:rPr>
                    <w:t>要求</w:t>
                  </w:r>
                </w:p>
              </w:tc>
              <w:tc>
                <w:tcPr>
                  <w:tcW w:w="3119" w:type="dxa"/>
                  <w:noWrap w:val="0"/>
                  <w:vAlign w:val="center"/>
                </w:tcPr>
                <w:p>
                  <w:pPr>
                    <w:jc w:val="center"/>
                    <w:rPr>
                      <w:b/>
                      <w:bCs/>
                      <w:color w:val="auto"/>
                      <w:szCs w:val="21"/>
                    </w:rPr>
                  </w:pPr>
                  <w:r>
                    <w:rPr>
                      <w:b/>
                      <w:bCs/>
                      <w:color w:val="auto"/>
                      <w:szCs w:val="21"/>
                    </w:rPr>
                    <w:t>本项目</w:t>
                  </w:r>
                </w:p>
              </w:tc>
              <w:tc>
                <w:tcPr>
                  <w:tcW w:w="770" w:type="dxa"/>
                  <w:noWrap w:val="0"/>
                  <w:vAlign w:val="center"/>
                </w:tcPr>
                <w:p>
                  <w:pPr>
                    <w:adjustRightInd w:val="0"/>
                    <w:snapToGrid w:val="0"/>
                    <w:jc w:val="center"/>
                    <w:rPr>
                      <w:b/>
                      <w:bCs/>
                      <w:color w:val="auto"/>
                      <w:szCs w:val="21"/>
                    </w:rPr>
                  </w:pPr>
                  <w:r>
                    <w:rPr>
                      <w:b/>
                      <w:bCs/>
                      <w:color w:val="auto"/>
                      <w:szCs w:val="21"/>
                    </w:rPr>
                    <w:t>符合</w:t>
                  </w:r>
                </w:p>
                <w:p>
                  <w:pPr>
                    <w:adjustRightInd w:val="0"/>
                    <w:snapToGrid w:val="0"/>
                    <w:jc w:val="center"/>
                    <w:rPr>
                      <w:b/>
                      <w:bCs/>
                      <w:color w:val="auto"/>
                      <w:szCs w:val="21"/>
                    </w:rPr>
                  </w:pPr>
                  <w:r>
                    <w:rPr>
                      <w:b/>
                      <w:bCs/>
                      <w:color w:val="auto"/>
                      <w:szCs w:val="21"/>
                    </w:rPr>
                    <w:t>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dxa"/>
                  <w:noWrap w:val="0"/>
                  <w:vAlign w:val="center"/>
                </w:tcPr>
                <w:p>
                  <w:pPr>
                    <w:tabs>
                      <w:tab w:val="left" w:pos="4698"/>
                    </w:tabs>
                    <w:jc w:val="center"/>
                    <w:rPr>
                      <w:rFonts w:hint="eastAsia"/>
                      <w:color w:val="auto"/>
                      <w:szCs w:val="21"/>
                    </w:rPr>
                  </w:pPr>
                  <w:r>
                    <w:rPr>
                      <w:rFonts w:hint="eastAsia"/>
                      <w:color w:val="auto"/>
                      <w:szCs w:val="21"/>
                    </w:rPr>
                    <w:t>1</w:t>
                  </w:r>
                </w:p>
              </w:tc>
              <w:tc>
                <w:tcPr>
                  <w:tcW w:w="3480" w:type="dxa"/>
                  <w:noWrap w:val="0"/>
                  <w:vAlign w:val="center"/>
                </w:tcPr>
                <w:p>
                  <w:pPr>
                    <w:tabs>
                      <w:tab w:val="left" w:pos="4698"/>
                    </w:tabs>
                    <w:jc w:val="left"/>
                    <w:rPr>
                      <w:color w:val="auto"/>
                      <w:szCs w:val="21"/>
                    </w:rPr>
                  </w:pPr>
                  <w:r>
                    <w:rPr>
                      <w:rFonts w:hint="eastAsia"/>
                      <w:color w:val="auto"/>
                      <w:szCs w:val="21"/>
                    </w:rPr>
                    <w:t>严格执行《产业结构调整指导目录》、《产业发展与转移指导目录》，依法依规淘汰落后产能和化解过剩产能，严禁新增钢铁、焦化、水泥熟料、平板玻璃、电解铝等产能</w:t>
                  </w:r>
                </w:p>
              </w:tc>
              <w:tc>
                <w:tcPr>
                  <w:tcW w:w="3119" w:type="dxa"/>
                  <w:noWrap w:val="0"/>
                  <w:vAlign w:val="center"/>
                </w:tcPr>
                <w:p>
                  <w:pPr>
                    <w:tabs>
                      <w:tab w:val="left" w:pos="4698"/>
                    </w:tabs>
                    <w:rPr>
                      <w:color w:val="auto"/>
                      <w:szCs w:val="21"/>
                    </w:rPr>
                  </w:pPr>
                  <w:r>
                    <w:rPr>
                      <w:color w:val="auto"/>
                      <w:szCs w:val="21"/>
                    </w:rPr>
                    <w:t>本项目为</w:t>
                  </w:r>
                  <w:r>
                    <w:rPr>
                      <w:bCs/>
                      <w:color w:val="auto"/>
                      <w:szCs w:val="21"/>
                    </w:rPr>
                    <w:t>光伏设备及元器件制造C3825</w:t>
                  </w:r>
                  <w:r>
                    <w:rPr>
                      <w:color w:val="auto"/>
                      <w:szCs w:val="21"/>
                    </w:rPr>
                    <w:t>，</w:t>
                  </w:r>
                  <w:r>
                    <w:rPr>
                      <w:rFonts w:hint="eastAsia"/>
                      <w:color w:val="auto"/>
                      <w:szCs w:val="21"/>
                    </w:rPr>
                    <w:t>属于</w:t>
                  </w:r>
                  <w:r>
                    <w:rPr>
                      <w:color w:val="auto"/>
                      <w:szCs w:val="21"/>
                    </w:rPr>
                    <w:t>《产业结构调整指导目录（</w:t>
                  </w:r>
                  <w:r>
                    <w:rPr>
                      <w:rFonts w:hint="eastAsia"/>
                      <w:color w:val="auto"/>
                      <w:szCs w:val="21"/>
                    </w:rPr>
                    <w:t>2019年，2021年修改</w:t>
                  </w:r>
                  <w:r>
                    <w:rPr>
                      <w:color w:val="auto"/>
                      <w:szCs w:val="21"/>
                    </w:rPr>
                    <w:t>）》</w:t>
                  </w:r>
                  <w:r>
                    <w:rPr>
                      <w:rFonts w:hint="eastAsia"/>
                      <w:color w:val="auto"/>
                      <w:szCs w:val="21"/>
                    </w:rPr>
                    <w:t>中</w:t>
                  </w:r>
                  <w:r>
                    <w:rPr>
                      <w:color w:val="auto"/>
                      <w:szCs w:val="21"/>
                    </w:rPr>
                    <w:t>鼓励类</w:t>
                  </w:r>
                  <w:r>
                    <w:rPr>
                      <w:rFonts w:hint="eastAsia"/>
                      <w:color w:val="auto"/>
                      <w:szCs w:val="21"/>
                    </w:rPr>
                    <w:t>，不属于落后产能和化解过剩产能</w:t>
                  </w:r>
                </w:p>
              </w:tc>
              <w:tc>
                <w:tcPr>
                  <w:tcW w:w="770" w:type="dxa"/>
                  <w:noWrap w:val="0"/>
                  <w:vAlign w:val="center"/>
                </w:tcPr>
                <w:p>
                  <w:pPr>
                    <w:tabs>
                      <w:tab w:val="left" w:pos="4698"/>
                    </w:tabs>
                    <w:jc w:val="center"/>
                    <w:rPr>
                      <w:color w:val="auto"/>
                      <w:szCs w:val="21"/>
                    </w:rPr>
                  </w:pPr>
                  <w:r>
                    <w:rPr>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8" w:type="dxa"/>
                  <w:noWrap w:val="0"/>
                  <w:vAlign w:val="center"/>
                </w:tcPr>
                <w:p>
                  <w:pPr>
                    <w:tabs>
                      <w:tab w:val="left" w:pos="4698"/>
                    </w:tabs>
                    <w:jc w:val="center"/>
                    <w:rPr>
                      <w:rFonts w:hint="eastAsia"/>
                      <w:color w:val="auto"/>
                      <w:szCs w:val="21"/>
                    </w:rPr>
                  </w:pPr>
                  <w:r>
                    <w:rPr>
                      <w:rFonts w:hint="eastAsia"/>
                      <w:color w:val="auto"/>
                      <w:szCs w:val="21"/>
                    </w:rPr>
                    <w:t>2</w:t>
                  </w:r>
                </w:p>
              </w:tc>
              <w:tc>
                <w:tcPr>
                  <w:tcW w:w="3480" w:type="dxa"/>
                  <w:noWrap w:val="0"/>
                  <w:vAlign w:val="center"/>
                </w:tcPr>
                <w:p>
                  <w:pPr>
                    <w:tabs>
                      <w:tab w:val="left" w:pos="4698"/>
                    </w:tabs>
                    <w:jc w:val="left"/>
                    <w:rPr>
                      <w:color w:val="auto"/>
                      <w:szCs w:val="21"/>
                    </w:rPr>
                  </w:pPr>
                  <w:r>
                    <w:rPr>
                      <w:rFonts w:hint="eastAsia"/>
                      <w:color w:val="auto"/>
                      <w:szCs w:val="21"/>
                    </w:rPr>
                    <w:t>严格执行涂料、油墨、胶粘剂、清洗剂</w:t>
                  </w:r>
                  <w:r>
                    <w:rPr>
                      <w:color w:val="auto"/>
                      <w:szCs w:val="21"/>
                    </w:rPr>
                    <w:t>VOCs</w:t>
                  </w:r>
                  <w:r>
                    <w:rPr>
                      <w:rFonts w:hint="eastAsia"/>
                      <w:color w:val="auto"/>
                      <w:szCs w:val="21"/>
                    </w:rPr>
                    <w:t>含量限值标准，开展年度含</w:t>
                  </w:r>
                  <w:r>
                    <w:rPr>
                      <w:color w:val="auto"/>
                      <w:szCs w:val="21"/>
                    </w:rPr>
                    <w:t>VOCs</w:t>
                  </w:r>
                  <w:r>
                    <w:rPr>
                      <w:rFonts w:hint="eastAsia"/>
                      <w:color w:val="auto"/>
                      <w:szCs w:val="21"/>
                    </w:rPr>
                    <w:t>原辅材料达标情况联合检查</w:t>
                  </w:r>
                </w:p>
              </w:tc>
              <w:tc>
                <w:tcPr>
                  <w:tcW w:w="3119" w:type="dxa"/>
                  <w:noWrap w:val="0"/>
                  <w:vAlign w:val="center"/>
                </w:tcPr>
                <w:p>
                  <w:pPr>
                    <w:tabs>
                      <w:tab w:val="left" w:pos="4698"/>
                    </w:tabs>
                    <w:rPr>
                      <w:rFonts w:hint="eastAsia"/>
                      <w:color w:val="auto"/>
                      <w:szCs w:val="21"/>
                    </w:rPr>
                  </w:pPr>
                  <w:r>
                    <w:rPr>
                      <w:color w:val="auto"/>
                      <w:szCs w:val="21"/>
                    </w:rPr>
                    <w:t>本项目</w:t>
                  </w:r>
                  <w:r>
                    <w:rPr>
                      <w:rFonts w:hint="eastAsia"/>
                      <w:color w:val="auto"/>
                      <w:szCs w:val="21"/>
                    </w:rPr>
                    <w:t>密封胶</w:t>
                  </w:r>
                  <w:r>
                    <w:rPr>
                      <w:color w:val="auto"/>
                      <w:szCs w:val="21"/>
                    </w:rPr>
                    <w:t>挥发性有机化合物含量为4g/kg，能够满足《胶粘剂挥发性有机化合物限量》（GB33372-2020）规定本体型胶粘剂-有机硅类VOC含量100g/</w:t>
                  </w:r>
                  <w:r>
                    <w:rPr>
                      <w:rFonts w:hint="eastAsia"/>
                      <w:color w:val="auto"/>
                      <w:szCs w:val="21"/>
                    </w:rPr>
                    <w:t>kg</w:t>
                  </w:r>
                  <w:r>
                    <w:rPr>
                      <w:color w:val="auto"/>
                      <w:szCs w:val="21"/>
                    </w:rPr>
                    <w:t>（装配）的限值要求</w:t>
                  </w:r>
                </w:p>
              </w:tc>
              <w:tc>
                <w:tcPr>
                  <w:tcW w:w="770" w:type="dxa"/>
                  <w:noWrap w:val="0"/>
                  <w:vAlign w:val="center"/>
                </w:tcPr>
                <w:p>
                  <w:pPr>
                    <w:tabs>
                      <w:tab w:val="left" w:pos="4698"/>
                    </w:tabs>
                    <w:jc w:val="center"/>
                    <w:rPr>
                      <w:color w:val="auto"/>
                      <w:szCs w:val="21"/>
                    </w:rPr>
                  </w:pPr>
                  <w:r>
                    <w:rPr>
                      <w:color w:val="auto"/>
                      <w:szCs w:val="21"/>
                    </w:rPr>
                    <w:t>符合</w:t>
                  </w:r>
                </w:p>
              </w:tc>
            </w:tr>
          </w:tbl>
          <w:p>
            <w:pPr>
              <w:adjustRightInd w:val="0"/>
              <w:snapToGrid w:val="0"/>
              <w:spacing w:line="360" w:lineRule="auto"/>
              <w:ind w:firstLine="482" w:firstLineChars="200"/>
              <w:rPr>
                <w:b/>
                <w:bCs/>
                <w:color w:val="auto"/>
                <w:sz w:val="24"/>
              </w:rPr>
            </w:pPr>
            <w:r>
              <w:rPr>
                <w:rFonts w:hint="eastAsia"/>
                <w:b/>
                <w:bCs/>
                <w:color w:val="auto"/>
                <w:sz w:val="24"/>
                <w:lang w:val="en-US" w:eastAsia="zh-CN"/>
              </w:rPr>
              <w:t>5</w:t>
            </w:r>
            <w:r>
              <w:rPr>
                <w:b/>
                <w:bCs/>
                <w:color w:val="auto"/>
                <w:sz w:val="24"/>
              </w:rPr>
              <w:t>、与《巢湖流域水污染防治条例》相符性分析</w:t>
            </w:r>
          </w:p>
          <w:p>
            <w:pPr>
              <w:widowControl/>
              <w:numPr>
                <w:ilvl w:val="0"/>
                <w:numId w:val="2"/>
              </w:numPr>
              <w:jc w:val="center"/>
              <w:rPr>
                <w:b/>
                <w:color w:val="auto"/>
                <w:kern w:val="0"/>
                <w:szCs w:val="21"/>
              </w:rPr>
            </w:pPr>
            <w:r>
              <w:rPr>
                <w:b/>
                <w:color w:val="auto"/>
                <w:kern w:val="0"/>
                <w:szCs w:val="21"/>
              </w:rPr>
              <w:t xml:space="preserve">  本项目与《巢湖流域水污染防治条例》的符合性分析</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559"/>
              <w:gridCol w:w="3398"/>
              <w:gridCol w:w="2586"/>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99" w:type="dxa"/>
                  <w:gridSpan w:val="2"/>
                  <w:noWrap w:val="0"/>
                  <w:vAlign w:val="center"/>
                </w:tcPr>
                <w:p>
                  <w:pPr>
                    <w:adjustRightInd w:val="0"/>
                    <w:snapToGrid w:val="0"/>
                    <w:spacing w:line="264" w:lineRule="auto"/>
                    <w:jc w:val="center"/>
                    <w:rPr>
                      <w:b/>
                      <w:color w:val="auto"/>
                      <w:szCs w:val="21"/>
                    </w:rPr>
                  </w:pPr>
                  <w:r>
                    <w:rPr>
                      <w:b/>
                      <w:color w:val="auto"/>
                      <w:szCs w:val="21"/>
                    </w:rPr>
                    <w:t>项目</w:t>
                  </w:r>
                </w:p>
              </w:tc>
              <w:tc>
                <w:tcPr>
                  <w:tcW w:w="3398" w:type="dxa"/>
                  <w:noWrap w:val="0"/>
                  <w:vAlign w:val="center"/>
                </w:tcPr>
                <w:p>
                  <w:pPr>
                    <w:adjustRightInd w:val="0"/>
                    <w:snapToGrid w:val="0"/>
                    <w:spacing w:line="264" w:lineRule="auto"/>
                    <w:jc w:val="center"/>
                    <w:rPr>
                      <w:b/>
                      <w:color w:val="auto"/>
                      <w:szCs w:val="21"/>
                    </w:rPr>
                  </w:pPr>
                  <w:r>
                    <w:rPr>
                      <w:b/>
                      <w:color w:val="auto"/>
                      <w:szCs w:val="21"/>
                    </w:rPr>
                    <w:t>巢湖流域水污染防治条例</w:t>
                  </w:r>
                </w:p>
              </w:tc>
              <w:tc>
                <w:tcPr>
                  <w:tcW w:w="2586" w:type="dxa"/>
                  <w:noWrap w:val="0"/>
                  <w:vAlign w:val="center"/>
                </w:tcPr>
                <w:p>
                  <w:pPr>
                    <w:adjustRightInd w:val="0"/>
                    <w:snapToGrid w:val="0"/>
                    <w:spacing w:line="264" w:lineRule="auto"/>
                    <w:jc w:val="center"/>
                    <w:rPr>
                      <w:b/>
                      <w:color w:val="auto"/>
                      <w:szCs w:val="21"/>
                    </w:rPr>
                  </w:pPr>
                  <w:r>
                    <w:rPr>
                      <w:b/>
                      <w:color w:val="auto"/>
                      <w:szCs w:val="21"/>
                    </w:rPr>
                    <w:t>本项目情况</w:t>
                  </w:r>
                </w:p>
              </w:tc>
              <w:tc>
                <w:tcPr>
                  <w:tcW w:w="755" w:type="dxa"/>
                  <w:noWrap w:val="0"/>
                  <w:vAlign w:val="center"/>
                </w:tcPr>
                <w:p>
                  <w:pPr>
                    <w:adjustRightInd w:val="0"/>
                    <w:snapToGrid w:val="0"/>
                    <w:spacing w:line="264" w:lineRule="auto"/>
                    <w:jc w:val="center"/>
                    <w:rPr>
                      <w:b/>
                      <w:color w:val="auto"/>
                      <w:szCs w:val="21"/>
                    </w:rPr>
                  </w:pPr>
                  <w:r>
                    <w:rPr>
                      <w:b/>
                      <w:color w:val="auto"/>
                      <w:szCs w:val="21"/>
                    </w:rPr>
                    <w:t>符合分析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40" w:type="dxa"/>
                  <w:noWrap w:val="0"/>
                  <w:vAlign w:val="center"/>
                </w:tcPr>
                <w:p>
                  <w:pPr>
                    <w:adjustRightInd w:val="0"/>
                    <w:snapToGrid w:val="0"/>
                    <w:spacing w:line="264" w:lineRule="auto"/>
                    <w:jc w:val="center"/>
                    <w:rPr>
                      <w:color w:val="auto"/>
                      <w:szCs w:val="21"/>
                    </w:rPr>
                  </w:pPr>
                  <w:r>
                    <w:rPr>
                      <w:color w:val="auto"/>
                      <w:szCs w:val="21"/>
                    </w:rPr>
                    <w:t>第二章监督管理</w:t>
                  </w:r>
                </w:p>
              </w:tc>
              <w:tc>
                <w:tcPr>
                  <w:tcW w:w="559" w:type="dxa"/>
                  <w:noWrap w:val="0"/>
                  <w:vAlign w:val="center"/>
                </w:tcPr>
                <w:p>
                  <w:pPr>
                    <w:adjustRightInd w:val="0"/>
                    <w:snapToGrid w:val="0"/>
                    <w:spacing w:line="264" w:lineRule="auto"/>
                    <w:jc w:val="center"/>
                    <w:rPr>
                      <w:color w:val="auto"/>
                      <w:szCs w:val="21"/>
                    </w:rPr>
                  </w:pPr>
                  <w:r>
                    <w:rPr>
                      <w:color w:val="auto"/>
                      <w:szCs w:val="21"/>
                    </w:rPr>
                    <w:t>第十二条</w:t>
                  </w:r>
                </w:p>
              </w:tc>
              <w:tc>
                <w:tcPr>
                  <w:tcW w:w="3398" w:type="dxa"/>
                  <w:noWrap w:val="0"/>
                  <w:vAlign w:val="center"/>
                </w:tcPr>
                <w:p>
                  <w:pPr>
                    <w:autoSpaceDE w:val="0"/>
                    <w:autoSpaceDN w:val="0"/>
                    <w:adjustRightInd w:val="0"/>
                    <w:snapToGrid w:val="0"/>
                    <w:spacing w:line="264" w:lineRule="auto"/>
                    <w:rPr>
                      <w:color w:val="auto"/>
                      <w:szCs w:val="21"/>
                    </w:rPr>
                  </w:pPr>
                  <w:r>
                    <w:rPr>
                      <w:color w:val="auto"/>
                      <w:szCs w:val="21"/>
                    </w:rPr>
                    <w:t>在巢湖流域新建、改建、扩建直接或者间接向水体排放污染物的建设项目和其他水上设施，应当依法进行环境影响评价。建设项目的环境影响报表未依法经有审批权的生态环境主管部门审查或者审查后未予批准的，建设单位不得开工建设</w:t>
                  </w:r>
                </w:p>
              </w:tc>
              <w:tc>
                <w:tcPr>
                  <w:tcW w:w="2586" w:type="dxa"/>
                  <w:noWrap w:val="0"/>
                  <w:vAlign w:val="center"/>
                </w:tcPr>
                <w:p>
                  <w:pPr>
                    <w:adjustRightInd w:val="0"/>
                    <w:snapToGrid w:val="0"/>
                    <w:spacing w:line="264" w:lineRule="auto"/>
                    <w:rPr>
                      <w:rFonts w:hint="eastAsia" w:eastAsia="宋体"/>
                      <w:color w:val="auto"/>
                      <w:szCs w:val="21"/>
                      <w:lang w:eastAsia="zh-CN"/>
                    </w:rPr>
                  </w:pPr>
                  <w:r>
                    <w:rPr>
                      <w:color w:val="auto"/>
                      <w:szCs w:val="21"/>
                    </w:rPr>
                    <w:t>本项目废水预处理后满足</w:t>
                  </w:r>
                  <w:r>
                    <w:rPr>
                      <w:color w:val="auto"/>
                      <w:kern w:val="0"/>
                      <w:szCs w:val="21"/>
                    </w:rPr>
                    <w:t>接管限值</w:t>
                  </w:r>
                  <w:r>
                    <w:rPr>
                      <w:color w:val="auto"/>
                      <w:szCs w:val="21"/>
                    </w:rPr>
                    <w:t>后经市政污水管网进入</w:t>
                  </w:r>
                  <w:r>
                    <w:rPr>
                      <w:rFonts w:hint="eastAsia"/>
                      <w:color w:val="auto"/>
                      <w:szCs w:val="21"/>
                    </w:rPr>
                    <w:t>西部组团</w:t>
                  </w:r>
                  <w:r>
                    <w:rPr>
                      <w:color w:val="auto"/>
                      <w:szCs w:val="21"/>
                    </w:rPr>
                    <w:t>污水处理厂深度处理达标后排入</w:t>
                  </w:r>
                  <w:r>
                    <w:rPr>
                      <w:rFonts w:hint="eastAsia"/>
                      <w:color w:val="auto"/>
                      <w:szCs w:val="21"/>
                    </w:rPr>
                    <w:t>派河</w:t>
                  </w:r>
                  <w:r>
                    <w:rPr>
                      <w:color w:val="auto"/>
                      <w:szCs w:val="21"/>
                    </w:rPr>
                    <w:t>，最终汇入巢湖。属于间接向水体排放污染物的建设项目</w:t>
                  </w:r>
                  <w:r>
                    <w:rPr>
                      <w:rFonts w:hint="eastAsia"/>
                      <w:color w:val="auto"/>
                      <w:szCs w:val="21"/>
                      <w:lang w:eastAsia="zh-CN"/>
                    </w:rPr>
                    <w:t>，本项目正在进行环境影响评价</w:t>
                  </w:r>
                </w:p>
              </w:tc>
              <w:tc>
                <w:tcPr>
                  <w:tcW w:w="755" w:type="dxa"/>
                  <w:noWrap w:val="0"/>
                  <w:vAlign w:val="center"/>
                </w:tcPr>
                <w:p>
                  <w:pPr>
                    <w:adjustRightInd w:val="0"/>
                    <w:snapToGrid w:val="0"/>
                    <w:spacing w:line="264" w:lineRule="auto"/>
                    <w:jc w:val="center"/>
                    <w:rPr>
                      <w:bCs/>
                      <w:color w:val="auto"/>
                      <w:szCs w:val="21"/>
                    </w:rPr>
                  </w:pPr>
                  <w:r>
                    <w:rPr>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jc w:val="center"/>
              </w:trPr>
              <w:tc>
                <w:tcPr>
                  <w:tcW w:w="540" w:type="dxa"/>
                  <w:vMerge w:val="restart"/>
                  <w:noWrap w:val="0"/>
                  <w:vAlign w:val="center"/>
                </w:tcPr>
                <w:p>
                  <w:pPr>
                    <w:adjustRightInd w:val="0"/>
                    <w:snapToGrid w:val="0"/>
                    <w:spacing w:line="264" w:lineRule="auto"/>
                    <w:jc w:val="center"/>
                    <w:rPr>
                      <w:color w:val="auto"/>
                      <w:szCs w:val="21"/>
                    </w:rPr>
                  </w:pPr>
                  <w:r>
                    <w:rPr>
                      <w:color w:val="auto"/>
                      <w:szCs w:val="21"/>
                    </w:rPr>
                    <w:t>第三章污染防治</w:t>
                  </w:r>
                </w:p>
              </w:tc>
              <w:tc>
                <w:tcPr>
                  <w:tcW w:w="559" w:type="dxa"/>
                  <w:noWrap w:val="0"/>
                  <w:vAlign w:val="center"/>
                </w:tcPr>
                <w:p>
                  <w:pPr>
                    <w:adjustRightInd w:val="0"/>
                    <w:snapToGrid w:val="0"/>
                    <w:spacing w:line="264" w:lineRule="auto"/>
                    <w:jc w:val="center"/>
                    <w:rPr>
                      <w:color w:val="auto"/>
                      <w:szCs w:val="21"/>
                    </w:rPr>
                  </w:pPr>
                  <w:r>
                    <w:rPr>
                      <w:color w:val="auto"/>
                      <w:szCs w:val="21"/>
                    </w:rPr>
                    <w:t>第二十三条</w:t>
                  </w:r>
                </w:p>
              </w:tc>
              <w:tc>
                <w:tcPr>
                  <w:tcW w:w="3398" w:type="dxa"/>
                  <w:noWrap w:val="0"/>
                  <w:vAlign w:val="center"/>
                </w:tcPr>
                <w:p>
                  <w:pPr>
                    <w:autoSpaceDE w:val="0"/>
                    <w:autoSpaceDN w:val="0"/>
                    <w:adjustRightInd w:val="0"/>
                    <w:snapToGrid w:val="0"/>
                    <w:spacing w:line="264" w:lineRule="auto"/>
                    <w:rPr>
                      <w:color w:val="auto"/>
                      <w:kern w:val="0"/>
                      <w:szCs w:val="21"/>
                    </w:rPr>
                  </w:pPr>
                  <w:r>
                    <w:rPr>
                      <w:color w:val="auto"/>
                      <w:kern w:val="0"/>
                      <w:szCs w:val="21"/>
                    </w:rPr>
                    <w:t>水环境一、二、三级保护区内禁止下列行为：</w:t>
                  </w:r>
                </w:p>
                <w:p>
                  <w:pPr>
                    <w:autoSpaceDE w:val="0"/>
                    <w:autoSpaceDN w:val="0"/>
                    <w:adjustRightInd w:val="0"/>
                    <w:snapToGrid w:val="0"/>
                    <w:spacing w:line="264" w:lineRule="auto"/>
                    <w:rPr>
                      <w:color w:val="auto"/>
                      <w:kern w:val="0"/>
                      <w:szCs w:val="21"/>
                    </w:rPr>
                  </w:pPr>
                  <w:r>
                    <w:rPr>
                      <w:color w:val="auto"/>
                      <w:kern w:val="0"/>
                      <w:szCs w:val="21"/>
                    </w:rPr>
                    <w:t>(一)新建化学制浆造纸企业；</w:t>
                  </w:r>
                </w:p>
                <w:p>
                  <w:pPr>
                    <w:autoSpaceDE w:val="0"/>
                    <w:autoSpaceDN w:val="0"/>
                    <w:adjustRightInd w:val="0"/>
                    <w:snapToGrid w:val="0"/>
                    <w:spacing w:line="264" w:lineRule="auto"/>
                    <w:rPr>
                      <w:color w:val="auto"/>
                      <w:kern w:val="0"/>
                      <w:szCs w:val="21"/>
                    </w:rPr>
                  </w:pPr>
                  <w:r>
                    <w:rPr>
                      <w:color w:val="auto"/>
                      <w:kern w:val="0"/>
                      <w:szCs w:val="21"/>
                    </w:rPr>
                    <w:t>(二)新建制革、化工、印染、电镀、酿造、水泥、石棉、玻璃等水污染严重的小型项目；</w:t>
                  </w:r>
                </w:p>
                <w:p>
                  <w:pPr>
                    <w:autoSpaceDE w:val="0"/>
                    <w:autoSpaceDN w:val="0"/>
                    <w:adjustRightInd w:val="0"/>
                    <w:snapToGrid w:val="0"/>
                    <w:spacing w:line="264" w:lineRule="auto"/>
                    <w:rPr>
                      <w:color w:val="auto"/>
                      <w:kern w:val="0"/>
                      <w:szCs w:val="21"/>
                    </w:rPr>
                  </w:pPr>
                  <w:r>
                    <w:rPr>
                      <w:color w:val="auto"/>
                      <w:kern w:val="0"/>
                      <w:szCs w:val="21"/>
                    </w:rPr>
                    <w:t>(三)销售、使用含磷洗涤用品；</w:t>
                  </w:r>
                </w:p>
                <w:p>
                  <w:pPr>
                    <w:autoSpaceDE w:val="0"/>
                    <w:autoSpaceDN w:val="0"/>
                    <w:adjustRightInd w:val="0"/>
                    <w:snapToGrid w:val="0"/>
                    <w:spacing w:line="264" w:lineRule="auto"/>
                    <w:rPr>
                      <w:color w:val="auto"/>
                      <w:kern w:val="0"/>
                      <w:szCs w:val="21"/>
                    </w:rPr>
                  </w:pPr>
                  <w:r>
                    <w:rPr>
                      <w:color w:val="auto"/>
                      <w:kern w:val="0"/>
                      <w:szCs w:val="21"/>
                    </w:rPr>
                    <w:t>(四)围湖造地；</w:t>
                  </w:r>
                </w:p>
                <w:p>
                  <w:pPr>
                    <w:autoSpaceDE w:val="0"/>
                    <w:autoSpaceDN w:val="0"/>
                    <w:adjustRightInd w:val="0"/>
                    <w:snapToGrid w:val="0"/>
                    <w:spacing w:line="264" w:lineRule="auto"/>
                    <w:rPr>
                      <w:color w:val="auto"/>
                      <w:kern w:val="0"/>
                      <w:szCs w:val="21"/>
                    </w:rPr>
                  </w:pPr>
                  <w:r>
                    <w:rPr>
                      <w:color w:val="auto"/>
                      <w:kern w:val="0"/>
                      <w:szCs w:val="21"/>
                    </w:rPr>
                    <w:t>(五)法律、法规禁止的其他行为。</w:t>
                  </w:r>
                </w:p>
                <w:p>
                  <w:pPr>
                    <w:autoSpaceDE w:val="0"/>
                    <w:autoSpaceDN w:val="0"/>
                    <w:adjustRightInd w:val="0"/>
                    <w:snapToGrid w:val="0"/>
                    <w:spacing w:line="264" w:lineRule="auto"/>
                    <w:rPr>
                      <w:color w:val="auto"/>
                      <w:kern w:val="0"/>
                      <w:szCs w:val="21"/>
                    </w:rPr>
                  </w:pPr>
                  <w:r>
                    <w:rPr>
                      <w:color w:val="auto"/>
                      <w:kern w:val="0"/>
                      <w:szCs w:val="21"/>
                    </w:rPr>
                    <w:t>严格限制在水环境三级保护区内新建制革、化工、印染、电镀、酿造、水泥、石棉、玻璃等水污染严重的大中型项目；确需新建的，应当事先报经省人民政府生态环境主管部门同意。</w:t>
                  </w:r>
                </w:p>
              </w:tc>
              <w:tc>
                <w:tcPr>
                  <w:tcW w:w="2586" w:type="dxa"/>
                  <w:noWrap w:val="0"/>
                  <w:vAlign w:val="center"/>
                </w:tcPr>
                <w:p>
                  <w:pPr>
                    <w:autoSpaceDE w:val="0"/>
                    <w:autoSpaceDN w:val="0"/>
                    <w:adjustRightInd w:val="0"/>
                    <w:snapToGrid w:val="0"/>
                    <w:spacing w:line="264" w:lineRule="auto"/>
                    <w:rPr>
                      <w:color w:val="auto"/>
                      <w:szCs w:val="21"/>
                    </w:rPr>
                  </w:pPr>
                  <w:r>
                    <w:rPr>
                      <w:color w:val="auto"/>
                      <w:szCs w:val="21"/>
                    </w:rPr>
                    <w:t>本项目距离巢湖</w:t>
                  </w:r>
                  <w:r>
                    <w:rPr>
                      <w:rFonts w:hint="eastAsia"/>
                      <w:color w:val="auto"/>
                      <w:szCs w:val="21"/>
                    </w:rPr>
                    <w:t>21.7</w:t>
                  </w:r>
                  <w:r>
                    <w:rPr>
                      <w:color w:val="auto"/>
                      <w:szCs w:val="21"/>
                    </w:rPr>
                    <w:t>km，在巢湖流域水环境三级保护区范围内，</w:t>
                  </w:r>
                  <w:r>
                    <w:rPr>
                      <w:color w:val="auto"/>
                      <w:kern w:val="0"/>
                      <w:szCs w:val="21"/>
                    </w:rPr>
                    <w:t>行业类别为</w:t>
                  </w:r>
                  <w:r>
                    <w:rPr>
                      <w:bCs/>
                      <w:color w:val="auto"/>
                      <w:szCs w:val="21"/>
                    </w:rPr>
                    <w:t>光伏设备及元器件制造</w:t>
                  </w:r>
                  <w:r>
                    <w:rPr>
                      <w:color w:val="auto"/>
                      <w:kern w:val="0"/>
                      <w:szCs w:val="21"/>
                    </w:rPr>
                    <w:t>，不</w:t>
                  </w:r>
                  <w:r>
                    <w:rPr>
                      <w:rFonts w:hint="eastAsia"/>
                      <w:color w:val="auto"/>
                      <w:kern w:val="0"/>
                      <w:szCs w:val="21"/>
                      <w:lang w:eastAsia="zh-CN"/>
                    </w:rPr>
                    <w:t>属于</w:t>
                  </w:r>
                  <w:r>
                    <w:rPr>
                      <w:color w:val="auto"/>
                      <w:kern w:val="0"/>
                      <w:szCs w:val="21"/>
                    </w:rPr>
                    <w:t>水环境三级保护区内禁止、限制类行为</w:t>
                  </w:r>
                </w:p>
              </w:tc>
              <w:tc>
                <w:tcPr>
                  <w:tcW w:w="755" w:type="dxa"/>
                  <w:noWrap w:val="0"/>
                  <w:vAlign w:val="center"/>
                </w:tcPr>
                <w:p>
                  <w:pPr>
                    <w:adjustRightInd w:val="0"/>
                    <w:snapToGrid w:val="0"/>
                    <w:spacing w:line="264" w:lineRule="auto"/>
                    <w:jc w:val="center"/>
                    <w:rPr>
                      <w:bCs/>
                      <w:color w:val="auto"/>
                      <w:szCs w:val="21"/>
                    </w:rPr>
                  </w:pPr>
                  <w:r>
                    <w:rPr>
                      <w:bCs/>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540" w:type="dxa"/>
                  <w:vMerge w:val="continue"/>
                  <w:noWrap w:val="0"/>
                  <w:vAlign w:val="center"/>
                </w:tcPr>
                <w:p>
                  <w:pPr>
                    <w:adjustRightInd w:val="0"/>
                    <w:snapToGrid w:val="0"/>
                    <w:spacing w:line="264" w:lineRule="auto"/>
                    <w:jc w:val="center"/>
                    <w:rPr>
                      <w:color w:val="auto"/>
                      <w:szCs w:val="21"/>
                    </w:rPr>
                  </w:pPr>
                </w:p>
              </w:tc>
              <w:tc>
                <w:tcPr>
                  <w:tcW w:w="559" w:type="dxa"/>
                  <w:noWrap w:val="0"/>
                  <w:vAlign w:val="center"/>
                </w:tcPr>
                <w:p>
                  <w:pPr>
                    <w:adjustRightInd w:val="0"/>
                    <w:snapToGrid w:val="0"/>
                    <w:spacing w:line="264" w:lineRule="auto"/>
                    <w:jc w:val="center"/>
                    <w:rPr>
                      <w:color w:val="auto"/>
                      <w:szCs w:val="21"/>
                    </w:rPr>
                  </w:pPr>
                  <w:r>
                    <w:rPr>
                      <w:color w:val="auto"/>
                      <w:szCs w:val="21"/>
                    </w:rPr>
                    <w:t>第三十三条</w:t>
                  </w:r>
                </w:p>
              </w:tc>
              <w:tc>
                <w:tcPr>
                  <w:tcW w:w="3398" w:type="dxa"/>
                  <w:noWrap w:val="0"/>
                  <w:vAlign w:val="center"/>
                </w:tcPr>
                <w:p>
                  <w:pPr>
                    <w:autoSpaceDE w:val="0"/>
                    <w:autoSpaceDN w:val="0"/>
                    <w:adjustRightInd w:val="0"/>
                    <w:snapToGrid w:val="0"/>
                    <w:spacing w:line="264" w:lineRule="auto"/>
                    <w:rPr>
                      <w:color w:val="auto"/>
                      <w:kern w:val="0"/>
                      <w:szCs w:val="21"/>
                    </w:rPr>
                  </w:pPr>
                  <w:r>
                    <w:rPr>
                      <w:color w:val="auto"/>
                      <w:kern w:val="0"/>
                      <w:szCs w:val="21"/>
                    </w:rPr>
                    <w:t>向城镇污水集中处理设施排放污水，应当达到国家和地方规定的水污染物排放标准以及污水排入城市下水道水质标准</w:t>
                  </w:r>
                </w:p>
              </w:tc>
              <w:tc>
                <w:tcPr>
                  <w:tcW w:w="2586" w:type="dxa"/>
                  <w:noWrap w:val="0"/>
                  <w:vAlign w:val="center"/>
                </w:tcPr>
                <w:p>
                  <w:pPr>
                    <w:adjustRightInd w:val="0"/>
                    <w:snapToGrid w:val="0"/>
                    <w:spacing w:line="264" w:lineRule="auto"/>
                    <w:rPr>
                      <w:color w:val="auto"/>
                      <w:szCs w:val="21"/>
                    </w:rPr>
                  </w:pPr>
                  <w:r>
                    <w:rPr>
                      <w:color w:val="auto"/>
                      <w:szCs w:val="21"/>
                    </w:rPr>
                    <w:t>本项目废水预处理后满足</w:t>
                  </w:r>
                  <w:r>
                    <w:rPr>
                      <w:color w:val="auto"/>
                      <w:kern w:val="0"/>
                      <w:szCs w:val="21"/>
                    </w:rPr>
                    <w:t>接管限值</w:t>
                  </w:r>
                  <w:r>
                    <w:rPr>
                      <w:color w:val="auto"/>
                      <w:szCs w:val="21"/>
                    </w:rPr>
                    <w:t>后经市政污水管网进入</w:t>
                  </w:r>
                  <w:r>
                    <w:rPr>
                      <w:rFonts w:hint="eastAsia"/>
                      <w:color w:val="auto"/>
                      <w:szCs w:val="21"/>
                    </w:rPr>
                    <w:t>西部组团</w:t>
                  </w:r>
                  <w:r>
                    <w:rPr>
                      <w:color w:val="auto"/>
                      <w:szCs w:val="21"/>
                    </w:rPr>
                    <w:t>污水处理厂深度处理</w:t>
                  </w:r>
                </w:p>
              </w:tc>
              <w:tc>
                <w:tcPr>
                  <w:tcW w:w="755" w:type="dxa"/>
                  <w:noWrap w:val="0"/>
                  <w:vAlign w:val="center"/>
                </w:tcPr>
                <w:p>
                  <w:pPr>
                    <w:adjustRightInd w:val="0"/>
                    <w:snapToGrid w:val="0"/>
                    <w:spacing w:line="264" w:lineRule="auto"/>
                    <w:jc w:val="center"/>
                    <w:rPr>
                      <w:bCs/>
                      <w:color w:val="auto"/>
                      <w:szCs w:val="21"/>
                    </w:rPr>
                  </w:pPr>
                  <w:r>
                    <w:rPr>
                      <w:bCs/>
                      <w:color w:val="auto"/>
                      <w:szCs w:val="21"/>
                    </w:rPr>
                    <w:t>符合</w:t>
                  </w:r>
                </w:p>
              </w:tc>
            </w:tr>
          </w:tbl>
          <w:p>
            <w:pPr>
              <w:spacing w:line="360" w:lineRule="auto"/>
              <w:ind w:firstLine="422" w:firstLineChars="175"/>
              <w:rPr>
                <w:b/>
                <w:bCs/>
                <w:color w:val="auto"/>
                <w:sz w:val="24"/>
              </w:rPr>
            </w:pPr>
            <w:r>
              <w:rPr>
                <w:rFonts w:hint="eastAsia"/>
                <w:b/>
                <w:bCs/>
                <w:color w:val="auto"/>
                <w:sz w:val="24"/>
                <w:lang w:val="en-US" w:eastAsia="zh-CN"/>
              </w:rPr>
              <w:t>6</w:t>
            </w:r>
            <w:r>
              <w:rPr>
                <w:b/>
                <w:bCs/>
                <w:color w:val="auto"/>
                <w:sz w:val="24"/>
              </w:rPr>
              <w:t>、与《巢湖流域禁止和限制的产业产品目录的通知》（皖发改环资〔2021〕6号）的相符性分析</w:t>
            </w:r>
          </w:p>
          <w:p>
            <w:pPr>
              <w:widowControl/>
              <w:numPr>
                <w:ilvl w:val="0"/>
                <w:numId w:val="2"/>
              </w:numPr>
              <w:jc w:val="center"/>
              <w:rPr>
                <w:b/>
                <w:color w:val="auto"/>
                <w:kern w:val="0"/>
                <w:szCs w:val="21"/>
              </w:rPr>
            </w:pPr>
            <w:r>
              <w:rPr>
                <w:b/>
                <w:color w:val="auto"/>
                <w:kern w:val="0"/>
                <w:szCs w:val="21"/>
              </w:rPr>
              <w:t xml:space="preserve">  本项目与皖发改环资〔2021〕6号通知符合性分析</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1"/>
              <w:gridCol w:w="4330"/>
              <w:gridCol w:w="214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0" w:hRule="atLeast"/>
                <w:jc w:val="center"/>
              </w:trPr>
              <w:tc>
                <w:tcPr>
                  <w:tcW w:w="741" w:type="dxa"/>
                  <w:noWrap w:val="0"/>
                  <w:vAlign w:val="center"/>
                </w:tcPr>
                <w:p>
                  <w:pPr>
                    <w:autoSpaceDE w:val="0"/>
                    <w:autoSpaceDN w:val="0"/>
                    <w:adjustRightInd w:val="0"/>
                    <w:snapToGrid w:val="0"/>
                    <w:spacing w:line="264" w:lineRule="auto"/>
                    <w:rPr>
                      <w:b/>
                      <w:bCs/>
                      <w:color w:val="auto"/>
                      <w:kern w:val="0"/>
                      <w:szCs w:val="21"/>
                    </w:rPr>
                  </w:pPr>
                  <w:r>
                    <w:rPr>
                      <w:b/>
                      <w:bCs/>
                      <w:color w:val="auto"/>
                      <w:kern w:val="0"/>
                      <w:szCs w:val="21"/>
                    </w:rPr>
                    <w:t>序号</w:t>
                  </w:r>
                </w:p>
              </w:tc>
              <w:tc>
                <w:tcPr>
                  <w:tcW w:w="4330" w:type="dxa"/>
                  <w:noWrap w:val="0"/>
                  <w:vAlign w:val="center"/>
                </w:tcPr>
                <w:p>
                  <w:pPr>
                    <w:autoSpaceDE w:val="0"/>
                    <w:autoSpaceDN w:val="0"/>
                    <w:adjustRightInd w:val="0"/>
                    <w:snapToGrid w:val="0"/>
                    <w:spacing w:line="264" w:lineRule="auto"/>
                    <w:jc w:val="center"/>
                    <w:rPr>
                      <w:b/>
                      <w:bCs/>
                      <w:color w:val="auto"/>
                      <w:kern w:val="0"/>
                      <w:szCs w:val="21"/>
                    </w:rPr>
                  </w:pPr>
                  <w:r>
                    <w:rPr>
                      <w:b/>
                      <w:bCs/>
                      <w:color w:val="auto"/>
                      <w:kern w:val="0"/>
                      <w:szCs w:val="21"/>
                    </w:rPr>
                    <w:t>巢湖流域禁止和限制的产业产品目录</w:t>
                  </w:r>
                </w:p>
              </w:tc>
              <w:tc>
                <w:tcPr>
                  <w:tcW w:w="2140" w:type="dxa"/>
                  <w:noWrap w:val="0"/>
                  <w:vAlign w:val="center"/>
                </w:tcPr>
                <w:p>
                  <w:pPr>
                    <w:autoSpaceDE w:val="0"/>
                    <w:autoSpaceDN w:val="0"/>
                    <w:adjustRightInd w:val="0"/>
                    <w:snapToGrid w:val="0"/>
                    <w:spacing w:line="264" w:lineRule="auto"/>
                    <w:jc w:val="center"/>
                    <w:rPr>
                      <w:b/>
                      <w:bCs/>
                      <w:color w:val="auto"/>
                      <w:kern w:val="0"/>
                      <w:szCs w:val="21"/>
                    </w:rPr>
                  </w:pPr>
                  <w:r>
                    <w:rPr>
                      <w:b/>
                      <w:bCs/>
                      <w:color w:val="auto"/>
                      <w:kern w:val="0"/>
                      <w:szCs w:val="21"/>
                    </w:rPr>
                    <w:t>本项目情况</w:t>
                  </w:r>
                </w:p>
              </w:tc>
              <w:tc>
                <w:tcPr>
                  <w:tcW w:w="736" w:type="dxa"/>
                  <w:noWrap w:val="0"/>
                  <w:vAlign w:val="center"/>
                </w:tcPr>
                <w:p>
                  <w:pPr>
                    <w:autoSpaceDE w:val="0"/>
                    <w:autoSpaceDN w:val="0"/>
                    <w:adjustRightInd w:val="0"/>
                    <w:snapToGrid w:val="0"/>
                    <w:spacing w:line="264" w:lineRule="auto"/>
                    <w:jc w:val="center"/>
                    <w:rPr>
                      <w:b/>
                      <w:bCs/>
                      <w:color w:val="auto"/>
                      <w:kern w:val="0"/>
                      <w:szCs w:val="21"/>
                    </w:rPr>
                  </w:pPr>
                  <w:r>
                    <w:rPr>
                      <w:b/>
                      <w:bCs/>
                      <w:color w:val="auto"/>
                      <w:kern w:val="0"/>
                      <w:szCs w:val="21"/>
                    </w:rPr>
                    <w:t>符合分析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0" w:hRule="atLeast"/>
                <w:jc w:val="center"/>
              </w:trPr>
              <w:tc>
                <w:tcPr>
                  <w:tcW w:w="741" w:type="dxa"/>
                  <w:noWrap w:val="0"/>
                  <w:vAlign w:val="center"/>
                </w:tcPr>
                <w:p>
                  <w:pPr>
                    <w:autoSpaceDE w:val="0"/>
                    <w:autoSpaceDN w:val="0"/>
                    <w:adjustRightInd w:val="0"/>
                    <w:snapToGrid w:val="0"/>
                    <w:spacing w:line="264" w:lineRule="auto"/>
                    <w:jc w:val="center"/>
                    <w:rPr>
                      <w:color w:val="auto"/>
                      <w:kern w:val="0"/>
                      <w:szCs w:val="21"/>
                    </w:rPr>
                  </w:pPr>
                  <w:r>
                    <w:rPr>
                      <w:color w:val="auto"/>
                      <w:kern w:val="0"/>
                      <w:szCs w:val="21"/>
                    </w:rPr>
                    <w:t>1</w:t>
                  </w:r>
                </w:p>
              </w:tc>
              <w:tc>
                <w:tcPr>
                  <w:tcW w:w="4330" w:type="dxa"/>
                  <w:noWrap w:val="0"/>
                  <w:vAlign w:val="center"/>
                </w:tcPr>
                <w:p>
                  <w:pPr>
                    <w:autoSpaceDE w:val="0"/>
                    <w:autoSpaceDN w:val="0"/>
                    <w:adjustRightInd w:val="0"/>
                    <w:snapToGrid w:val="0"/>
                    <w:spacing w:line="264" w:lineRule="auto"/>
                    <w:rPr>
                      <w:color w:val="auto"/>
                      <w:kern w:val="0"/>
                      <w:szCs w:val="21"/>
                    </w:rPr>
                  </w:pPr>
                  <w:r>
                    <w:rPr>
                      <w:color w:val="auto"/>
                      <w:kern w:val="0"/>
                      <w:szCs w:val="21"/>
                    </w:rPr>
                    <w:t>（一）禁止类</w:t>
                  </w:r>
                </w:p>
                <w:p>
                  <w:pPr>
                    <w:autoSpaceDE w:val="0"/>
                    <w:autoSpaceDN w:val="0"/>
                    <w:adjustRightInd w:val="0"/>
                    <w:snapToGrid w:val="0"/>
                    <w:spacing w:line="264" w:lineRule="auto"/>
                    <w:rPr>
                      <w:color w:val="auto"/>
                      <w:kern w:val="0"/>
                      <w:szCs w:val="21"/>
                    </w:rPr>
                  </w:pPr>
                  <w:r>
                    <w:rPr>
                      <w:color w:val="auto"/>
                      <w:kern w:val="0"/>
                      <w:szCs w:val="21"/>
                    </w:rPr>
                    <w:t>1．化学制浆造纸（新建企业）</w:t>
                  </w:r>
                </w:p>
                <w:p>
                  <w:pPr>
                    <w:autoSpaceDE w:val="0"/>
                    <w:autoSpaceDN w:val="0"/>
                    <w:adjustRightInd w:val="0"/>
                    <w:snapToGrid w:val="0"/>
                    <w:spacing w:line="264" w:lineRule="auto"/>
                    <w:rPr>
                      <w:color w:val="auto"/>
                      <w:kern w:val="0"/>
                      <w:szCs w:val="21"/>
                    </w:rPr>
                  </w:pPr>
                  <w:r>
                    <w:rPr>
                      <w:color w:val="auto"/>
                      <w:kern w:val="0"/>
                      <w:szCs w:val="21"/>
                    </w:rPr>
                    <w:t>2．制革（新建小型项目）</w:t>
                  </w:r>
                </w:p>
                <w:p>
                  <w:pPr>
                    <w:autoSpaceDE w:val="0"/>
                    <w:autoSpaceDN w:val="0"/>
                    <w:adjustRightInd w:val="0"/>
                    <w:snapToGrid w:val="0"/>
                    <w:spacing w:line="264" w:lineRule="auto"/>
                    <w:rPr>
                      <w:color w:val="auto"/>
                      <w:kern w:val="0"/>
                      <w:szCs w:val="21"/>
                    </w:rPr>
                  </w:pPr>
                  <w:r>
                    <w:rPr>
                      <w:color w:val="auto"/>
                      <w:kern w:val="0"/>
                      <w:szCs w:val="21"/>
                    </w:rPr>
                    <w:t>3．化工（新建小型项目）</w:t>
                  </w:r>
                </w:p>
                <w:p>
                  <w:pPr>
                    <w:autoSpaceDE w:val="0"/>
                    <w:autoSpaceDN w:val="0"/>
                    <w:adjustRightInd w:val="0"/>
                    <w:snapToGrid w:val="0"/>
                    <w:spacing w:line="264" w:lineRule="auto"/>
                    <w:rPr>
                      <w:color w:val="auto"/>
                      <w:kern w:val="0"/>
                      <w:szCs w:val="21"/>
                    </w:rPr>
                  </w:pPr>
                  <w:r>
                    <w:rPr>
                      <w:color w:val="auto"/>
                      <w:kern w:val="0"/>
                      <w:szCs w:val="21"/>
                    </w:rPr>
                    <w:t>4．印染（新建小型项目）</w:t>
                  </w:r>
                </w:p>
                <w:p>
                  <w:pPr>
                    <w:autoSpaceDE w:val="0"/>
                    <w:autoSpaceDN w:val="0"/>
                    <w:adjustRightInd w:val="0"/>
                    <w:snapToGrid w:val="0"/>
                    <w:spacing w:line="264" w:lineRule="auto"/>
                    <w:rPr>
                      <w:color w:val="auto"/>
                      <w:kern w:val="0"/>
                      <w:szCs w:val="21"/>
                    </w:rPr>
                  </w:pPr>
                  <w:r>
                    <w:rPr>
                      <w:color w:val="auto"/>
                      <w:kern w:val="0"/>
                      <w:szCs w:val="21"/>
                    </w:rPr>
                    <w:t>5．酿造（新建小型项目）</w:t>
                  </w:r>
                </w:p>
                <w:p>
                  <w:pPr>
                    <w:autoSpaceDE w:val="0"/>
                    <w:autoSpaceDN w:val="0"/>
                    <w:adjustRightInd w:val="0"/>
                    <w:snapToGrid w:val="0"/>
                    <w:spacing w:line="264" w:lineRule="auto"/>
                    <w:rPr>
                      <w:color w:val="auto"/>
                      <w:kern w:val="0"/>
                      <w:szCs w:val="21"/>
                    </w:rPr>
                  </w:pPr>
                  <w:r>
                    <w:rPr>
                      <w:color w:val="auto"/>
                      <w:kern w:val="0"/>
                      <w:szCs w:val="21"/>
                    </w:rPr>
                    <w:t>6．水泥（新建小型项目）</w:t>
                  </w:r>
                </w:p>
                <w:p>
                  <w:pPr>
                    <w:autoSpaceDE w:val="0"/>
                    <w:autoSpaceDN w:val="0"/>
                    <w:adjustRightInd w:val="0"/>
                    <w:snapToGrid w:val="0"/>
                    <w:spacing w:line="264" w:lineRule="auto"/>
                    <w:rPr>
                      <w:color w:val="auto"/>
                      <w:kern w:val="0"/>
                      <w:szCs w:val="21"/>
                    </w:rPr>
                  </w:pPr>
                  <w:r>
                    <w:rPr>
                      <w:color w:val="auto"/>
                      <w:kern w:val="0"/>
                      <w:szCs w:val="21"/>
                    </w:rPr>
                    <w:t>7．石棉（新建小型项目）</w:t>
                  </w:r>
                </w:p>
                <w:p>
                  <w:pPr>
                    <w:autoSpaceDE w:val="0"/>
                    <w:autoSpaceDN w:val="0"/>
                    <w:adjustRightInd w:val="0"/>
                    <w:snapToGrid w:val="0"/>
                    <w:spacing w:line="264" w:lineRule="auto"/>
                    <w:rPr>
                      <w:color w:val="auto"/>
                      <w:kern w:val="0"/>
                      <w:szCs w:val="21"/>
                    </w:rPr>
                  </w:pPr>
                  <w:r>
                    <w:rPr>
                      <w:color w:val="auto"/>
                      <w:kern w:val="0"/>
                      <w:szCs w:val="21"/>
                    </w:rPr>
                    <w:t>8．玻璃（新建小型项目）</w:t>
                  </w:r>
                </w:p>
                <w:p>
                  <w:pPr>
                    <w:autoSpaceDE w:val="0"/>
                    <w:autoSpaceDN w:val="0"/>
                    <w:adjustRightInd w:val="0"/>
                    <w:snapToGrid w:val="0"/>
                    <w:spacing w:line="264" w:lineRule="auto"/>
                    <w:rPr>
                      <w:color w:val="auto"/>
                      <w:kern w:val="0"/>
                      <w:szCs w:val="21"/>
                    </w:rPr>
                  </w:pPr>
                  <w:r>
                    <w:rPr>
                      <w:color w:val="auto"/>
                      <w:kern w:val="0"/>
                      <w:szCs w:val="21"/>
                    </w:rPr>
                    <w:t>9．其他</w:t>
                  </w:r>
                </w:p>
                <w:p>
                  <w:pPr>
                    <w:autoSpaceDE w:val="0"/>
                    <w:autoSpaceDN w:val="0"/>
                    <w:adjustRightInd w:val="0"/>
                    <w:snapToGrid w:val="0"/>
                    <w:spacing w:line="264" w:lineRule="auto"/>
                    <w:rPr>
                      <w:color w:val="auto"/>
                      <w:kern w:val="0"/>
                      <w:szCs w:val="21"/>
                    </w:rPr>
                  </w:pPr>
                  <w:r>
                    <w:rPr>
                      <w:color w:val="auto"/>
                      <w:kern w:val="0"/>
                      <w:szCs w:val="21"/>
                    </w:rPr>
                    <w:t>（1）新建含电镀工艺的金属表面处理热处理加工产品小型项目</w:t>
                  </w:r>
                </w:p>
                <w:p>
                  <w:pPr>
                    <w:autoSpaceDE w:val="0"/>
                    <w:autoSpaceDN w:val="0"/>
                    <w:adjustRightInd w:val="0"/>
                    <w:snapToGrid w:val="0"/>
                    <w:spacing w:line="264" w:lineRule="auto"/>
                    <w:rPr>
                      <w:color w:val="auto"/>
                      <w:kern w:val="0"/>
                      <w:szCs w:val="21"/>
                    </w:rPr>
                  </w:pPr>
                  <w:r>
                    <w:rPr>
                      <w:color w:val="auto"/>
                      <w:kern w:val="0"/>
                      <w:szCs w:val="21"/>
                    </w:rPr>
                    <w:t>（2）销售、使用含磷洗涤用品</w:t>
                  </w:r>
                </w:p>
              </w:tc>
              <w:tc>
                <w:tcPr>
                  <w:tcW w:w="2140" w:type="dxa"/>
                  <w:noWrap w:val="0"/>
                  <w:vAlign w:val="center"/>
                </w:tcPr>
                <w:p>
                  <w:pPr>
                    <w:autoSpaceDE w:val="0"/>
                    <w:autoSpaceDN w:val="0"/>
                    <w:adjustRightInd w:val="0"/>
                    <w:snapToGrid w:val="0"/>
                    <w:spacing w:line="264" w:lineRule="auto"/>
                    <w:rPr>
                      <w:color w:val="auto"/>
                      <w:kern w:val="0"/>
                      <w:szCs w:val="21"/>
                    </w:rPr>
                  </w:pPr>
                  <w:r>
                    <w:rPr>
                      <w:color w:val="auto"/>
                      <w:kern w:val="0"/>
                      <w:szCs w:val="21"/>
                    </w:rPr>
                    <w:t>本项目行业类别为</w:t>
                  </w:r>
                  <w:r>
                    <w:rPr>
                      <w:bCs/>
                      <w:color w:val="auto"/>
                      <w:szCs w:val="21"/>
                    </w:rPr>
                    <w:t>光伏设备及元器件制造</w:t>
                  </w:r>
                  <w:r>
                    <w:rPr>
                      <w:color w:val="auto"/>
                      <w:kern w:val="0"/>
                      <w:szCs w:val="21"/>
                    </w:rPr>
                    <w:t>，不</w:t>
                  </w:r>
                  <w:r>
                    <w:rPr>
                      <w:rFonts w:hint="eastAsia"/>
                      <w:color w:val="auto"/>
                      <w:kern w:val="0"/>
                      <w:szCs w:val="21"/>
                      <w:lang w:eastAsia="zh-CN"/>
                    </w:rPr>
                    <w:t>属于</w:t>
                  </w:r>
                  <w:r>
                    <w:rPr>
                      <w:color w:val="auto"/>
                      <w:kern w:val="0"/>
                      <w:szCs w:val="21"/>
                    </w:rPr>
                    <w:t>禁止类产业产品</w:t>
                  </w:r>
                </w:p>
              </w:tc>
              <w:tc>
                <w:tcPr>
                  <w:tcW w:w="736" w:type="dxa"/>
                  <w:noWrap w:val="0"/>
                  <w:vAlign w:val="center"/>
                </w:tcPr>
                <w:p>
                  <w:pPr>
                    <w:autoSpaceDE w:val="0"/>
                    <w:autoSpaceDN w:val="0"/>
                    <w:adjustRightInd w:val="0"/>
                    <w:snapToGrid w:val="0"/>
                    <w:spacing w:line="264" w:lineRule="auto"/>
                    <w:jc w:val="center"/>
                    <w:rPr>
                      <w:color w:val="auto"/>
                      <w:kern w:val="0"/>
                      <w:szCs w:val="21"/>
                    </w:rPr>
                  </w:pPr>
                  <w:r>
                    <w:rPr>
                      <w:color w:val="auto"/>
                      <w:kern w:val="0"/>
                      <w:szCs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741" w:type="dxa"/>
                  <w:noWrap w:val="0"/>
                  <w:vAlign w:val="center"/>
                </w:tcPr>
                <w:p>
                  <w:pPr>
                    <w:autoSpaceDE w:val="0"/>
                    <w:autoSpaceDN w:val="0"/>
                    <w:adjustRightInd w:val="0"/>
                    <w:snapToGrid w:val="0"/>
                    <w:spacing w:line="264" w:lineRule="auto"/>
                    <w:jc w:val="center"/>
                    <w:rPr>
                      <w:color w:val="auto"/>
                      <w:kern w:val="0"/>
                      <w:szCs w:val="21"/>
                    </w:rPr>
                  </w:pPr>
                  <w:r>
                    <w:rPr>
                      <w:color w:val="auto"/>
                      <w:kern w:val="0"/>
                      <w:szCs w:val="21"/>
                    </w:rPr>
                    <w:t>2</w:t>
                  </w:r>
                </w:p>
              </w:tc>
              <w:tc>
                <w:tcPr>
                  <w:tcW w:w="4330" w:type="dxa"/>
                  <w:noWrap w:val="0"/>
                  <w:vAlign w:val="center"/>
                </w:tcPr>
                <w:p>
                  <w:pPr>
                    <w:autoSpaceDE w:val="0"/>
                    <w:autoSpaceDN w:val="0"/>
                    <w:adjustRightInd w:val="0"/>
                    <w:snapToGrid w:val="0"/>
                    <w:spacing w:line="264" w:lineRule="auto"/>
                    <w:rPr>
                      <w:color w:val="auto"/>
                      <w:kern w:val="0"/>
                      <w:szCs w:val="21"/>
                    </w:rPr>
                  </w:pPr>
                  <w:r>
                    <w:rPr>
                      <w:color w:val="auto"/>
                      <w:kern w:val="0"/>
                      <w:szCs w:val="21"/>
                    </w:rPr>
                    <w:t>（二）限制类</w:t>
                  </w:r>
                </w:p>
                <w:p>
                  <w:pPr>
                    <w:autoSpaceDE w:val="0"/>
                    <w:autoSpaceDN w:val="0"/>
                    <w:adjustRightInd w:val="0"/>
                    <w:snapToGrid w:val="0"/>
                    <w:spacing w:line="264" w:lineRule="auto"/>
                    <w:rPr>
                      <w:color w:val="auto"/>
                      <w:kern w:val="0"/>
                      <w:szCs w:val="21"/>
                    </w:rPr>
                  </w:pPr>
                  <w:r>
                    <w:rPr>
                      <w:color w:val="auto"/>
                      <w:kern w:val="0"/>
                      <w:szCs w:val="21"/>
                    </w:rPr>
                    <w:t>1．制革（新建大中型项目）</w:t>
                  </w:r>
                </w:p>
                <w:p>
                  <w:pPr>
                    <w:autoSpaceDE w:val="0"/>
                    <w:autoSpaceDN w:val="0"/>
                    <w:adjustRightInd w:val="0"/>
                    <w:snapToGrid w:val="0"/>
                    <w:spacing w:line="264" w:lineRule="auto"/>
                    <w:rPr>
                      <w:color w:val="auto"/>
                      <w:kern w:val="0"/>
                      <w:szCs w:val="21"/>
                    </w:rPr>
                  </w:pPr>
                  <w:r>
                    <w:rPr>
                      <w:color w:val="auto"/>
                      <w:kern w:val="0"/>
                      <w:szCs w:val="21"/>
                    </w:rPr>
                    <w:t>2．化工（新建大中型项目）</w:t>
                  </w:r>
                </w:p>
                <w:p>
                  <w:pPr>
                    <w:autoSpaceDE w:val="0"/>
                    <w:autoSpaceDN w:val="0"/>
                    <w:adjustRightInd w:val="0"/>
                    <w:snapToGrid w:val="0"/>
                    <w:spacing w:line="264" w:lineRule="auto"/>
                    <w:rPr>
                      <w:color w:val="auto"/>
                      <w:kern w:val="0"/>
                      <w:szCs w:val="21"/>
                    </w:rPr>
                  </w:pPr>
                  <w:r>
                    <w:rPr>
                      <w:color w:val="auto"/>
                      <w:kern w:val="0"/>
                      <w:szCs w:val="21"/>
                    </w:rPr>
                    <w:t>3．印染（新建大中型项目）</w:t>
                  </w:r>
                </w:p>
                <w:p>
                  <w:pPr>
                    <w:autoSpaceDE w:val="0"/>
                    <w:autoSpaceDN w:val="0"/>
                    <w:adjustRightInd w:val="0"/>
                    <w:snapToGrid w:val="0"/>
                    <w:spacing w:line="264" w:lineRule="auto"/>
                    <w:rPr>
                      <w:color w:val="auto"/>
                      <w:kern w:val="0"/>
                      <w:szCs w:val="21"/>
                    </w:rPr>
                  </w:pPr>
                  <w:r>
                    <w:rPr>
                      <w:color w:val="auto"/>
                      <w:kern w:val="0"/>
                      <w:szCs w:val="21"/>
                    </w:rPr>
                    <w:t>4．酿造（新建大中型项目）</w:t>
                  </w:r>
                </w:p>
                <w:p>
                  <w:pPr>
                    <w:autoSpaceDE w:val="0"/>
                    <w:autoSpaceDN w:val="0"/>
                    <w:adjustRightInd w:val="0"/>
                    <w:snapToGrid w:val="0"/>
                    <w:spacing w:line="264" w:lineRule="auto"/>
                    <w:rPr>
                      <w:color w:val="auto"/>
                      <w:kern w:val="0"/>
                      <w:szCs w:val="21"/>
                    </w:rPr>
                  </w:pPr>
                  <w:r>
                    <w:rPr>
                      <w:color w:val="auto"/>
                      <w:kern w:val="0"/>
                      <w:szCs w:val="21"/>
                    </w:rPr>
                    <w:t>5．水泥（新建大中型项目）</w:t>
                  </w:r>
                </w:p>
                <w:p>
                  <w:pPr>
                    <w:autoSpaceDE w:val="0"/>
                    <w:autoSpaceDN w:val="0"/>
                    <w:adjustRightInd w:val="0"/>
                    <w:snapToGrid w:val="0"/>
                    <w:spacing w:line="264" w:lineRule="auto"/>
                    <w:rPr>
                      <w:color w:val="auto"/>
                      <w:kern w:val="0"/>
                      <w:szCs w:val="21"/>
                    </w:rPr>
                  </w:pPr>
                  <w:r>
                    <w:rPr>
                      <w:color w:val="auto"/>
                      <w:kern w:val="0"/>
                      <w:szCs w:val="21"/>
                    </w:rPr>
                    <w:t>6．石棉（新建大中型项目）</w:t>
                  </w:r>
                </w:p>
                <w:p>
                  <w:pPr>
                    <w:autoSpaceDE w:val="0"/>
                    <w:autoSpaceDN w:val="0"/>
                    <w:adjustRightInd w:val="0"/>
                    <w:snapToGrid w:val="0"/>
                    <w:spacing w:line="264" w:lineRule="auto"/>
                    <w:rPr>
                      <w:color w:val="auto"/>
                      <w:kern w:val="0"/>
                      <w:szCs w:val="21"/>
                    </w:rPr>
                  </w:pPr>
                  <w:r>
                    <w:rPr>
                      <w:color w:val="auto"/>
                      <w:kern w:val="0"/>
                      <w:szCs w:val="21"/>
                    </w:rPr>
                    <w:t>7．玻璃（新建大中型项目）</w:t>
                  </w:r>
                </w:p>
                <w:p>
                  <w:pPr>
                    <w:autoSpaceDE w:val="0"/>
                    <w:autoSpaceDN w:val="0"/>
                    <w:adjustRightInd w:val="0"/>
                    <w:snapToGrid w:val="0"/>
                    <w:spacing w:line="264" w:lineRule="auto"/>
                    <w:rPr>
                      <w:color w:val="auto"/>
                      <w:kern w:val="0"/>
                      <w:szCs w:val="21"/>
                    </w:rPr>
                  </w:pPr>
                  <w:r>
                    <w:rPr>
                      <w:color w:val="auto"/>
                      <w:kern w:val="0"/>
                      <w:szCs w:val="21"/>
                    </w:rPr>
                    <w:t>8．其他</w:t>
                  </w:r>
                </w:p>
                <w:p>
                  <w:pPr>
                    <w:autoSpaceDE w:val="0"/>
                    <w:autoSpaceDN w:val="0"/>
                    <w:adjustRightInd w:val="0"/>
                    <w:snapToGrid w:val="0"/>
                    <w:spacing w:line="264" w:lineRule="auto"/>
                    <w:rPr>
                      <w:color w:val="auto"/>
                      <w:kern w:val="0"/>
                      <w:szCs w:val="21"/>
                    </w:rPr>
                  </w:pPr>
                  <w:r>
                    <w:rPr>
                      <w:color w:val="auto"/>
                      <w:kern w:val="0"/>
                      <w:szCs w:val="21"/>
                    </w:rPr>
                    <w:t>新建含电镀工艺的金属表面处理及热处理加工产品大中型项目</w:t>
                  </w:r>
                </w:p>
              </w:tc>
              <w:tc>
                <w:tcPr>
                  <w:tcW w:w="2140" w:type="dxa"/>
                  <w:noWrap w:val="0"/>
                  <w:vAlign w:val="center"/>
                </w:tcPr>
                <w:p>
                  <w:pPr>
                    <w:autoSpaceDE w:val="0"/>
                    <w:autoSpaceDN w:val="0"/>
                    <w:adjustRightInd w:val="0"/>
                    <w:snapToGrid w:val="0"/>
                    <w:spacing w:line="264" w:lineRule="auto"/>
                    <w:rPr>
                      <w:color w:val="auto"/>
                      <w:kern w:val="0"/>
                      <w:szCs w:val="21"/>
                    </w:rPr>
                  </w:pPr>
                  <w:r>
                    <w:rPr>
                      <w:color w:val="auto"/>
                      <w:kern w:val="0"/>
                      <w:szCs w:val="21"/>
                    </w:rPr>
                    <w:t>本项目行业类别为</w:t>
                  </w:r>
                  <w:r>
                    <w:rPr>
                      <w:bCs/>
                      <w:color w:val="auto"/>
                      <w:szCs w:val="21"/>
                    </w:rPr>
                    <w:t>光伏设备及元器件制造</w:t>
                  </w:r>
                  <w:r>
                    <w:rPr>
                      <w:color w:val="auto"/>
                      <w:kern w:val="0"/>
                      <w:szCs w:val="21"/>
                    </w:rPr>
                    <w:t>，不</w:t>
                  </w:r>
                  <w:r>
                    <w:rPr>
                      <w:rFonts w:hint="eastAsia"/>
                      <w:color w:val="auto"/>
                      <w:kern w:val="0"/>
                      <w:szCs w:val="21"/>
                      <w:lang w:eastAsia="zh-CN"/>
                    </w:rPr>
                    <w:t>属于</w:t>
                  </w:r>
                  <w:r>
                    <w:rPr>
                      <w:color w:val="auto"/>
                      <w:kern w:val="0"/>
                      <w:szCs w:val="21"/>
                    </w:rPr>
                    <w:t>限</w:t>
                  </w:r>
                  <w:r>
                    <w:rPr>
                      <w:rFonts w:hint="eastAsia"/>
                      <w:color w:val="auto"/>
                      <w:kern w:val="0"/>
                      <w:szCs w:val="21"/>
                    </w:rPr>
                    <w:t>制</w:t>
                  </w:r>
                  <w:r>
                    <w:rPr>
                      <w:color w:val="auto"/>
                      <w:kern w:val="0"/>
                      <w:szCs w:val="21"/>
                    </w:rPr>
                    <w:t>类产业产品</w:t>
                  </w:r>
                </w:p>
              </w:tc>
              <w:tc>
                <w:tcPr>
                  <w:tcW w:w="736" w:type="dxa"/>
                  <w:noWrap w:val="0"/>
                  <w:vAlign w:val="center"/>
                </w:tcPr>
                <w:p>
                  <w:pPr>
                    <w:autoSpaceDE w:val="0"/>
                    <w:autoSpaceDN w:val="0"/>
                    <w:adjustRightInd w:val="0"/>
                    <w:snapToGrid w:val="0"/>
                    <w:spacing w:line="264" w:lineRule="auto"/>
                    <w:jc w:val="center"/>
                    <w:rPr>
                      <w:color w:val="auto"/>
                      <w:kern w:val="0"/>
                      <w:szCs w:val="21"/>
                    </w:rPr>
                  </w:pPr>
                  <w:r>
                    <w:rPr>
                      <w:color w:val="auto"/>
                      <w:kern w:val="0"/>
                      <w:szCs w:val="21"/>
                    </w:rPr>
                    <w:t>符合</w:t>
                  </w:r>
                </w:p>
              </w:tc>
            </w:tr>
          </w:tbl>
          <w:p>
            <w:pPr>
              <w:pStyle w:val="3"/>
              <w:rPr>
                <w:rFonts w:hint="eastAsia"/>
                <w:color w:val="auto"/>
              </w:rPr>
            </w:pPr>
          </w:p>
        </w:tc>
      </w:tr>
    </w:tbl>
    <w:p>
      <w:pPr>
        <w:spacing w:line="360" w:lineRule="auto"/>
        <w:outlineLvl w:val="0"/>
        <w:rPr>
          <w:rFonts w:eastAsia="黑体"/>
          <w:color w:val="auto"/>
          <w:sz w:val="30"/>
        </w:rPr>
        <w:sectPr>
          <w:footerReference r:id="rId6" w:type="default"/>
          <w:pgSz w:w="11906" w:h="16838"/>
          <w:pgMar w:top="1418" w:right="1418" w:bottom="1418" w:left="1418"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8"/>
        <w:numPr>
          <w:ilvl w:val="0"/>
          <w:numId w:val="3"/>
        </w:numPr>
        <w:jc w:val="center"/>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建设项目工程分析</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8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52" w:type="dxa"/>
            <w:noWrap w:val="0"/>
            <w:vAlign w:val="center"/>
          </w:tcPr>
          <w:p>
            <w:pPr>
              <w:adjustRightInd w:val="0"/>
              <w:snapToGrid w:val="0"/>
              <w:jc w:val="center"/>
              <w:rPr>
                <w:rFonts w:cs="宋体"/>
                <w:b/>
                <w:color w:val="auto"/>
                <w:szCs w:val="21"/>
              </w:rPr>
            </w:pPr>
            <w:r>
              <w:rPr>
                <w:rFonts w:hint="eastAsia" w:ascii="宋体" w:hAnsi="宋体" w:cs="宋体"/>
                <w:b/>
                <w:color w:val="auto"/>
                <w:szCs w:val="21"/>
              </w:rPr>
              <w:t>建设</w:t>
            </w:r>
            <w:r>
              <w:rPr>
                <w:rFonts w:hint="eastAsia" w:cs="宋体"/>
                <w:b/>
                <w:color w:val="auto"/>
                <w:szCs w:val="21"/>
              </w:rPr>
              <w:t>内容</w:t>
            </w:r>
          </w:p>
        </w:tc>
        <w:tc>
          <w:tcPr>
            <w:tcW w:w="8395" w:type="dxa"/>
            <w:noWrap w:val="0"/>
            <w:vAlign w:val="top"/>
          </w:tcPr>
          <w:p>
            <w:pPr>
              <w:spacing w:line="360" w:lineRule="auto"/>
              <w:ind w:firstLine="482" w:firstLineChars="200"/>
              <w:rPr>
                <w:rFonts w:hint="eastAsia"/>
                <w:b/>
                <w:bCs/>
                <w:color w:val="auto"/>
                <w:sz w:val="24"/>
              </w:rPr>
            </w:pPr>
            <w:r>
              <w:rPr>
                <w:rFonts w:hint="eastAsia"/>
                <w:b/>
                <w:bCs/>
                <w:color w:val="auto"/>
                <w:sz w:val="24"/>
              </w:rPr>
              <w:t>（一）项目概况</w:t>
            </w:r>
          </w:p>
          <w:p>
            <w:pPr>
              <w:spacing w:line="360" w:lineRule="auto"/>
              <w:ind w:firstLine="482" w:firstLineChars="200"/>
              <w:rPr>
                <w:rFonts w:hint="eastAsia"/>
                <w:b/>
                <w:bCs/>
                <w:color w:val="auto"/>
                <w:sz w:val="24"/>
              </w:rPr>
            </w:pPr>
            <w:r>
              <w:rPr>
                <w:rFonts w:hint="eastAsia"/>
                <w:b/>
                <w:bCs/>
                <w:color w:val="auto"/>
                <w:sz w:val="24"/>
              </w:rPr>
              <w:t>1、项目概况</w:t>
            </w:r>
          </w:p>
          <w:p>
            <w:pPr>
              <w:spacing w:line="360" w:lineRule="auto"/>
              <w:ind w:firstLine="480" w:firstLineChars="200"/>
              <w:contextualSpacing/>
              <w:rPr>
                <w:color w:val="auto"/>
                <w:sz w:val="24"/>
              </w:rPr>
            </w:pPr>
            <w:r>
              <w:rPr>
                <w:rFonts w:hint="eastAsia"/>
                <w:color w:val="auto"/>
                <w:sz w:val="24"/>
              </w:rPr>
              <w:t>合肥晶澳太阳能科技有限公司坐落于合肥市高新技术产业开发区999号，成立于2005年，是晶澳太阳能（JASOLAR）在国内投资的全资子公司之一，是高性能光伏产品制造商，产业链覆盖硅片、电池、组件及光伏电站。</w:t>
            </w:r>
          </w:p>
          <w:p>
            <w:pPr>
              <w:spacing w:line="360" w:lineRule="auto"/>
              <w:ind w:firstLine="480" w:firstLineChars="200"/>
              <w:contextualSpacing/>
              <w:rPr>
                <w:color w:val="auto"/>
                <w:sz w:val="24"/>
              </w:rPr>
            </w:pPr>
            <w:r>
              <w:rPr>
                <w:color w:val="auto"/>
                <w:sz w:val="24"/>
              </w:rPr>
              <w:t>合肥晶澳太阳能科技有限公司</w:t>
            </w:r>
            <w:r>
              <w:rPr>
                <w:rFonts w:hint="eastAsia"/>
                <w:color w:val="auto"/>
                <w:sz w:val="24"/>
              </w:rPr>
              <w:t>拟</w:t>
            </w:r>
            <w:r>
              <w:rPr>
                <w:color w:val="auto"/>
                <w:sz w:val="24"/>
              </w:rPr>
              <w:t>投资</w:t>
            </w:r>
            <w:r>
              <w:rPr>
                <w:rFonts w:hint="eastAsia"/>
                <w:color w:val="auto"/>
                <w:sz w:val="24"/>
                <w:lang w:val="en-US" w:eastAsia="zh-CN"/>
              </w:rPr>
              <w:t>50982.5</w:t>
            </w:r>
            <w:r>
              <w:rPr>
                <w:rFonts w:hint="eastAsia"/>
                <w:color w:val="auto"/>
                <w:sz w:val="24"/>
              </w:rPr>
              <w:t>万元，在合肥市高新技术产业开发区999号</w:t>
            </w:r>
            <w:r>
              <w:rPr>
                <w:color w:val="auto"/>
                <w:sz w:val="24"/>
              </w:rPr>
              <w:t>合肥晶澳太阳能科技有限公司</w:t>
            </w:r>
            <w:r>
              <w:rPr>
                <w:rFonts w:hint="eastAsia"/>
                <w:color w:val="auto"/>
                <w:sz w:val="24"/>
              </w:rPr>
              <w:t>现有厂区建设智慧工厂项目（</w:t>
            </w:r>
            <w:r>
              <w:rPr>
                <w:rFonts w:hint="eastAsia"/>
                <w:color w:val="auto"/>
                <w:sz w:val="24"/>
                <w:lang w:eastAsia="zh-CN"/>
              </w:rPr>
              <w:t>二</w:t>
            </w:r>
            <w:r>
              <w:rPr>
                <w:rFonts w:hint="eastAsia"/>
                <w:color w:val="auto"/>
                <w:sz w:val="24"/>
              </w:rPr>
              <w:t>期），</w:t>
            </w:r>
            <w:r>
              <w:rPr>
                <w:rFonts w:hint="eastAsia"/>
                <w:sz w:val="24"/>
                <w:szCs w:val="24"/>
                <w:lang w:val="en-US" w:eastAsia="zh-CN"/>
              </w:rPr>
              <w:t>项目在</w:t>
            </w:r>
            <w:r>
              <w:rPr>
                <w:rFonts w:hint="eastAsia"/>
                <w:color w:val="auto"/>
                <w:sz w:val="24"/>
                <w:lang w:eastAsia="zh-CN"/>
              </w:rPr>
              <w:t>在</w:t>
            </w:r>
            <w:r>
              <w:rPr>
                <w:rFonts w:hint="eastAsia"/>
                <w:color w:val="auto"/>
                <w:sz w:val="24"/>
              </w:rPr>
              <w:t>建智慧工厂</w:t>
            </w:r>
            <w:r>
              <w:rPr>
                <w:rFonts w:hint="eastAsia"/>
                <w:color w:val="auto"/>
                <w:sz w:val="24"/>
                <w:lang w:eastAsia="zh-CN"/>
              </w:rPr>
              <w:t>预留厂房内</w:t>
            </w:r>
            <w:r>
              <w:rPr>
                <w:color w:val="auto"/>
                <w:sz w:val="24"/>
              </w:rPr>
              <w:t>引入目前光伏组件生产设备行业内高性能</w:t>
            </w:r>
            <w:r>
              <w:rPr>
                <w:rFonts w:hint="eastAsia"/>
                <w:color w:val="auto"/>
                <w:sz w:val="24"/>
              </w:rPr>
              <w:t>、</w:t>
            </w:r>
            <w:r>
              <w:rPr>
                <w:color w:val="auto"/>
                <w:sz w:val="24"/>
              </w:rPr>
              <w:t>高效率</w:t>
            </w:r>
            <w:r>
              <w:rPr>
                <w:rFonts w:hint="eastAsia"/>
                <w:color w:val="auto"/>
                <w:sz w:val="24"/>
              </w:rPr>
              <w:t>、</w:t>
            </w:r>
            <w:r>
              <w:rPr>
                <w:color w:val="auto"/>
                <w:sz w:val="24"/>
              </w:rPr>
              <w:t>高自动化的焊接</w:t>
            </w:r>
            <w:r>
              <w:rPr>
                <w:rFonts w:hint="eastAsia"/>
                <w:color w:val="auto"/>
                <w:sz w:val="24"/>
              </w:rPr>
              <w:t>、</w:t>
            </w:r>
            <w:r>
              <w:rPr>
                <w:color w:val="auto"/>
                <w:sz w:val="24"/>
              </w:rPr>
              <w:t>层压及流水线设备</w:t>
            </w:r>
            <w:r>
              <w:rPr>
                <w:rFonts w:hint="eastAsia"/>
                <w:color w:val="auto"/>
                <w:sz w:val="24"/>
                <w:lang w:eastAsia="zh-CN"/>
              </w:rPr>
              <w:t>，依托在建</w:t>
            </w:r>
            <w:r>
              <w:rPr>
                <w:rFonts w:hint="eastAsia"/>
                <w:color w:val="auto"/>
                <w:sz w:val="24"/>
              </w:rPr>
              <w:t>动力站、智慧仓库、原料仓库、化学品仓库、危废仓库及污水处理站等</w:t>
            </w:r>
            <w:r>
              <w:rPr>
                <w:rFonts w:hint="eastAsia"/>
                <w:color w:val="auto"/>
                <w:sz w:val="24"/>
                <w:lang w:eastAsia="zh-CN"/>
              </w:rPr>
              <w:t>公用、环保及辅助设施，</w:t>
            </w:r>
            <w:r>
              <w:rPr>
                <w:color w:val="auto"/>
                <w:sz w:val="24"/>
              </w:rPr>
              <w:t>形成完整的高稳定性</w:t>
            </w:r>
            <w:r>
              <w:rPr>
                <w:rFonts w:hint="eastAsia"/>
                <w:color w:val="auto"/>
                <w:sz w:val="24"/>
              </w:rPr>
              <w:t>、</w:t>
            </w:r>
            <w:r>
              <w:rPr>
                <w:color w:val="auto"/>
                <w:sz w:val="24"/>
              </w:rPr>
              <w:t>高品质的光伏组件自动化生产体系，满足18</w:t>
            </w:r>
            <w:r>
              <w:rPr>
                <w:rFonts w:hint="eastAsia"/>
                <w:color w:val="auto"/>
                <w:sz w:val="24"/>
              </w:rPr>
              <w:t>X、</w:t>
            </w:r>
            <w:r>
              <w:rPr>
                <w:color w:val="auto"/>
                <w:sz w:val="24"/>
              </w:rPr>
              <w:t>兼容</w:t>
            </w:r>
            <w:r>
              <w:rPr>
                <w:rFonts w:hint="eastAsia"/>
                <w:color w:val="auto"/>
                <w:sz w:val="24"/>
              </w:rPr>
              <w:t>230尺寸组件的</w:t>
            </w:r>
            <w:r>
              <w:rPr>
                <w:color w:val="auto"/>
                <w:sz w:val="24"/>
              </w:rPr>
              <w:t>生产需求，</w:t>
            </w:r>
            <w:r>
              <w:rPr>
                <w:rFonts w:hint="eastAsia"/>
                <w:color w:val="auto"/>
                <w:sz w:val="24"/>
              </w:rPr>
              <w:t>项目建成后形成年产2500</w:t>
            </w:r>
            <w:r>
              <w:rPr>
                <w:color w:val="auto"/>
                <w:sz w:val="24"/>
              </w:rPr>
              <w:t>MW高性能光伏组件</w:t>
            </w:r>
            <w:r>
              <w:rPr>
                <w:rFonts w:hint="eastAsia"/>
                <w:color w:val="auto"/>
                <w:sz w:val="24"/>
              </w:rPr>
              <w:t>的生产能力</w:t>
            </w:r>
            <w:r>
              <w:rPr>
                <w:color w:val="auto"/>
                <w:sz w:val="24"/>
              </w:rPr>
              <w:t>，</w:t>
            </w:r>
            <w:r>
              <w:rPr>
                <w:rFonts w:hint="eastAsia"/>
                <w:color w:val="auto"/>
                <w:sz w:val="24"/>
              </w:rPr>
              <w:t>扩建后全厂</w:t>
            </w:r>
            <w:r>
              <w:rPr>
                <w:color w:val="auto"/>
                <w:sz w:val="24"/>
              </w:rPr>
              <w:t>总产能达到年产</w:t>
            </w:r>
            <w:r>
              <w:rPr>
                <w:rFonts w:hint="eastAsia"/>
                <w:color w:val="auto"/>
                <w:sz w:val="24"/>
                <w:lang w:val="en-US" w:eastAsia="zh-CN"/>
              </w:rPr>
              <w:t>13712</w:t>
            </w:r>
            <w:r>
              <w:rPr>
                <w:color w:val="auto"/>
                <w:sz w:val="24"/>
              </w:rPr>
              <w:t>MW高性能光伏组件。</w:t>
            </w:r>
          </w:p>
          <w:p>
            <w:pPr>
              <w:spacing w:line="360" w:lineRule="auto"/>
              <w:ind w:firstLine="482" w:firstLineChars="200"/>
              <w:rPr>
                <w:rFonts w:hint="eastAsia"/>
                <w:b/>
                <w:bCs/>
                <w:color w:val="auto"/>
                <w:sz w:val="24"/>
              </w:rPr>
            </w:pPr>
            <w:r>
              <w:rPr>
                <w:b/>
                <w:bCs/>
                <w:color w:val="auto"/>
                <w:sz w:val="24"/>
              </w:rPr>
              <w:t>2、项目</w:t>
            </w:r>
            <w:r>
              <w:rPr>
                <w:rFonts w:hint="eastAsia"/>
                <w:b/>
                <w:bCs/>
                <w:color w:val="auto"/>
                <w:sz w:val="24"/>
              </w:rPr>
              <w:t>环评及排污许可类别判定</w:t>
            </w:r>
          </w:p>
          <w:p>
            <w:pPr>
              <w:spacing w:line="360" w:lineRule="auto"/>
              <w:ind w:firstLine="482" w:firstLineChars="200"/>
              <w:contextualSpacing/>
              <w:rPr>
                <w:rFonts w:hint="eastAsia"/>
                <w:color w:val="auto"/>
                <w:sz w:val="24"/>
              </w:rPr>
            </w:pPr>
            <w:r>
              <w:rPr>
                <w:rFonts w:hint="eastAsia"/>
                <w:b/>
                <w:bCs/>
                <w:color w:val="auto"/>
                <w:sz w:val="24"/>
              </w:rPr>
              <w:t>项目环评管理类别判定：</w:t>
            </w:r>
            <w:bookmarkStart w:id="2" w:name="_Hlk102922969"/>
            <w:r>
              <w:rPr>
                <w:rFonts w:hint="eastAsia"/>
                <w:color w:val="auto"/>
                <w:sz w:val="24"/>
              </w:rPr>
              <w:t>本项目属于《国民经济行业分类》（2017年版）的“C3825光伏设备及元器件制造”</w:t>
            </w:r>
            <w:bookmarkEnd w:id="2"/>
            <w:r>
              <w:rPr>
                <w:rFonts w:hint="eastAsia"/>
                <w:color w:val="auto"/>
                <w:sz w:val="24"/>
              </w:rPr>
              <w:t>，根据《建设项目环境影响评价分类管理名录（2021年版）》，项目属于“三十五、电气机械和器材制造业-77输配电及控制设备制造382中“其他（仅分割，焊接，组装的除外，年用非溶剂型低VOCs含量涂料10吨以下的除外）”，故项目需编制环境影响报告表。</w:t>
            </w:r>
          </w:p>
          <w:p>
            <w:pPr>
              <w:spacing w:line="360" w:lineRule="auto"/>
              <w:ind w:firstLine="482" w:firstLineChars="200"/>
              <w:contextualSpacing/>
              <w:rPr>
                <w:rFonts w:hint="eastAsia"/>
                <w:color w:val="auto"/>
                <w:sz w:val="24"/>
              </w:rPr>
            </w:pPr>
            <w:r>
              <w:rPr>
                <w:rFonts w:hint="eastAsia"/>
                <w:b/>
                <w:bCs/>
                <w:color w:val="auto"/>
                <w:sz w:val="24"/>
              </w:rPr>
              <w:t>项目排污许可管理类别判定：</w:t>
            </w:r>
            <w:r>
              <w:rPr>
                <w:rFonts w:hint="eastAsia"/>
                <w:color w:val="auto"/>
                <w:sz w:val="24"/>
              </w:rPr>
              <w:t>本项目属于《国民经济行业分类》（2017年版）的“C3825光伏设备及元器件制造”，</w:t>
            </w:r>
            <w:bookmarkStart w:id="3" w:name="_Hlk102923018"/>
            <w:r>
              <w:rPr>
                <w:rFonts w:hint="eastAsia"/>
                <w:color w:val="auto"/>
                <w:sz w:val="24"/>
              </w:rPr>
              <w:t>企业纳入合肥市重点管理企业名录</w:t>
            </w:r>
            <w:bookmarkEnd w:id="3"/>
            <w:r>
              <w:rPr>
                <w:rFonts w:hint="eastAsia"/>
                <w:color w:val="auto"/>
                <w:sz w:val="24"/>
              </w:rPr>
              <w:t>。根据《固定污染源排污许可分类管理名录（2019年版）》，项目排污许可管理类别为“重点管理”。</w:t>
            </w:r>
          </w:p>
          <w:p>
            <w:pPr>
              <w:spacing w:line="360" w:lineRule="auto"/>
              <w:ind w:firstLine="482" w:firstLineChars="200"/>
              <w:contextualSpacing/>
              <w:rPr>
                <w:b/>
                <w:bCs/>
                <w:color w:val="auto"/>
                <w:sz w:val="24"/>
              </w:rPr>
            </w:pPr>
            <w:r>
              <w:rPr>
                <w:rFonts w:hint="eastAsia"/>
                <w:b/>
                <w:bCs/>
                <w:color w:val="auto"/>
                <w:sz w:val="24"/>
              </w:rPr>
              <w:t>（二）项目建设内容及生产规模</w:t>
            </w:r>
          </w:p>
          <w:p>
            <w:pPr>
              <w:spacing w:line="360" w:lineRule="auto"/>
              <w:ind w:firstLine="480" w:firstLineChars="200"/>
              <w:contextualSpacing/>
              <w:rPr>
                <w:color w:val="auto"/>
                <w:sz w:val="24"/>
              </w:rPr>
            </w:pPr>
            <w:r>
              <w:rPr>
                <w:color w:val="auto"/>
                <w:sz w:val="24"/>
              </w:rPr>
              <w:t>本项目</w:t>
            </w:r>
            <w:r>
              <w:rPr>
                <w:rFonts w:hint="eastAsia"/>
                <w:color w:val="auto"/>
                <w:sz w:val="24"/>
              </w:rPr>
              <w:t>主要</w:t>
            </w:r>
            <w:r>
              <w:rPr>
                <w:color w:val="auto"/>
                <w:sz w:val="24"/>
              </w:rPr>
              <w:t>工程内容及规模</w:t>
            </w:r>
            <w:r>
              <w:rPr>
                <w:rFonts w:hint="eastAsia"/>
                <w:color w:val="auto"/>
                <w:sz w:val="24"/>
              </w:rPr>
              <w:t>见下表</w:t>
            </w:r>
            <w:r>
              <w:rPr>
                <w:color w:val="auto"/>
                <w:sz w:val="24"/>
              </w:rPr>
              <w:t>。</w:t>
            </w:r>
          </w:p>
          <w:p>
            <w:pPr>
              <w:pStyle w:val="3"/>
              <w:rPr>
                <w:rFonts w:hint="eastAsia"/>
                <w:color w:val="auto"/>
              </w:rPr>
            </w:pPr>
          </w:p>
          <w:p>
            <w:pPr>
              <w:spacing w:line="360" w:lineRule="auto"/>
              <w:ind w:firstLine="420" w:firstLineChars="200"/>
              <w:rPr>
                <w:color w:val="auto"/>
              </w:rPr>
            </w:pPr>
          </w:p>
        </w:tc>
      </w:tr>
    </w:tbl>
    <w:p>
      <w:pPr>
        <w:pStyle w:val="18"/>
        <w:jc w:val="both"/>
        <w:outlineLvl w:val="0"/>
        <w:rPr>
          <w:rFonts w:hint="eastAsia" w:ascii="黑体" w:hAnsi="黑体" w:eastAsia="黑体"/>
          <w:snapToGrid w:val="0"/>
          <w:color w:val="auto"/>
          <w:sz w:val="30"/>
          <w:szCs w:val="30"/>
        </w:rPr>
        <w:sectPr>
          <w:footerReference r:id="rId7" w:type="default"/>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widowControl/>
        <w:numPr>
          <w:ilvl w:val="0"/>
          <w:numId w:val="2"/>
        </w:numPr>
        <w:jc w:val="center"/>
        <w:rPr>
          <w:b/>
          <w:color w:val="auto"/>
          <w:kern w:val="0"/>
          <w:szCs w:val="21"/>
        </w:rPr>
      </w:pPr>
      <w:r>
        <w:rPr>
          <w:b/>
          <w:color w:val="auto"/>
          <w:kern w:val="0"/>
          <w:szCs w:val="21"/>
        </w:rPr>
        <w:t xml:space="preserve"> </w:t>
      </w:r>
      <w:r>
        <w:rPr>
          <w:rFonts w:hint="eastAsia"/>
          <w:b/>
          <w:color w:val="auto"/>
          <w:kern w:val="0"/>
          <w:szCs w:val="21"/>
        </w:rPr>
        <w:t xml:space="preserve"> </w:t>
      </w:r>
      <w:r>
        <w:rPr>
          <w:b/>
          <w:color w:val="auto"/>
          <w:kern w:val="0"/>
          <w:szCs w:val="21"/>
        </w:rPr>
        <w:t>建设项目主要工程内容及规模一览表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8"/>
        <w:gridCol w:w="1302"/>
        <w:gridCol w:w="5154"/>
        <w:gridCol w:w="5154"/>
        <w:gridCol w:w="17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tcBorders>
              <w:top w:val="single" w:color="000000" w:sz="4" w:space="0"/>
              <w:left w:val="single" w:color="000000" w:sz="4" w:space="0"/>
              <w:bottom w:val="single" w:color="auto" w:sz="4" w:space="0"/>
              <w:right w:val="single" w:color="000000" w:sz="4" w:space="0"/>
            </w:tcBorders>
            <w:noWrap w:val="0"/>
            <w:vAlign w:val="center"/>
          </w:tcPr>
          <w:p>
            <w:pPr>
              <w:tabs>
                <w:tab w:val="left" w:pos="3255"/>
              </w:tabs>
              <w:adjustRightInd w:val="0"/>
              <w:spacing w:line="320" w:lineRule="exact"/>
              <w:ind w:left="-105" w:leftChars="-50" w:right="-105" w:rightChars="-50"/>
              <w:jc w:val="center"/>
              <w:rPr>
                <w:b/>
                <w:bCs/>
                <w:color w:val="auto"/>
                <w:szCs w:val="21"/>
              </w:rPr>
            </w:pPr>
            <w:r>
              <w:rPr>
                <w:b/>
                <w:bCs/>
                <w:color w:val="auto"/>
                <w:szCs w:val="21"/>
              </w:rPr>
              <w:t>工程</w:t>
            </w:r>
          </w:p>
          <w:p>
            <w:pPr>
              <w:tabs>
                <w:tab w:val="left" w:pos="3255"/>
              </w:tabs>
              <w:adjustRightInd w:val="0"/>
              <w:spacing w:line="320" w:lineRule="exact"/>
              <w:ind w:left="-105" w:leftChars="-50" w:right="-105" w:rightChars="-50"/>
              <w:jc w:val="center"/>
              <w:rPr>
                <w:b/>
                <w:bCs/>
                <w:color w:val="auto"/>
                <w:szCs w:val="21"/>
              </w:rPr>
            </w:pPr>
            <w:r>
              <w:rPr>
                <w:b/>
                <w:bCs/>
                <w:color w:val="auto"/>
                <w:szCs w:val="21"/>
              </w:rPr>
              <w:t>类别</w:t>
            </w:r>
          </w:p>
        </w:tc>
        <w:tc>
          <w:tcPr>
            <w:tcW w:w="1302" w:type="dxa"/>
            <w:tcBorders>
              <w:top w:val="single" w:color="000000" w:sz="4" w:space="0"/>
              <w:left w:val="single" w:color="000000" w:sz="4" w:space="0"/>
              <w:bottom w:val="single" w:color="000000"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b/>
                <w:bCs/>
                <w:color w:val="auto"/>
                <w:szCs w:val="21"/>
              </w:rPr>
              <w:t>单项工程</w:t>
            </w:r>
          </w:p>
          <w:p>
            <w:pPr>
              <w:tabs>
                <w:tab w:val="left" w:pos="3255"/>
              </w:tabs>
              <w:adjustRightInd w:val="0"/>
              <w:spacing w:line="320" w:lineRule="exact"/>
              <w:jc w:val="center"/>
              <w:rPr>
                <w:b/>
                <w:bCs/>
                <w:color w:val="auto"/>
                <w:szCs w:val="21"/>
              </w:rPr>
            </w:pPr>
            <w:r>
              <w:rPr>
                <w:b/>
                <w:bCs/>
                <w:color w:val="auto"/>
                <w:szCs w:val="21"/>
              </w:rPr>
              <w:t>名称</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center"/>
              <w:rPr>
                <w:b/>
                <w:bCs/>
                <w:color w:val="auto"/>
                <w:szCs w:val="21"/>
              </w:rPr>
            </w:pPr>
            <w:r>
              <w:rPr>
                <w:rFonts w:hint="eastAsia"/>
                <w:b/>
                <w:bCs/>
                <w:color w:val="auto"/>
                <w:szCs w:val="21"/>
              </w:rPr>
              <w:t>扩建前</w:t>
            </w:r>
            <w:r>
              <w:rPr>
                <w:b/>
                <w:bCs/>
                <w:color w:val="auto"/>
                <w:szCs w:val="21"/>
              </w:rPr>
              <w:t>项目主要工程内容及规模</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rFonts w:hint="eastAsia"/>
                <w:b/>
                <w:bCs/>
                <w:color w:val="auto"/>
                <w:szCs w:val="21"/>
              </w:rPr>
              <w:t>扩建</w:t>
            </w:r>
            <w:r>
              <w:rPr>
                <w:b/>
                <w:bCs/>
                <w:color w:val="auto"/>
                <w:szCs w:val="21"/>
              </w:rPr>
              <w:t>后项目主要工程内容及规模</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b/>
                <w:bCs/>
                <w:color w:val="auto"/>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818" w:type="dxa"/>
            <w:vMerge w:val="restart"/>
            <w:tcBorders>
              <w:top w:val="single" w:color="000000" w:sz="4" w:space="0"/>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r>
              <w:rPr>
                <w:color w:val="auto"/>
                <w:szCs w:val="21"/>
              </w:rPr>
              <w:t>主体</w:t>
            </w:r>
          </w:p>
          <w:p>
            <w:pPr>
              <w:tabs>
                <w:tab w:val="left" w:pos="3255"/>
              </w:tabs>
              <w:adjustRightInd w:val="0"/>
              <w:spacing w:line="320" w:lineRule="exact"/>
              <w:jc w:val="center"/>
              <w:rPr>
                <w:color w:val="auto"/>
                <w:szCs w:val="21"/>
              </w:rPr>
            </w:pPr>
            <w:r>
              <w:rPr>
                <w:color w:val="auto"/>
                <w:szCs w:val="21"/>
              </w:rPr>
              <w:t>工程</w:t>
            </w: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rFonts w:hint="eastAsia"/>
                <w:b/>
                <w:bCs/>
                <w:color w:val="auto"/>
                <w:szCs w:val="21"/>
              </w:rPr>
              <w:t>智慧工厂</w:t>
            </w:r>
            <w:r>
              <w:rPr>
                <w:b/>
                <w:bCs/>
                <w:color w:val="auto"/>
                <w:szCs w:val="21"/>
              </w:rPr>
              <w:t>（</w:t>
            </w:r>
            <w:r>
              <w:rPr>
                <w:rFonts w:hint="eastAsia"/>
                <w:b/>
                <w:bCs/>
                <w:color w:val="auto"/>
                <w:szCs w:val="21"/>
              </w:rPr>
              <w:t>201</w:t>
            </w:r>
            <w:r>
              <w:rPr>
                <w:b/>
                <w:bCs/>
                <w:color w:val="auto"/>
                <w:szCs w:val="21"/>
              </w:rPr>
              <w:t>）</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lang w:eastAsia="zh-CN"/>
              </w:rPr>
              <w:t>在</w:t>
            </w:r>
            <w:r>
              <w:rPr>
                <w:rFonts w:hint="eastAsia"/>
                <w:b/>
                <w:bCs/>
                <w:color w:val="auto"/>
                <w:szCs w:val="21"/>
              </w:rPr>
              <w:t>建</w:t>
            </w:r>
            <w:r>
              <w:rPr>
                <w:b/>
                <w:bCs/>
                <w:color w:val="auto"/>
                <w:szCs w:val="21"/>
              </w:rPr>
              <w:t>，位于厂区</w:t>
            </w:r>
            <w:r>
              <w:rPr>
                <w:rFonts w:hint="eastAsia"/>
                <w:b/>
                <w:bCs/>
                <w:color w:val="auto"/>
                <w:szCs w:val="21"/>
              </w:rPr>
              <w:t>西部</w:t>
            </w:r>
            <w:r>
              <w:rPr>
                <w:b/>
                <w:bCs/>
                <w:color w:val="auto"/>
                <w:szCs w:val="21"/>
              </w:rPr>
              <w:t>，</w:t>
            </w:r>
            <w:r>
              <w:rPr>
                <w:rFonts w:hint="eastAsia"/>
                <w:b/>
                <w:bCs/>
                <w:color w:val="auto"/>
                <w:szCs w:val="21"/>
              </w:rPr>
              <w:t>两层</w:t>
            </w:r>
            <w:r>
              <w:rPr>
                <w:b/>
                <w:bCs/>
                <w:color w:val="auto"/>
                <w:szCs w:val="21"/>
              </w:rPr>
              <w:t>厂房，南北走向，</w:t>
            </w:r>
            <w:r>
              <w:rPr>
                <w:rFonts w:hint="eastAsia"/>
                <w:b/>
                <w:bCs/>
                <w:color w:val="auto"/>
                <w:szCs w:val="21"/>
              </w:rPr>
              <w:t>厂房高度为19.10m，占地面积为70250</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建筑面积</w:t>
            </w:r>
            <w:r>
              <w:rPr>
                <w:rFonts w:hint="eastAsia"/>
                <w:b/>
                <w:bCs/>
                <w:color w:val="auto"/>
                <w:szCs w:val="21"/>
              </w:rPr>
              <w:t>为144912</w:t>
            </w:r>
            <w:r>
              <w:rPr>
                <w:b/>
                <w:bCs/>
                <w:color w:val="auto"/>
                <w:szCs w:val="21"/>
              </w:rPr>
              <w:t>m</w:t>
            </w:r>
            <w:r>
              <w:rPr>
                <w:b/>
                <w:bCs/>
                <w:color w:val="auto"/>
                <w:szCs w:val="21"/>
                <w:vertAlign w:val="superscript"/>
              </w:rPr>
              <w:t>2</w:t>
            </w:r>
            <w:r>
              <w:rPr>
                <w:rFonts w:hint="eastAsia"/>
                <w:b/>
                <w:bCs/>
                <w:color w:val="auto"/>
                <w:szCs w:val="21"/>
              </w:rPr>
              <w:t>。利用厂房西南部建筑面积约36228</w:t>
            </w:r>
            <w:r>
              <w:rPr>
                <w:b/>
                <w:bCs/>
                <w:color w:val="auto"/>
                <w:szCs w:val="21"/>
              </w:rPr>
              <w:t>m</w:t>
            </w:r>
            <w:r>
              <w:rPr>
                <w:b/>
                <w:bCs/>
                <w:color w:val="auto"/>
                <w:szCs w:val="21"/>
                <w:vertAlign w:val="superscript"/>
              </w:rPr>
              <w:t>2</w:t>
            </w:r>
            <w:r>
              <w:rPr>
                <w:rFonts w:hint="eastAsia"/>
                <w:b/>
                <w:bCs/>
                <w:color w:val="auto"/>
                <w:szCs w:val="21"/>
              </w:rPr>
              <w:t>区域（其余区域为后期项目预留），布置划焊一体机</w:t>
            </w:r>
            <w:r>
              <w:rPr>
                <w:b/>
                <w:bCs/>
                <w:color w:val="auto"/>
                <w:szCs w:val="21"/>
              </w:rPr>
              <w:t>、</w:t>
            </w:r>
            <w:r>
              <w:rPr>
                <w:rFonts w:hint="eastAsia"/>
                <w:b/>
                <w:bCs/>
                <w:color w:val="auto"/>
                <w:szCs w:val="21"/>
              </w:rPr>
              <w:t>层压机</w:t>
            </w:r>
            <w:r>
              <w:rPr>
                <w:b/>
                <w:bCs/>
                <w:color w:val="auto"/>
                <w:szCs w:val="21"/>
              </w:rPr>
              <w:t>、</w:t>
            </w:r>
            <w:r>
              <w:rPr>
                <w:rFonts w:hint="eastAsia"/>
                <w:b/>
                <w:bCs/>
                <w:color w:val="auto"/>
                <w:szCs w:val="21"/>
              </w:rPr>
              <w:t>排版机、汇流条焊接机、</w:t>
            </w:r>
            <w:r>
              <w:rPr>
                <w:b/>
                <w:bCs/>
                <w:color w:val="auto"/>
                <w:szCs w:val="21"/>
              </w:rPr>
              <w:t>裁切机、</w:t>
            </w:r>
            <w:r>
              <w:rPr>
                <w:rFonts w:hint="eastAsia"/>
                <w:b/>
                <w:bCs/>
                <w:color w:val="auto"/>
                <w:szCs w:val="21"/>
              </w:rPr>
              <w:t>自动传输线</w:t>
            </w:r>
            <w:r>
              <w:rPr>
                <w:b/>
                <w:bCs/>
                <w:color w:val="auto"/>
                <w:szCs w:val="21"/>
              </w:rPr>
              <w:t>等</w:t>
            </w:r>
            <w:r>
              <w:rPr>
                <w:rFonts w:hint="eastAsia"/>
                <w:b/>
                <w:bCs/>
                <w:color w:val="auto"/>
                <w:szCs w:val="21"/>
              </w:rPr>
              <w:t>生产设备</w:t>
            </w:r>
            <w:r>
              <w:rPr>
                <w:b/>
                <w:bCs/>
                <w:color w:val="auto"/>
                <w:szCs w:val="21"/>
              </w:rPr>
              <w:t>，形成年产</w:t>
            </w:r>
            <w:r>
              <w:rPr>
                <w:rFonts w:hint="eastAsia"/>
                <w:b/>
                <w:bCs/>
                <w:color w:val="auto"/>
                <w:szCs w:val="21"/>
              </w:rPr>
              <w:t>2500</w:t>
            </w:r>
            <w:r>
              <w:rPr>
                <w:b/>
                <w:bCs/>
                <w:color w:val="auto"/>
                <w:szCs w:val="21"/>
              </w:rPr>
              <w:t>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rPr>
                <w:rFonts w:hint="default" w:eastAsia="宋体"/>
                <w:b/>
                <w:bCs/>
                <w:color w:val="auto"/>
                <w:szCs w:val="21"/>
                <w:vertAlign w:val="baseline"/>
                <w:lang w:val="en-US" w:eastAsia="zh-CN"/>
              </w:rPr>
            </w:pPr>
            <w:r>
              <w:rPr>
                <w:rFonts w:hint="eastAsia"/>
                <w:b/>
                <w:bCs/>
                <w:color w:val="auto"/>
                <w:szCs w:val="21"/>
                <w:lang w:val="en-US" w:eastAsia="zh-CN"/>
              </w:rPr>
              <w:t>在建</w:t>
            </w:r>
            <w:r>
              <w:rPr>
                <w:rFonts w:hint="eastAsia"/>
                <w:b/>
                <w:bCs/>
                <w:color w:val="auto"/>
                <w:szCs w:val="21"/>
                <w:lang w:eastAsia="zh-CN"/>
              </w:rPr>
              <w:t>，</w:t>
            </w:r>
            <w:r>
              <w:rPr>
                <w:b/>
                <w:bCs/>
                <w:color w:val="auto"/>
                <w:szCs w:val="21"/>
              </w:rPr>
              <w:t>位于厂区</w:t>
            </w:r>
            <w:r>
              <w:rPr>
                <w:rFonts w:hint="eastAsia"/>
                <w:b/>
                <w:bCs/>
                <w:color w:val="auto"/>
                <w:szCs w:val="21"/>
              </w:rPr>
              <w:t>西部</w:t>
            </w:r>
            <w:r>
              <w:rPr>
                <w:b/>
                <w:bCs/>
                <w:color w:val="auto"/>
                <w:szCs w:val="21"/>
              </w:rPr>
              <w:t>，</w:t>
            </w:r>
            <w:r>
              <w:rPr>
                <w:rFonts w:hint="eastAsia"/>
                <w:b/>
                <w:bCs/>
                <w:color w:val="auto"/>
                <w:szCs w:val="21"/>
              </w:rPr>
              <w:t>两层</w:t>
            </w:r>
            <w:r>
              <w:rPr>
                <w:b/>
                <w:bCs/>
                <w:color w:val="auto"/>
                <w:szCs w:val="21"/>
              </w:rPr>
              <w:t>厂房，南北走向，</w:t>
            </w:r>
            <w:r>
              <w:rPr>
                <w:rFonts w:hint="eastAsia"/>
                <w:b/>
                <w:bCs/>
                <w:color w:val="auto"/>
                <w:szCs w:val="21"/>
              </w:rPr>
              <w:t>厂房高度为19.10m，占地面积为70250</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建筑面积</w:t>
            </w:r>
            <w:r>
              <w:rPr>
                <w:rFonts w:hint="eastAsia"/>
                <w:b/>
                <w:bCs/>
                <w:color w:val="auto"/>
                <w:szCs w:val="21"/>
              </w:rPr>
              <w:t>为144912</w:t>
            </w:r>
            <w:r>
              <w:rPr>
                <w:b/>
                <w:bCs/>
                <w:color w:val="auto"/>
                <w:szCs w:val="21"/>
              </w:rPr>
              <w:t>m</w:t>
            </w:r>
            <w:r>
              <w:rPr>
                <w:b/>
                <w:bCs/>
                <w:color w:val="auto"/>
                <w:szCs w:val="21"/>
                <w:vertAlign w:val="superscript"/>
              </w:rPr>
              <w:t>2</w:t>
            </w:r>
            <w:r>
              <w:rPr>
                <w:rFonts w:hint="eastAsia"/>
                <w:b/>
                <w:bCs/>
                <w:color w:val="auto"/>
                <w:szCs w:val="21"/>
              </w:rPr>
              <w:t>。</w:t>
            </w:r>
            <w:r>
              <w:rPr>
                <w:rFonts w:hint="eastAsia"/>
                <w:b/>
                <w:bCs/>
                <w:color w:val="auto"/>
                <w:szCs w:val="21"/>
                <w:lang w:eastAsia="zh-CN"/>
              </w:rPr>
              <w:t>本次利用厂房东南部建筑面积约</w:t>
            </w:r>
            <w:r>
              <w:rPr>
                <w:rFonts w:hint="eastAsia"/>
                <w:b/>
                <w:bCs/>
                <w:color w:val="auto"/>
                <w:szCs w:val="21"/>
                <w:lang w:val="en-US" w:eastAsia="zh-CN"/>
              </w:rPr>
              <w:t>36228m</w:t>
            </w:r>
            <w:r>
              <w:rPr>
                <w:rFonts w:hint="eastAsia"/>
                <w:b/>
                <w:bCs/>
                <w:color w:val="auto"/>
                <w:szCs w:val="21"/>
                <w:vertAlign w:val="superscript"/>
                <w:lang w:val="en-US" w:eastAsia="zh-CN"/>
              </w:rPr>
              <w:t>2</w:t>
            </w:r>
            <w:r>
              <w:rPr>
                <w:rFonts w:hint="eastAsia"/>
                <w:b/>
                <w:bCs/>
                <w:color w:val="auto"/>
                <w:szCs w:val="21"/>
                <w:vertAlign w:val="baseline"/>
                <w:lang w:val="en-US" w:eastAsia="zh-CN"/>
              </w:rPr>
              <w:t>区域（其余区域为后期项目预留），新增一条高效太阳能组件生产线，布置</w:t>
            </w:r>
            <w:r>
              <w:rPr>
                <w:rFonts w:hint="eastAsia"/>
                <w:b/>
                <w:bCs/>
                <w:color w:val="auto"/>
                <w:szCs w:val="21"/>
              </w:rPr>
              <w:t>划焊一体机</w:t>
            </w:r>
            <w:r>
              <w:rPr>
                <w:b/>
                <w:bCs/>
                <w:color w:val="auto"/>
                <w:szCs w:val="21"/>
              </w:rPr>
              <w:t>、</w:t>
            </w:r>
            <w:r>
              <w:rPr>
                <w:rFonts w:hint="eastAsia"/>
                <w:b/>
                <w:bCs/>
                <w:color w:val="auto"/>
                <w:szCs w:val="21"/>
              </w:rPr>
              <w:t>层压机</w:t>
            </w:r>
            <w:r>
              <w:rPr>
                <w:b/>
                <w:bCs/>
                <w:color w:val="auto"/>
                <w:szCs w:val="21"/>
              </w:rPr>
              <w:t>、</w:t>
            </w:r>
            <w:r>
              <w:rPr>
                <w:rFonts w:hint="eastAsia"/>
                <w:b/>
                <w:bCs/>
                <w:color w:val="auto"/>
                <w:szCs w:val="21"/>
              </w:rPr>
              <w:t>排版机、汇流条焊接机、</w:t>
            </w:r>
            <w:r>
              <w:rPr>
                <w:b/>
                <w:bCs/>
                <w:color w:val="auto"/>
                <w:szCs w:val="21"/>
              </w:rPr>
              <w:t>裁切机、</w:t>
            </w:r>
            <w:r>
              <w:rPr>
                <w:rFonts w:hint="eastAsia"/>
                <w:b/>
                <w:bCs/>
                <w:color w:val="auto"/>
                <w:szCs w:val="21"/>
              </w:rPr>
              <w:t>自动传输线</w:t>
            </w:r>
            <w:r>
              <w:rPr>
                <w:b/>
                <w:bCs/>
                <w:color w:val="auto"/>
                <w:szCs w:val="21"/>
              </w:rPr>
              <w:t>等</w:t>
            </w:r>
            <w:r>
              <w:rPr>
                <w:rFonts w:hint="eastAsia"/>
                <w:b/>
                <w:bCs/>
                <w:color w:val="auto"/>
                <w:szCs w:val="21"/>
              </w:rPr>
              <w:t>生产设备</w:t>
            </w:r>
            <w:r>
              <w:rPr>
                <w:b/>
                <w:bCs/>
                <w:color w:val="auto"/>
                <w:szCs w:val="21"/>
              </w:rPr>
              <w:t>，</w:t>
            </w:r>
            <w:r>
              <w:rPr>
                <w:rFonts w:hint="eastAsia"/>
                <w:b/>
                <w:bCs/>
                <w:color w:val="auto"/>
                <w:szCs w:val="21"/>
                <w:lang w:eastAsia="zh-CN"/>
              </w:rPr>
              <w:t>新增</w:t>
            </w:r>
            <w:r>
              <w:rPr>
                <w:b/>
                <w:bCs/>
                <w:color w:val="auto"/>
                <w:szCs w:val="21"/>
              </w:rPr>
              <w:t>年产</w:t>
            </w:r>
            <w:r>
              <w:rPr>
                <w:rFonts w:hint="eastAsia"/>
                <w:b/>
                <w:bCs/>
                <w:color w:val="auto"/>
                <w:szCs w:val="21"/>
                <w:lang w:val="en-US" w:eastAsia="zh-CN"/>
              </w:rPr>
              <w:t>2500</w:t>
            </w:r>
            <w:r>
              <w:rPr>
                <w:b/>
                <w:bCs/>
                <w:color w:val="auto"/>
                <w:szCs w:val="21"/>
              </w:rPr>
              <w:t>MW高效太阳能组件的生产规模</w:t>
            </w:r>
          </w:p>
        </w:tc>
        <w:tc>
          <w:tcPr>
            <w:tcW w:w="1779"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eastAsia="宋体"/>
                <w:b/>
                <w:bCs/>
                <w:color w:val="auto"/>
                <w:szCs w:val="21"/>
                <w:lang w:val="en-US" w:eastAsia="zh-CN"/>
              </w:rPr>
            </w:pPr>
            <w:r>
              <w:rPr>
                <w:rFonts w:hint="eastAsia"/>
                <w:b/>
                <w:bCs/>
                <w:color w:val="auto"/>
                <w:szCs w:val="21"/>
                <w:lang w:val="en-US" w:eastAsia="zh-CN"/>
              </w:rPr>
              <w:t>依托现有厂房，新增本项目</w:t>
            </w:r>
            <w:r>
              <w:rPr>
                <w:rFonts w:hint="eastAsia"/>
                <w:b/>
                <w:bCs/>
                <w:color w:val="auto"/>
                <w:szCs w:val="21"/>
                <w:lang w:eastAsia="zh-CN"/>
              </w:rPr>
              <w:t>，</w:t>
            </w:r>
            <w:r>
              <w:rPr>
                <w:rFonts w:hint="eastAsia"/>
                <w:b/>
                <w:bCs/>
                <w:color w:val="auto"/>
                <w:szCs w:val="21"/>
                <w:lang w:val="en-US" w:eastAsia="zh-CN"/>
              </w:rPr>
              <w:t>扩建后</w:t>
            </w:r>
            <w:r>
              <w:rPr>
                <w:rFonts w:hint="eastAsia"/>
                <w:b/>
                <w:bCs/>
                <w:color w:val="auto"/>
                <w:szCs w:val="21"/>
                <w:lang w:eastAsia="zh-CN"/>
              </w:rPr>
              <w:t>年产</w:t>
            </w:r>
            <w:r>
              <w:rPr>
                <w:rFonts w:hint="eastAsia"/>
                <w:b/>
                <w:bCs/>
                <w:color w:val="auto"/>
                <w:szCs w:val="21"/>
                <w:lang w:val="en-US" w:eastAsia="zh-CN"/>
              </w:rPr>
              <w:t>5000</w:t>
            </w:r>
            <w:r>
              <w:rPr>
                <w:b/>
                <w:bCs/>
                <w:color w:val="auto"/>
                <w:szCs w:val="21"/>
              </w:rPr>
              <w:t>MW高效太阳能组件的生产规模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太阳能组件厂房一（114）</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已建，位于厂区南部，矩形单层厂房（局部两层），南北走向，建筑面积约</w:t>
            </w:r>
            <w:r>
              <w:rPr>
                <w:rFonts w:hint="eastAsia"/>
                <w:color w:val="auto"/>
                <w:szCs w:val="21"/>
              </w:rPr>
              <w:t>16140</w:t>
            </w:r>
            <w:r>
              <w:rPr>
                <w:color w:val="auto"/>
                <w:szCs w:val="21"/>
              </w:rPr>
              <w:t>m</w:t>
            </w:r>
            <w:r>
              <w:rPr>
                <w:color w:val="auto"/>
                <w:szCs w:val="21"/>
                <w:vertAlign w:val="superscript"/>
              </w:rPr>
              <w:t>2</w:t>
            </w:r>
            <w:r>
              <w:rPr>
                <w:color w:val="auto"/>
                <w:szCs w:val="21"/>
              </w:rPr>
              <w:t>，主要设备为串焊机、双腔层压机、EVA自动裁切铺设机、模板自动铺设机等，形成年产</w:t>
            </w:r>
            <w:r>
              <w:rPr>
                <w:rFonts w:hint="eastAsia"/>
                <w:color w:val="auto"/>
                <w:szCs w:val="21"/>
              </w:rPr>
              <w:t>2</w:t>
            </w:r>
            <w:r>
              <w:rPr>
                <w:color w:val="auto"/>
                <w:szCs w:val="21"/>
              </w:rPr>
              <w:t>000MW高效太阳能组件的生产规模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已建，位于厂区南部，矩形单层厂房（局部两层），南北走向，建筑面积约</w:t>
            </w:r>
            <w:r>
              <w:rPr>
                <w:rFonts w:hint="eastAsia"/>
                <w:color w:val="auto"/>
                <w:szCs w:val="21"/>
              </w:rPr>
              <w:t>16140</w:t>
            </w:r>
            <w:r>
              <w:rPr>
                <w:color w:val="auto"/>
                <w:szCs w:val="21"/>
              </w:rPr>
              <w:t>m</w:t>
            </w:r>
            <w:r>
              <w:rPr>
                <w:color w:val="auto"/>
                <w:szCs w:val="21"/>
                <w:vertAlign w:val="superscript"/>
              </w:rPr>
              <w:t>2</w:t>
            </w:r>
            <w:r>
              <w:rPr>
                <w:color w:val="auto"/>
                <w:szCs w:val="21"/>
              </w:rPr>
              <w:t>，主要设备为串焊机、双腔层压机、EVA自动裁切铺设机、模板自动铺设机等，形成年产</w:t>
            </w:r>
            <w:r>
              <w:rPr>
                <w:rFonts w:hint="eastAsia"/>
                <w:color w:val="auto"/>
                <w:szCs w:val="21"/>
              </w:rPr>
              <w:t>2</w:t>
            </w:r>
            <w:r>
              <w:rPr>
                <w:color w:val="auto"/>
                <w:szCs w:val="21"/>
              </w:rPr>
              <w:t>000MW高效太阳能组件的生产规模</w:t>
            </w:r>
          </w:p>
        </w:tc>
        <w:tc>
          <w:tcPr>
            <w:tcW w:w="1779"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default" w:eastAsia="宋体"/>
                <w:color w:val="auto"/>
                <w:szCs w:val="21"/>
                <w:lang w:val="en-US" w:eastAsia="zh-CN"/>
              </w:rPr>
            </w:pPr>
            <w:r>
              <w:rPr>
                <w:rFonts w:hint="eastAsia"/>
                <w:color w:val="auto"/>
                <w:szCs w:val="21"/>
              </w:rPr>
              <w:t>本次扩建不变</w:t>
            </w:r>
            <w:r>
              <w:rPr>
                <w:rFonts w:hint="eastAsia"/>
                <w:lang w:eastAsia="zh-CN"/>
              </w:rPr>
              <w:t>，</w:t>
            </w:r>
            <w:r>
              <w:rPr>
                <w:rFonts w:hint="eastAsia"/>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8"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color w:val="auto"/>
                <w:szCs w:val="21"/>
              </w:rPr>
            </w:pPr>
            <w:r>
              <w:rPr>
                <w:color w:val="auto"/>
                <w:szCs w:val="21"/>
              </w:rPr>
              <w:t>太阳能组件厂房二（116）</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已建，位于厂区西南部，矩形单层厂房（局部两层），南北走向，占地面积约20000m</w:t>
            </w:r>
            <w:r>
              <w:rPr>
                <w:color w:val="auto"/>
                <w:szCs w:val="21"/>
                <w:vertAlign w:val="superscript"/>
              </w:rPr>
              <w:t>2</w:t>
            </w:r>
            <w:r>
              <w:rPr>
                <w:color w:val="auto"/>
                <w:szCs w:val="21"/>
              </w:rPr>
              <w:t>，主要设备为串焊机、双腔层压机、EVA自动裁切铺设机、模板自动铺设机等，形成年产1000MW高效太阳能组件的生产规模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已建，位于厂区西南部，矩形单层厂房（局部两层），南北走向，建筑面积约20000m</w:t>
            </w:r>
            <w:r>
              <w:rPr>
                <w:color w:val="auto"/>
                <w:szCs w:val="21"/>
                <w:vertAlign w:val="superscript"/>
              </w:rPr>
              <w:t>2</w:t>
            </w:r>
            <w:r>
              <w:rPr>
                <w:color w:val="auto"/>
                <w:szCs w:val="21"/>
              </w:rPr>
              <w:t>，主要设备为串焊机、双腔层压机、EVA自动裁切铺设机、模板自动铺设机等，形成年产</w:t>
            </w:r>
            <w:r>
              <w:rPr>
                <w:rFonts w:hint="eastAsia"/>
                <w:color w:val="auto"/>
                <w:szCs w:val="21"/>
              </w:rPr>
              <w:t>25</w:t>
            </w:r>
            <w:r>
              <w:rPr>
                <w:color w:val="auto"/>
                <w:szCs w:val="21"/>
              </w:rPr>
              <w:t>00MW高效太阳能组件的生产规模</w:t>
            </w:r>
          </w:p>
        </w:tc>
        <w:tc>
          <w:tcPr>
            <w:tcW w:w="1779" w:type="dxa"/>
            <w:tcBorders>
              <w:left w:val="single" w:color="auto" w:sz="4" w:space="0"/>
              <w:right w:val="single" w:color="000000" w:sz="4" w:space="0"/>
            </w:tcBorders>
            <w:noWrap w:val="0"/>
            <w:vAlign w:val="center"/>
          </w:tcPr>
          <w:p>
            <w:pPr>
              <w:tabs>
                <w:tab w:val="left" w:pos="3255"/>
              </w:tabs>
              <w:adjustRightInd w:val="0"/>
              <w:spacing w:line="320" w:lineRule="exact"/>
              <w:jc w:val="center"/>
              <w:rPr>
                <w:rFonts w:hint="default" w:eastAsia="宋体"/>
                <w:color w:val="auto"/>
                <w:szCs w:val="21"/>
                <w:lang w:val="en-US" w:eastAsia="zh-CN"/>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太阳能组件厂房三（104）</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已建，位于厂区东南部，矩形单层厂房（局部两层），南北走向，占地面积约15400m</w:t>
            </w:r>
            <w:r>
              <w:rPr>
                <w:color w:val="auto"/>
                <w:szCs w:val="21"/>
                <w:vertAlign w:val="superscript"/>
              </w:rPr>
              <w:t>2</w:t>
            </w:r>
            <w:r>
              <w:rPr>
                <w:color w:val="auto"/>
                <w:szCs w:val="21"/>
              </w:rPr>
              <w:t>，主要设备为串焊机、双腔层压机、EVA 自动裁切铺设机、模板自动铺设机等，形成年产1212MW高效太阳能组件的生产规模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已建，位于厂区东南部，矩形单层厂房，南北走向，建筑面积约15400m</w:t>
            </w:r>
            <w:r>
              <w:rPr>
                <w:color w:val="auto"/>
                <w:szCs w:val="21"/>
                <w:vertAlign w:val="superscript"/>
              </w:rPr>
              <w:t>2</w:t>
            </w:r>
            <w:r>
              <w:rPr>
                <w:color w:val="auto"/>
                <w:szCs w:val="21"/>
              </w:rPr>
              <w:t>，主要设备为串焊机、双腔层压机、EVA 自动裁切铺设机、模板自动铺设机等，形成年产1212MW高效太阳能组件的生产规模</w:t>
            </w:r>
          </w:p>
        </w:tc>
        <w:tc>
          <w:tcPr>
            <w:tcW w:w="1779" w:type="dxa"/>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44"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太阳能组件厂房四（110）</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已建，位于厂区北部，矩形单层厂房（局部两层），南北走向，占地面积约18860m</w:t>
            </w:r>
            <w:r>
              <w:rPr>
                <w:color w:val="auto"/>
                <w:szCs w:val="21"/>
                <w:vertAlign w:val="superscript"/>
              </w:rPr>
              <w:t>2</w:t>
            </w:r>
            <w:r>
              <w:rPr>
                <w:color w:val="auto"/>
                <w:szCs w:val="21"/>
              </w:rPr>
              <w:t>，主要设备为串焊机、双腔层压机、EVA自动裁切铺设机、模板自动铺设机等，形成年产1500MW高效太阳能组件的生产规模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left"/>
              <w:rPr>
                <w:color w:val="auto"/>
                <w:szCs w:val="21"/>
              </w:rPr>
            </w:pPr>
            <w:r>
              <w:rPr>
                <w:color w:val="auto"/>
                <w:szCs w:val="21"/>
              </w:rPr>
              <w:t>已建，位于厂区北部，矩形单层厂房，南北走向，建筑面积约18860m</w:t>
            </w:r>
            <w:r>
              <w:rPr>
                <w:color w:val="auto"/>
                <w:szCs w:val="21"/>
                <w:vertAlign w:val="superscript"/>
              </w:rPr>
              <w:t>2</w:t>
            </w:r>
            <w:r>
              <w:rPr>
                <w:color w:val="auto"/>
                <w:szCs w:val="21"/>
              </w:rPr>
              <w:t>，主要设备为串焊机、双腔层压机、EVA自动裁切铺设机、模板自动铺设机等，形成年产1500MW高效太阳能组件的生产规模</w:t>
            </w:r>
          </w:p>
        </w:tc>
        <w:tc>
          <w:tcPr>
            <w:tcW w:w="1779" w:type="dxa"/>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太阳能组件厂房五（106）</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rPr>
                <w:color w:val="auto"/>
                <w:szCs w:val="21"/>
              </w:rPr>
            </w:pPr>
            <w:r>
              <w:rPr>
                <w:color w:val="auto"/>
                <w:szCs w:val="21"/>
              </w:rPr>
              <w:t>已建，位于厂区东北部，矩形单层厂房，东西走向，建筑面积为19200m</w:t>
            </w:r>
            <w:r>
              <w:rPr>
                <w:color w:val="auto"/>
                <w:szCs w:val="21"/>
                <w:vertAlign w:val="superscript"/>
              </w:rPr>
              <w:t>2</w:t>
            </w:r>
            <w:r>
              <w:rPr>
                <w:color w:val="auto"/>
                <w:szCs w:val="21"/>
              </w:rPr>
              <w:t>。主要设备为MBB划焊一体机、排版机、层压机、EL测试仪、自动封边机等，形成年产能1500MW高效太阳能组件的生产规模</w:t>
            </w:r>
          </w:p>
        </w:tc>
        <w:tc>
          <w:tcPr>
            <w:tcW w:w="5154"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rPr>
                <w:color w:val="auto"/>
                <w:szCs w:val="21"/>
              </w:rPr>
            </w:pPr>
            <w:r>
              <w:rPr>
                <w:color w:val="auto"/>
                <w:szCs w:val="21"/>
              </w:rPr>
              <w:t>已建，位于厂区东北部，矩形单层厂房，东西走向，建筑面积为19200m</w:t>
            </w:r>
            <w:r>
              <w:rPr>
                <w:color w:val="auto"/>
                <w:szCs w:val="21"/>
                <w:vertAlign w:val="superscript"/>
              </w:rPr>
              <w:t>2</w:t>
            </w:r>
            <w:r>
              <w:rPr>
                <w:color w:val="auto"/>
                <w:szCs w:val="21"/>
              </w:rPr>
              <w:t>。主要设备为MBB划焊一体机、排版机、层压机、EL测试仪、自动封边机等，形成年产能1500MW高效太阳能组件的生产规模</w:t>
            </w:r>
          </w:p>
        </w:tc>
        <w:tc>
          <w:tcPr>
            <w:tcW w:w="1779" w:type="dxa"/>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restart"/>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r>
              <w:rPr>
                <w:color w:val="auto"/>
                <w:szCs w:val="21"/>
              </w:rPr>
              <w:t>辅助工程</w:t>
            </w: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rFonts w:hint="eastAsia"/>
                <w:color w:val="auto"/>
                <w:szCs w:val="21"/>
                <w:lang w:eastAsia="zh-CN"/>
              </w:rPr>
              <w:t>办公</w:t>
            </w:r>
            <w:r>
              <w:rPr>
                <w:color w:val="auto"/>
                <w:szCs w:val="21"/>
              </w:rPr>
              <w:t>楼</w:t>
            </w:r>
          </w:p>
        </w:tc>
        <w:tc>
          <w:tcPr>
            <w:tcW w:w="5154" w:type="dxa"/>
            <w:tcBorders>
              <w:top w:val="single" w:color="auto" w:sz="4" w:space="0"/>
              <w:left w:val="single" w:color="000000" w:sz="4" w:space="0"/>
              <w:right w:val="single" w:color="auto" w:sz="4" w:space="0"/>
            </w:tcBorders>
            <w:noWrap w:val="0"/>
            <w:vAlign w:val="center"/>
          </w:tcPr>
          <w:p>
            <w:pPr>
              <w:adjustRightInd w:val="0"/>
              <w:spacing w:line="320" w:lineRule="exact"/>
              <w:rPr>
                <w:rFonts w:hint="eastAsia" w:eastAsia="宋体"/>
                <w:color w:val="auto"/>
                <w:szCs w:val="21"/>
                <w:lang w:eastAsia="zh-CN"/>
              </w:rPr>
            </w:pPr>
            <w:r>
              <w:rPr>
                <w:color w:val="auto"/>
                <w:szCs w:val="21"/>
              </w:rPr>
              <w:t>已建，位于厂区</w:t>
            </w:r>
            <w:r>
              <w:rPr>
                <w:rFonts w:hint="eastAsia"/>
                <w:color w:val="auto"/>
                <w:szCs w:val="21"/>
                <w:lang w:eastAsia="zh-CN"/>
              </w:rPr>
              <w:t>东南</w:t>
            </w:r>
            <w:r>
              <w:rPr>
                <w:color w:val="auto"/>
                <w:szCs w:val="21"/>
              </w:rPr>
              <w:t>部，</w:t>
            </w:r>
            <w:r>
              <w:rPr>
                <w:rFonts w:hint="eastAsia"/>
                <w:color w:val="auto"/>
                <w:szCs w:val="21"/>
                <w:lang w:val="en-US" w:eastAsia="zh-CN"/>
              </w:rPr>
              <w:t>5层建筑</w:t>
            </w:r>
            <w:r>
              <w:rPr>
                <w:color w:val="auto"/>
                <w:szCs w:val="21"/>
              </w:rPr>
              <w:t>，建筑面积为</w:t>
            </w:r>
            <w:r>
              <w:rPr>
                <w:rFonts w:hint="eastAsia"/>
                <w:color w:val="auto"/>
                <w:szCs w:val="21"/>
                <w:lang w:val="en-US" w:eastAsia="zh-CN"/>
              </w:rPr>
              <w:t>12000</w:t>
            </w:r>
            <w:r>
              <w:rPr>
                <w:color w:val="auto"/>
                <w:szCs w:val="21"/>
              </w:rPr>
              <w:t>m</w:t>
            </w:r>
            <w:r>
              <w:rPr>
                <w:color w:val="auto"/>
                <w:szCs w:val="21"/>
                <w:vertAlign w:val="superscript"/>
              </w:rPr>
              <w:t>2</w:t>
            </w:r>
            <w:r>
              <w:rPr>
                <w:color w:val="auto"/>
                <w:szCs w:val="21"/>
              </w:rPr>
              <w:t>。</w:t>
            </w:r>
            <w:r>
              <w:rPr>
                <w:rFonts w:hint="eastAsia"/>
                <w:color w:val="auto"/>
                <w:szCs w:val="21"/>
                <w:lang w:eastAsia="zh-CN"/>
              </w:rPr>
              <w:t>主要用于员工办公</w:t>
            </w:r>
          </w:p>
        </w:tc>
        <w:tc>
          <w:tcPr>
            <w:tcW w:w="5154" w:type="dxa"/>
            <w:tcBorders>
              <w:top w:val="single" w:color="auto" w:sz="4" w:space="0"/>
              <w:left w:val="single" w:color="auto" w:sz="4" w:space="0"/>
              <w:right w:val="single" w:color="000000" w:sz="4" w:space="0"/>
            </w:tcBorders>
            <w:noWrap w:val="0"/>
            <w:vAlign w:val="center"/>
          </w:tcPr>
          <w:p>
            <w:pPr>
              <w:adjustRightInd w:val="0"/>
              <w:spacing w:line="320" w:lineRule="exact"/>
              <w:rPr>
                <w:color w:val="auto"/>
                <w:szCs w:val="21"/>
              </w:rPr>
            </w:pPr>
            <w:r>
              <w:rPr>
                <w:rFonts w:hint="eastAsia"/>
                <w:color w:val="auto"/>
                <w:szCs w:val="21"/>
                <w:lang w:eastAsia="zh-CN"/>
              </w:rPr>
              <w:t>依托现有，</w:t>
            </w:r>
            <w:r>
              <w:rPr>
                <w:color w:val="auto"/>
                <w:szCs w:val="21"/>
              </w:rPr>
              <w:t>位于厂区</w:t>
            </w:r>
            <w:r>
              <w:rPr>
                <w:rFonts w:hint="eastAsia"/>
                <w:color w:val="auto"/>
                <w:szCs w:val="21"/>
                <w:lang w:eastAsia="zh-CN"/>
              </w:rPr>
              <w:t>东南</w:t>
            </w:r>
            <w:r>
              <w:rPr>
                <w:color w:val="auto"/>
                <w:szCs w:val="21"/>
              </w:rPr>
              <w:t>部，</w:t>
            </w:r>
            <w:r>
              <w:rPr>
                <w:rFonts w:hint="eastAsia"/>
                <w:color w:val="auto"/>
                <w:szCs w:val="21"/>
                <w:lang w:val="en-US" w:eastAsia="zh-CN"/>
              </w:rPr>
              <w:t>5层建筑</w:t>
            </w:r>
            <w:r>
              <w:rPr>
                <w:color w:val="auto"/>
                <w:szCs w:val="21"/>
              </w:rPr>
              <w:t>，建筑面积为</w:t>
            </w:r>
            <w:r>
              <w:rPr>
                <w:rFonts w:hint="eastAsia"/>
                <w:color w:val="auto"/>
                <w:szCs w:val="21"/>
                <w:lang w:val="en-US" w:eastAsia="zh-CN"/>
              </w:rPr>
              <w:t>12000</w:t>
            </w:r>
            <w:r>
              <w:rPr>
                <w:color w:val="auto"/>
                <w:szCs w:val="21"/>
              </w:rPr>
              <w:t>m</w:t>
            </w:r>
            <w:r>
              <w:rPr>
                <w:color w:val="auto"/>
                <w:szCs w:val="21"/>
                <w:vertAlign w:val="superscript"/>
              </w:rPr>
              <w:t>2</w:t>
            </w:r>
            <w:r>
              <w:rPr>
                <w:color w:val="auto"/>
                <w:szCs w:val="21"/>
              </w:rPr>
              <w:t>。</w:t>
            </w:r>
            <w:r>
              <w:rPr>
                <w:rFonts w:hint="eastAsia"/>
                <w:color w:val="auto"/>
                <w:szCs w:val="21"/>
                <w:lang w:eastAsia="zh-CN"/>
              </w:rPr>
              <w:t>主要用于员工办公</w:t>
            </w:r>
          </w:p>
        </w:tc>
        <w:tc>
          <w:tcPr>
            <w:tcW w:w="1779"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倒班宿舍楼</w:t>
            </w:r>
          </w:p>
        </w:tc>
        <w:tc>
          <w:tcPr>
            <w:tcW w:w="5154" w:type="dxa"/>
            <w:tcBorders>
              <w:top w:val="single" w:color="auto" w:sz="4" w:space="0"/>
              <w:left w:val="single" w:color="000000" w:sz="4" w:space="0"/>
              <w:right w:val="single" w:color="auto" w:sz="4" w:space="0"/>
            </w:tcBorders>
            <w:noWrap w:val="0"/>
            <w:vAlign w:val="center"/>
          </w:tcPr>
          <w:p>
            <w:pPr>
              <w:adjustRightInd w:val="0"/>
              <w:spacing w:line="320" w:lineRule="exact"/>
              <w:rPr>
                <w:rFonts w:hint="eastAsia"/>
                <w:color w:val="auto"/>
                <w:szCs w:val="21"/>
                <w:lang w:eastAsia="zh-CN"/>
              </w:rPr>
            </w:pPr>
            <w:r>
              <w:rPr>
                <w:rFonts w:hint="eastAsia"/>
                <w:color w:val="auto"/>
                <w:szCs w:val="21"/>
                <w:lang w:eastAsia="zh-CN"/>
              </w:rPr>
              <w:t>生活区设</w:t>
            </w:r>
            <w:r>
              <w:rPr>
                <w:color w:val="auto"/>
                <w:szCs w:val="21"/>
              </w:rPr>
              <w:t>两栋倒班宿舍楼（2栋6F），建筑面积为93519m</w:t>
            </w:r>
            <w:r>
              <w:rPr>
                <w:color w:val="auto"/>
                <w:szCs w:val="21"/>
                <w:vertAlign w:val="superscript"/>
              </w:rPr>
              <w:t>2</w:t>
            </w:r>
            <w:r>
              <w:rPr>
                <w:color w:val="auto"/>
                <w:szCs w:val="21"/>
              </w:rPr>
              <w:t>，</w:t>
            </w:r>
            <w:r>
              <w:rPr>
                <w:rFonts w:hint="eastAsia"/>
                <w:color w:val="auto"/>
                <w:szCs w:val="21"/>
                <w:lang w:eastAsia="zh-CN"/>
              </w:rPr>
              <w:t>能够满足整个厂区员工住宿</w:t>
            </w:r>
          </w:p>
        </w:tc>
        <w:tc>
          <w:tcPr>
            <w:tcW w:w="5154" w:type="dxa"/>
            <w:tcBorders>
              <w:top w:val="single" w:color="auto" w:sz="4" w:space="0"/>
              <w:left w:val="single" w:color="auto" w:sz="4" w:space="0"/>
              <w:right w:val="single" w:color="000000" w:sz="4" w:space="0"/>
            </w:tcBorders>
            <w:noWrap w:val="0"/>
            <w:vAlign w:val="center"/>
          </w:tcPr>
          <w:p>
            <w:pPr>
              <w:adjustRightInd w:val="0"/>
              <w:spacing w:line="320" w:lineRule="exact"/>
              <w:rPr>
                <w:rFonts w:hint="eastAsia"/>
                <w:color w:val="auto"/>
                <w:szCs w:val="21"/>
                <w:lang w:eastAsia="zh-CN"/>
              </w:rPr>
            </w:pPr>
            <w:r>
              <w:rPr>
                <w:rFonts w:hint="eastAsia"/>
                <w:color w:val="auto"/>
                <w:szCs w:val="21"/>
                <w:lang w:eastAsia="zh-CN"/>
              </w:rPr>
              <w:t>依托现有，生活区设</w:t>
            </w:r>
            <w:r>
              <w:rPr>
                <w:color w:val="auto"/>
                <w:szCs w:val="21"/>
              </w:rPr>
              <w:t>两栋倒班宿舍楼（2栋6F），建筑面积为93519m</w:t>
            </w:r>
            <w:r>
              <w:rPr>
                <w:color w:val="auto"/>
                <w:szCs w:val="21"/>
                <w:vertAlign w:val="superscript"/>
              </w:rPr>
              <w:t>2</w:t>
            </w:r>
            <w:r>
              <w:rPr>
                <w:color w:val="auto"/>
                <w:szCs w:val="21"/>
              </w:rPr>
              <w:t>，</w:t>
            </w:r>
            <w:r>
              <w:rPr>
                <w:rFonts w:hint="eastAsia"/>
                <w:color w:val="auto"/>
                <w:szCs w:val="21"/>
                <w:lang w:eastAsia="zh-CN"/>
              </w:rPr>
              <w:t>能够满足整个厂区员工住宿</w:t>
            </w:r>
          </w:p>
        </w:tc>
        <w:tc>
          <w:tcPr>
            <w:tcW w:w="1779"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bottom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职工</w:t>
            </w:r>
          </w:p>
          <w:p>
            <w:pPr>
              <w:tabs>
                <w:tab w:val="left" w:pos="3255"/>
              </w:tabs>
              <w:adjustRightInd w:val="0"/>
              <w:spacing w:line="320" w:lineRule="exact"/>
              <w:jc w:val="center"/>
              <w:rPr>
                <w:rFonts w:hint="eastAsia"/>
                <w:color w:val="auto"/>
                <w:szCs w:val="21"/>
              </w:rPr>
            </w:pPr>
            <w:r>
              <w:rPr>
                <w:color w:val="auto"/>
                <w:szCs w:val="21"/>
              </w:rPr>
              <w:t>餐厅</w:t>
            </w:r>
            <w:r>
              <w:rPr>
                <w:rFonts w:hint="eastAsia"/>
                <w:color w:val="auto"/>
                <w:szCs w:val="21"/>
              </w:rPr>
              <w:t>1</w:t>
            </w:r>
          </w:p>
        </w:tc>
        <w:tc>
          <w:tcPr>
            <w:tcW w:w="5154" w:type="dxa"/>
            <w:tcBorders>
              <w:top w:val="single" w:color="auto" w:sz="4" w:space="0"/>
              <w:left w:val="single" w:color="000000" w:sz="4" w:space="0"/>
              <w:bottom w:val="single" w:color="auto" w:sz="4" w:space="0"/>
              <w:right w:val="single" w:color="auto" w:sz="4" w:space="0"/>
            </w:tcBorders>
            <w:noWrap w:val="0"/>
            <w:vAlign w:val="center"/>
          </w:tcPr>
          <w:p>
            <w:pPr>
              <w:adjustRightInd w:val="0"/>
              <w:spacing w:line="320" w:lineRule="exact"/>
              <w:rPr>
                <w:color w:val="auto"/>
                <w:szCs w:val="21"/>
              </w:rPr>
            </w:pPr>
            <w:r>
              <w:rPr>
                <w:color w:val="auto"/>
                <w:szCs w:val="21"/>
              </w:rPr>
              <w:t>分别位于组件厂房一、二、三、四的两边夹层，餐饭均为外购，餐厅面积约700m</w:t>
            </w:r>
            <w:r>
              <w:rPr>
                <w:color w:val="auto"/>
                <w:szCs w:val="21"/>
                <w:vertAlign w:val="superscript"/>
              </w:rPr>
              <w:t>2</w:t>
            </w:r>
            <w:r>
              <w:rPr>
                <w:color w:val="auto"/>
                <w:szCs w:val="21"/>
              </w:rPr>
              <w:t>，供</w:t>
            </w:r>
            <w:r>
              <w:rPr>
                <w:rFonts w:hint="eastAsia"/>
                <w:color w:val="auto"/>
                <w:szCs w:val="21"/>
              </w:rPr>
              <w:t>现有工程区域25</w:t>
            </w:r>
            <w:r>
              <w:rPr>
                <w:color w:val="auto"/>
                <w:szCs w:val="21"/>
              </w:rPr>
              <w:t>00人就餐</w:t>
            </w:r>
          </w:p>
        </w:tc>
        <w:tc>
          <w:tcPr>
            <w:tcW w:w="5154"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color w:val="auto"/>
                <w:szCs w:val="21"/>
              </w:rPr>
            </w:pPr>
            <w:r>
              <w:rPr>
                <w:color w:val="auto"/>
                <w:szCs w:val="21"/>
              </w:rPr>
              <w:t>分别位于组件厂房一、二、三、四的两边夹层，餐饭均为外购，餐厅面积约700m</w:t>
            </w:r>
            <w:r>
              <w:rPr>
                <w:color w:val="auto"/>
                <w:szCs w:val="21"/>
                <w:vertAlign w:val="superscript"/>
              </w:rPr>
              <w:t>2</w:t>
            </w:r>
            <w:r>
              <w:rPr>
                <w:color w:val="auto"/>
                <w:szCs w:val="21"/>
              </w:rPr>
              <w:t>，供</w:t>
            </w:r>
            <w:r>
              <w:rPr>
                <w:rFonts w:hint="eastAsia"/>
                <w:color w:val="auto"/>
                <w:szCs w:val="21"/>
              </w:rPr>
              <w:t>现有工程区域25</w:t>
            </w:r>
            <w:r>
              <w:rPr>
                <w:color w:val="auto"/>
                <w:szCs w:val="21"/>
              </w:rPr>
              <w:t>00人就餐</w:t>
            </w:r>
          </w:p>
        </w:tc>
        <w:tc>
          <w:tcPr>
            <w:tcW w:w="1779"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jc w:val="center"/>
              <w:rPr>
                <w:color w:val="auto"/>
                <w:szCs w:val="21"/>
              </w:rPr>
            </w:pP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8"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bottom w:val="single" w:color="auto"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b/>
                <w:bCs/>
                <w:color w:val="auto"/>
                <w:szCs w:val="21"/>
              </w:rPr>
              <w:t>职工</w:t>
            </w:r>
          </w:p>
          <w:p>
            <w:pPr>
              <w:tabs>
                <w:tab w:val="left" w:pos="3255"/>
              </w:tabs>
              <w:adjustRightInd w:val="0"/>
              <w:spacing w:line="320" w:lineRule="exact"/>
              <w:jc w:val="center"/>
              <w:rPr>
                <w:rFonts w:hint="eastAsia"/>
                <w:b/>
                <w:bCs/>
                <w:color w:val="auto"/>
                <w:szCs w:val="21"/>
              </w:rPr>
            </w:pPr>
            <w:r>
              <w:rPr>
                <w:b/>
                <w:bCs/>
                <w:color w:val="auto"/>
                <w:szCs w:val="21"/>
              </w:rPr>
              <w:t>餐厅</w:t>
            </w:r>
            <w:r>
              <w:rPr>
                <w:rFonts w:hint="eastAsia"/>
                <w:b/>
                <w:bCs/>
                <w:color w:val="auto"/>
                <w:szCs w:val="21"/>
              </w:rPr>
              <w:t>2</w:t>
            </w:r>
          </w:p>
        </w:tc>
        <w:tc>
          <w:tcPr>
            <w:tcW w:w="5154" w:type="dxa"/>
            <w:tcBorders>
              <w:top w:val="single" w:color="auto" w:sz="4" w:space="0"/>
              <w:left w:val="single" w:color="000000" w:sz="4" w:space="0"/>
              <w:bottom w:val="single" w:color="auto" w:sz="4" w:space="0"/>
              <w:right w:val="single" w:color="auto" w:sz="4" w:space="0"/>
            </w:tcBorders>
            <w:noWrap w:val="0"/>
            <w:vAlign w:val="center"/>
          </w:tcPr>
          <w:p>
            <w:pPr>
              <w:adjustRightInd w:val="0"/>
              <w:spacing w:line="320" w:lineRule="exact"/>
              <w:jc w:val="left"/>
              <w:rPr>
                <w:rFonts w:hint="eastAsia" w:eastAsia="宋体"/>
                <w:b/>
                <w:bCs/>
                <w:color w:val="auto"/>
                <w:szCs w:val="21"/>
                <w:lang w:eastAsia="zh-CN"/>
              </w:rPr>
            </w:pPr>
            <w:r>
              <w:rPr>
                <w:rFonts w:hint="eastAsia"/>
                <w:b/>
                <w:bCs/>
                <w:color w:val="auto"/>
                <w:szCs w:val="21"/>
                <w:lang w:eastAsia="zh-CN"/>
              </w:rPr>
              <w:t>在建，</w:t>
            </w:r>
            <w:r>
              <w:rPr>
                <w:rFonts w:hint="eastAsia"/>
                <w:b/>
                <w:bCs/>
                <w:color w:val="auto"/>
                <w:szCs w:val="21"/>
              </w:rPr>
              <w:t>位于智慧工厂二层西侧中部，建筑面积为800</w:t>
            </w:r>
            <w:r>
              <w:rPr>
                <w:b/>
                <w:bCs/>
                <w:color w:val="auto"/>
                <w:szCs w:val="21"/>
              </w:rPr>
              <w:t>m</w:t>
            </w:r>
            <w:r>
              <w:rPr>
                <w:b/>
                <w:bCs/>
                <w:color w:val="auto"/>
                <w:szCs w:val="21"/>
                <w:vertAlign w:val="superscript"/>
              </w:rPr>
              <w:t>2</w:t>
            </w:r>
            <w:r>
              <w:rPr>
                <w:rFonts w:hint="eastAsia"/>
                <w:b/>
                <w:bCs/>
                <w:color w:val="auto"/>
                <w:szCs w:val="21"/>
              </w:rPr>
              <w:t>，用于</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及后期项目员工就餐使用（餐食为外送，不设厨房）</w:t>
            </w:r>
          </w:p>
        </w:tc>
        <w:tc>
          <w:tcPr>
            <w:tcW w:w="5154"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rFonts w:hint="eastAsia" w:eastAsia="宋体"/>
                <w:b/>
                <w:bCs/>
                <w:color w:val="auto"/>
                <w:szCs w:val="21"/>
                <w:lang w:eastAsia="zh-CN"/>
              </w:rPr>
            </w:pPr>
            <w:r>
              <w:rPr>
                <w:rFonts w:hint="eastAsia"/>
                <w:b/>
                <w:bCs/>
                <w:color w:val="auto"/>
                <w:szCs w:val="21"/>
              </w:rPr>
              <w:t>位于智慧工厂二层西侧中部，建筑面积为800</w:t>
            </w:r>
            <w:r>
              <w:rPr>
                <w:b/>
                <w:bCs/>
                <w:color w:val="auto"/>
                <w:szCs w:val="21"/>
              </w:rPr>
              <w:t>m</w:t>
            </w:r>
            <w:r>
              <w:rPr>
                <w:b/>
                <w:bCs/>
                <w:color w:val="auto"/>
                <w:szCs w:val="21"/>
                <w:vertAlign w:val="superscript"/>
              </w:rPr>
              <w:t>2</w:t>
            </w:r>
            <w:r>
              <w:rPr>
                <w:rFonts w:hint="eastAsia"/>
                <w:b/>
                <w:bCs/>
                <w:color w:val="auto"/>
                <w:szCs w:val="21"/>
              </w:rPr>
              <w:t>，用于本项目</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及后期规划项目员工就餐使用（餐食为外送，不设厨房）</w:t>
            </w:r>
          </w:p>
        </w:tc>
        <w:tc>
          <w:tcPr>
            <w:tcW w:w="1779"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jc w:val="center"/>
              <w:rPr>
                <w:rFonts w:hint="eastAsia" w:eastAsia="宋体"/>
                <w:b/>
                <w:bCs/>
                <w:color w:val="auto"/>
                <w:szCs w:val="21"/>
                <w:lang w:eastAsia="zh-CN"/>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bottom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EVA实验室</w:t>
            </w:r>
          </w:p>
        </w:tc>
        <w:tc>
          <w:tcPr>
            <w:tcW w:w="5154" w:type="dxa"/>
            <w:tcBorders>
              <w:top w:val="single" w:color="auto" w:sz="4" w:space="0"/>
              <w:left w:val="single" w:color="000000" w:sz="4" w:space="0"/>
              <w:bottom w:val="single" w:color="auto" w:sz="4" w:space="0"/>
              <w:right w:val="single" w:color="auto" w:sz="4" w:space="0"/>
            </w:tcBorders>
            <w:noWrap w:val="0"/>
            <w:vAlign w:val="center"/>
          </w:tcPr>
          <w:p>
            <w:pPr>
              <w:tabs>
                <w:tab w:val="left" w:pos="3255"/>
              </w:tabs>
              <w:adjustRightInd w:val="0"/>
              <w:spacing w:line="320" w:lineRule="exact"/>
              <w:rPr>
                <w:color w:val="auto"/>
                <w:szCs w:val="21"/>
              </w:rPr>
            </w:pPr>
            <w:r>
              <w:rPr>
                <w:color w:val="auto"/>
                <w:szCs w:val="21"/>
              </w:rPr>
              <w:t>位于</w:t>
            </w:r>
            <w:r>
              <w:rPr>
                <w:rFonts w:hint="eastAsia"/>
                <w:color w:val="auto"/>
                <w:szCs w:val="21"/>
              </w:rPr>
              <w:t>115组件仓库二层</w:t>
            </w:r>
            <w:r>
              <w:rPr>
                <w:color w:val="auto"/>
                <w:szCs w:val="21"/>
              </w:rPr>
              <w:t>，建筑面积为1</w:t>
            </w:r>
            <w:r>
              <w:rPr>
                <w:rFonts w:hint="eastAsia"/>
                <w:color w:val="auto"/>
                <w:szCs w:val="21"/>
              </w:rPr>
              <w:t>8</w:t>
            </w:r>
            <w:r>
              <w:rPr>
                <w:color w:val="auto"/>
                <w:szCs w:val="21"/>
              </w:rPr>
              <w:t>00m</w:t>
            </w:r>
            <w:r>
              <w:rPr>
                <w:color w:val="auto"/>
                <w:szCs w:val="21"/>
                <w:vertAlign w:val="superscript"/>
              </w:rPr>
              <w:t>2</w:t>
            </w:r>
            <w:r>
              <w:rPr>
                <w:color w:val="auto"/>
                <w:szCs w:val="21"/>
              </w:rPr>
              <w:t>，主要进行</w:t>
            </w:r>
            <w:r>
              <w:rPr>
                <w:rFonts w:hint="eastAsia"/>
                <w:color w:val="auto"/>
                <w:szCs w:val="21"/>
                <w:lang w:eastAsia="zh-CN"/>
              </w:rPr>
              <w:t>全厂</w:t>
            </w:r>
            <w:r>
              <w:rPr>
                <w:color w:val="auto"/>
                <w:szCs w:val="21"/>
              </w:rPr>
              <w:t>组件产品EVA的检测实验</w:t>
            </w:r>
          </w:p>
        </w:tc>
        <w:tc>
          <w:tcPr>
            <w:tcW w:w="5154"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color w:val="auto"/>
                <w:szCs w:val="21"/>
              </w:rPr>
            </w:pPr>
            <w:r>
              <w:rPr>
                <w:color w:val="auto"/>
                <w:szCs w:val="21"/>
              </w:rPr>
              <w:t>位于</w:t>
            </w:r>
            <w:r>
              <w:rPr>
                <w:rFonts w:hint="eastAsia"/>
                <w:color w:val="auto"/>
                <w:szCs w:val="21"/>
              </w:rPr>
              <w:t>115组件仓库二层</w:t>
            </w:r>
            <w:r>
              <w:rPr>
                <w:color w:val="auto"/>
                <w:szCs w:val="21"/>
              </w:rPr>
              <w:t>，建筑面积为1</w:t>
            </w:r>
            <w:r>
              <w:rPr>
                <w:rFonts w:hint="eastAsia"/>
                <w:color w:val="auto"/>
                <w:szCs w:val="21"/>
              </w:rPr>
              <w:t>8</w:t>
            </w:r>
            <w:r>
              <w:rPr>
                <w:color w:val="auto"/>
                <w:szCs w:val="21"/>
              </w:rPr>
              <w:t>00m</w:t>
            </w:r>
            <w:r>
              <w:rPr>
                <w:color w:val="auto"/>
                <w:szCs w:val="21"/>
                <w:vertAlign w:val="superscript"/>
              </w:rPr>
              <w:t>2</w:t>
            </w:r>
            <w:r>
              <w:rPr>
                <w:color w:val="auto"/>
                <w:szCs w:val="21"/>
              </w:rPr>
              <w:t>，主要进行组</w:t>
            </w:r>
            <w:r>
              <w:rPr>
                <w:rFonts w:hint="eastAsia"/>
                <w:color w:val="auto"/>
                <w:szCs w:val="21"/>
                <w:lang w:eastAsia="zh-CN"/>
              </w:rPr>
              <w:t>全厂</w:t>
            </w:r>
            <w:r>
              <w:rPr>
                <w:color w:val="auto"/>
                <w:szCs w:val="21"/>
              </w:rPr>
              <w:t>件产品EVA的检测实验</w:t>
            </w:r>
          </w:p>
        </w:tc>
        <w:tc>
          <w:tcPr>
            <w:tcW w:w="1779" w:type="dxa"/>
            <w:tcBorders>
              <w:top w:val="single" w:color="auto" w:sz="4" w:space="0"/>
              <w:left w:val="single" w:color="auto" w:sz="4" w:space="0"/>
              <w:bottom w:val="single" w:color="auto" w:sz="4" w:space="0"/>
              <w:right w:val="single" w:color="000000" w:sz="4" w:space="0"/>
            </w:tcBorders>
            <w:noWrap w:val="0"/>
            <w:vAlign w:val="center"/>
          </w:tcPr>
          <w:p>
            <w:pPr>
              <w:adjustRightInd w:val="0"/>
              <w:spacing w:line="320" w:lineRule="exact"/>
              <w:rPr>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3" w:hRule="atLeast"/>
          <w:jc w:val="center"/>
        </w:trPr>
        <w:tc>
          <w:tcPr>
            <w:tcW w:w="818" w:type="dxa"/>
            <w:vMerge w:val="restart"/>
            <w:tcBorders>
              <w:top w:val="single" w:color="auto" w:sz="4" w:space="0"/>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r>
              <w:rPr>
                <w:color w:val="auto"/>
                <w:szCs w:val="21"/>
              </w:rPr>
              <w:t>储运</w:t>
            </w:r>
          </w:p>
          <w:p>
            <w:pPr>
              <w:tabs>
                <w:tab w:val="left" w:pos="3255"/>
              </w:tabs>
              <w:adjustRightInd w:val="0"/>
              <w:spacing w:line="320" w:lineRule="exact"/>
              <w:jc w:val="center"/>
              <w:rPr>
                <w:color w:val="auto"/>
                <w:szCs w:val="21"/>
              </w:rPr>
            </w:pPr>
            <w:r>
              <w:rPr>
                <w:color w:val="auto"/>
                <w:szCs w:val="21"/>
              </w:rPr>
              <w:t>工程</w:t>
            </w: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rPr>
              <w:t>智慧仓库</w:t>
            </w:r>
          </w:p>
          <w:p>
            <w:pPr>
              <w:tabs>
                <w:tab w:val="left" w:pos="3255"/>
              </w:tabs>
              <w:adjustRightInd w:val="0"/>
              <w:spacing w:line="320" w:lineRule="exact"/>
              <w:jc w:val="center"/>
              <w:rPr>
                <w:rFonts w:hint="eastAsia"/>
                <w:b/>
                <w:bCs/>
                <w:color w:val="auto"/>
                <w:szCs w:val="21"/>
              </w:rPr>
            </w:pPr>
            <w:r>
              <w:rPr>
                <w:rFonts w:hint="eastAsia"/>
                <w:b/>
                <w:bCs/>
                <w:color w:val="auto"/>
                <w:szCs w:val="21"/>
              </w:rPr>
              <w:t>（206）</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jc w:val="center"/>
              <w:rPr>
                <w:rFonts w:hint="eastAsia"/>
                <w:b/>
                <w:bCs/>
                <w:color w:val="auto"/>
                <w:szCs w:val="21"/>
              </w:rPr>
            </w:pPr>
            <w:r>
              <w:rPr>
                <w:rFonts w:hint="eastAsia"/>
                <w:b/>
                <w:bCs/>
                <w:color w:val="auto"/>
                <w:szCs w:val="21"/>
                <w:lang w:eastAsia="zh-CN"/>
              </w:rPr>
              <w:t>在</w:t>
            </w:r>
            <w:r>
              <w:rPr>
                <w:rFonts w:hint="eastAsia"/>
                <w:b/>
                <w:bCs/>
                <w:color w:val="auto"/>
                <w:szCs w:val="21"/>
              </w:rPr>
              <w:t>建，</w:t>
            </w:r>
            <w:r>
              <w:rPr>
                <w:b/>
                <w:bCs/>
                <w:color w:val="auto"/>
                <w:szCs w:val="21"/>
              </w:rPr>
              <w:t>位于厂区</w:t>
            </w:r>
            <w:r>
              <w:rPr>
                <w:rFonts w:hint="eastAsia"/>
                <w:b/>
                <w:bCs/>
                <w:color w:val="auto"/>
                <w:szCs w:val="21"/>
              </w:rPr>
              <w:t>西侧中部</w:t>
            </w:r>
            <w:r>
              <w:rPr>
                <w:b/>
                <w:bCs/>
                <w:color w:val="auto"/>
                <w:szCs w:val="21"/>
              </w:rPr>
              <w:t>，矩形单层厂房，南北走向，</w:t>
            </w:r>
            <w:r>
              <w:rPr>
                <w:rFonts w:hint="eastAsia"/>
                <w:b/>
                <w:bCs/>
                <w:color w:val="auto"/>
                <w:szCs w:val="21"/>
              </w:rPr>
              <w:t>高度为23.9m</w:t>
            </w:r>
            <w:r>
              <w:rPr>
                <w:b/>
                <w:bCs/>
                <w:color w:val="auto"/>
                <w:szCs w:val="21"/>
              </w:rPr>
              <w:t>，占地面积约</w:t>
            </w:r>
            <w:r>
              <w:rPr>
                <w:rFonts w:hint="eastAsia"/>
                <w:b/>
                <w:bCs/>
                <w:color w:val="auto"/>
                <w:szCs w:val="21"/>
              </w:rPr>
              <w:t>25498.32</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建筑面积为25498.32</w:t>
            </w:r>
            <w:r>
              <w:rPr>
                <w:b/>
                <w:bCs/>
                <w:color w:val="auto"/>
                <w:szCs w:val="21"/>
              </w:rPr>
              <w:t>m</w:t>
            </w:r>
            <w:r>
              <w:rPr>
                <w:b/>
                <w:bCs/>
                <w:color w:val="auto"/>
                <w:szCs w:val="21"/>
                <w:vertAlign w:val="superscript"/>
              </w:rPr>
              <w:t>2</w:t>
            </w:r>
            <w:r>
              <w:rPr>
                <w:rFonts w:hint="eastAsia"/>
                <w:b/>
                <w:bCs/>
                <w:color w:val="auto"/>
                <w:szCs w:val="21"/>
              </w:rPr>
              <w:t>，主要用于全厂区</w:t>
            </w:r>
            <w:r>
              <w:rPr>
                <w:b/>
                <w:bCs/>
                <w:color w:val="auto"/>
                <w:szCs w:val="21"/>
              </w:rPr>
              <w:t>太阳能电池组件成品</w:t>
            </w:r>
            <w:r>
              <w:rPr>
                <w:rFonts w:hint="eastAsia"/>
                <w:b/>
                <w:bCs/>
                <w:color w:val="auto"/>
                <w:szCs w:val="21"/>
              </w:rPr>
              <w:t>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b/>
                <w:bCs/>
                <w:color w:val="auto"/>
                <w:szCs w:val="21"/>
              </w:rPr>
            </w:pPr>
            <w:r>
              <w:rPr>
                <w:b/>
                <w:bCs/>
                <w:color w:val="auto"/>
                <w:szCs w:val="21"/>
              </w:rPr>
              <w:t>位于厂区</w:t>
            </w:r>
            <w:r>
              <w:rPr>
                <w:rFonts w:hint="eastAsia"/>
                <w:b/>
                <w:bCs/>
                <w:color w:val="auto"/>
                <w:szCs w:val="21"/>
              </w:rPr>
              <w:t>西侧中部</w:t>
            </w:r>
            <w:r>
              <w:rPr>
                <w:b/>
                <w:bCs/>
                <w:color w:val="auto"/>
                <w:szCs w:val="21"/>
              </w:rPr>
              <w:t>，矩形单层厂房，南北走向，</w:t>
            </w:r>
            <w:r>
              <w:rPr>
                <w:rFonts w:hint="eastAsia"/>
                <w:b/>
                <w:bCs/>
                <w:color w:val="auto"/>
                <w:szCs w:val="21"/>
              </w:rPr>
              <w:t>高度为23.9m</w:t>
            </w:r>
            <w:r>
              <w:rPr>
                <w:b/>
                <w:bCs/>
                <w:color w:val="auto"/>
                <w:szCs w:val="21"/>
              </w:rPr>
              <w:t>，占地面积约</w:t>
            </w:r>
            <w:r>
              <w:rPr>
                <w:rFonts w:hint="eastAsia"/>
                <w:b/>
                <w:bCs/>
                <w:color w:val="auto"/>
                <w:szCs w:val="21"/>
              </w:rPr>
              <w:t>25498.32</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建筑面积为25498.32</w:t>
            </w:r>
            <w:r>
              <w:rPr>
                <w:b/>
                <w:bCs/>
                <w:color w:val="auto"/>
                <w:szCs w:val="21"/>
              </w:rPr>
              <w:t>m</w:t>
            </w:r>
            <w:r>
              <w:rPr>
                <w:b/>
                <w:bCs/>
                <w:color w:val="auto"/>
                <w:szCs w:val="21"/>
                <w:vertAlign w:val="superscript"/>
              </w:rPr>
              <w:t>2</w:t>
            </w:r>
            <w:r>
              <w:rPr>
                <w:rFonts w:hint="eastAsia"/>
                <w:b/>
                <w:bCs/>
                <w:color w:val="auto"/>
                <w:szCs w:val="21"/>
              </w:rPr>
              <w:t>，主要用于全厂区</w:t>
            </w:r>
            <w:r>
              <w:rPr>
                <w:b/>
                <w:bCs/>
                <w:color w:val="auto"/>
                <w:szCs w:val="21"/>
              </w:rPr>
              <w:t>太阳能电池组件成品</w:t>
            </w:r>
            <w:r>
              <w:rPr>
                <w:rFonts w:hint="eastAsia"/>
                <w:b/>
                <w:bCs/>
                <w:color w:val="auto"/>
                <w:szCs w:val="21"/>
              </w:rPr>
              <w:t>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b/>
                <w:bCs/>
                <w:color w:val="auto"/>
                <w:szCs w:val="21"/>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36"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rPr>
              <w:t>原料仓库</w:t>
            </w:r>
          </w:p>
          <w:p>
            <w:pPr>
              <w:tabs>
                <w:tab w:val="left" w:pos="3255"/>
              </w:tabs>
              <w:adjustRightInd w:val="0"/>
              <w:spacing w:line="320" w:lineRule="exact"/>
              <w:jc w:val="center"/>
              <w:rPr>
                <w:rFonts w:hint="eastAsia"/>
                <w:b/>
                <w:bCs/>
                <w:color w:val="auto"/>
                <w:szCs w:val="21"/>
              </w:rPr>
            </w:pPr>
            <w:r>
              <w:rPr>
                <w:rFonts w:hint="eastAsia"/>
                <w:b/>
                <w:bCs/>
                <w:color w:val="auto"/>
                <w:szCs w:val="21"/>
              </w:rPr>
              <w:t>（205）</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rFonts w:hint="eastAsia"/>
                <w:b/>
                <w:bCs/>
                <w:color w:val="auto"/>
                <w:szCs w:val="21"/>
              </w:rPr>
            </w:pPr>
            <w:r>
              <w:rPr>
                <w:rFonts w:hint="eastAsia"/>
                <w:b/>
                <w:bCs/>
                <w:color w:val="auto"/>
                <w:szCs w:val="21"/>
                <w:lang w:eastAsia="zh-CN"/>
              </w:rPr>
              <w:t>在</w:t>
            </w:r>
            <w:r>
              <w:rPr>
                <w:rFonts w:hint="eastAsia"/>
                <w:b/>
                <w:bCs/>
                <w:color w:val="auto"/>
                <w:szCs w:val="21"/>
              </w:rPr>
              <w:t>建，</w:t>
            </w:r>
            <w:r>
              <w:rPr>
                <w:b/>
                <w:bCs/>
                <w:color w:val="auto"/>
                <w:szCs w:val="21"/>
              </w:rPr>
              <w:t>位于厂区</w:t>
            </w:r>
            <w:r>
              <w:rPr>
                <w:rFonts w:hint="eastAsia"/>
                <w:b/>
                <w:bCs/>
                <w:color w:val="auto"/>
                <w:szCs w:val="21"/>
              </w:rPr>
              <w:t>西侧北部</w:t>
            </w:r>
            <w:r>
              <w:rPr>
                <w:b/>
                <w:bCs/>
                <w:color w:val="auto"/>
                <w:szCs w:val="21"/>
              </w:rPr>
              <w:t>，矩形单层厂房，南北走向，</w:t>
            </w:r>
            <w:r>
              <w:rPr>
                <w:rFonts w:hint="eastAsia"/>
                <w:b/>
                <w:bCs/>
                <w:color w:val="auto"/>
                <w:szCs w:val="21"/>
              </w:rPr>
              <w:t>高度为10.88m</w:t>
            </w:r>
            <w:r>
              <w:rPr>
                <w:b/>
                <w:bCs/>
                <w:color w:val="auto"/>
                <w:szCs w:val="21"/>
              </w:rPr>
              <w:t>，占地面积约</w:t>
            </w:r>
            <w:r>
              <w:rPr>
                <w:rFonts w:hint="eastAsia"/>
                <w:b/>
                <w:bCs/>
                <w:color w:val="auto"/>
                <w:szCs w:val="21"/>
              </w:rPr>
              <w:t>18781.29</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建筑面积为18781.29</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主要用于</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及后期规划项目电池片、</w:t>
            </w:r>
            <w:r>
              <w:rPr>
                <w:b/>
                <w:bCs/>
                <w:color w:val="auto"/>
                <w:szCs w:val="21"/>
              </w:rPr>
              <w:t>EVA树脂、基板玻璃、铝框、涂锡铜带等原辅料</w:t>
            </w:r>
            <w:r>
              <w:rPr>
                <w:rFonts w:hint="eastAsia"/>
                <w:b/>
                <w:bCs/>
                <w:color w:val="auto"/>
                <w:szCs w:val="21"/>
              </w:rPr>
              <w:t>的储存</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b/>
                <w:bCs/>
                <w:color w:val="auto"/>
                <w:szCs w:val="21"/>
              </w:rPr>
            </w:pPr>
            <w:r>
              <w:rPr>
                <w:b/>
                <w:bCs/>
                <w:color w:val="auto"/>
                <w:szCs w:val="21"/>
              </w:rPr>
              <w:t>位于厂区</w:t>
            </w:r>
            <w:r>
              <w:rPr>
                <w:rFonts w:hint="eastAsia"/>
                <w:b/>
                <w:bCs/>
                <w:color w:val="auto"/>
                <w:szCs w:val="21"/>
              </w:rPr>
              <w:t>西侧北部</w:t>
            </w:r>
            <w:r>
              <w:rPr>
                <w:b/>
                <w:bCs/>
                <w:color w:val="auto"/>
                <w:szCs w:val="21"/>
              </w:rPr>
              <w:t>，矩形单层厂房，南北走向，</w:t>
            </w:r>
            <w:r>
              <w:rPr>
                <w:rFonts w:hint="eastAsia"/>
                <w:b/>
                <w:bCs/>
                <w:color w:val="auto"/>
                <w:szCs w:val="21"/>
              </w:rPr>
              <w:t>高度为10.88m</w:t>
            </w:r>
            <w:r>
              <w:rPr>
                <w:b/>
                <w:bCs/>
                <w:color w:val="auto"/>
                <w:szCs w:val="21"/>
              </w:rPr>
              <w:t>，占地面积约</w:t>
            </w:r>
            <w:r>
              <w:rPr>
                <w:rFonts w:hint="eastAsia"/>
                <w:b/>
                <w:bCs/>
                <w:color w:val="auto"/>
                <w:szCs w:val="21"/>
              </w:rPr>
              <w:t>18781.29</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建筑面积为18781.29</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主要用于</w:t>
            </w:r>
            <w:r>
              <w:rPr>
                <w:rFonts w:hint="eastAsia"/>
                <w:b/>
                <w:bCs/>
                <w:color w:val="auto"/>
                <w:szCs w:val="21"/>
              </w:rPr>
              <w:t>本项目</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及后期规划项目电池片、</w:t>
            </w:r>
            <w:r>
              <w:rPr>
                <w:b/>
                <w:bCs/>
                <w:color w:val="auto"/>
                <w:szCs w:val="21"/>
              </w:rPr>
              <w:t>EVA树脂、基板玻璃、铝框、涂锡铜带等原辅料</w:t>
            </w:r>
            <w:r>
              <w:rPr>
                <w:rFonts w:hint="eastAsia"/>
                <w:b/>
                <w:bCs/>
                <w:color w:val="auto"/>
                <w:szCs w:val="21"/>
              </w:rPr>
              <w:t>的储存</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eastAsia="宋体"/>
                <w:b/>
                <w:bCs/>
                <w:color w:val="auto"/>
                <w:szCs w:val="21"/>
                <w:lang w:eastAsia="zh-CN"/>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rPr>
              <w:t>甲类仓库</w:t>
            </w:r>
          </w:p>
          <w:p>
            <w:pPr>
              <w:tabs>
                <w:tab w:val="left" w:pos="3255"/>
              </w:tabs>
              <w:adjustRightInd w:val="0"/>
              <w:spacing w:line="320" w:lineRule="exact"/>
              <w:jc w:val="center"/>
              <w:rPr>
                <w:rFonts w:hint="eastAsia"/>
                <w:b/>
                <w:bCs/>
                <w:color w:val="auto"/>
                <w:szCs w:val="21"/>
              </w:rPr>
            </w:pPr>
            <w:r>
              <w:rPr>
                <w:rFonts w:hint="eastAsia"/>
                <w:b/>
                <w:bCs/>
                <w:color w:val="auto"/>
                <w:szCs w:val="21"/>
              </w:rPr>
              <w:t>（203）</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b/>
                <w:bCs/>
                <w:color w:val="auto"/>
                <w:szCs w:val="21"/>
              </w:rPr>
            </w:pPr>
            <w:r>
              <w:rPr>
                <w:rFonts w:hint="eastAsia"/>
                <w:b/>
                <w:bCs/>
                <w:color w:val="auto"/>
                <w:szCs w:val="21"/>
                <w:lang w:eastAsia="zh-CN"/>
              </w:rPr>
              <w:t>在</w:t>
            </w:r>
            <w:r>
              <w:rPr>
                <w:rFonts w:hint="eastAsia"/>
                <w:b/>
                <w:bCs/>
                <w:color w:val="auto"/>
                <w:szCs w:val="21"/>
              </w:rPr>
              <w:t>建，位于厂区西南部，单层建筑，厂房高度为7m，</w:t>
            </w:r>
            <w:r>
              <w:rPr>
                <w:b/>
                <w:bCs/>
                <w:color w:val="auto"/>
                <w:szCs w:val="21"/>
              </w:rPr>
              <w:t>建筑面积约</w:t>
            </w:r>
            <w:r>
              <w:rPr>
                <w:rFonts w:hint="eastAsia"/>
                <w:b/>
                <w:bCs/>
                <w:color w:val="auto"/>
                <w:szCs w:val="21"/>
              </w:rPr>
              <w:t>639.18</w:t>
            </w:r>
            <w:r>
              <w:rPr>
                <w:b/>
                <w:bCs/>
                <w:color w:val="auto"/>
                <w:szCs w:val="21"/>
              </w:rPr>
              <w:t>m</w:t>
            </w:r>
            <w:r>
              <w:rPr>
                <w:b/>
                <w:bCs/>
                <w:color w:val="auto"/>
                <w:szCs w:val="21"/>
                <w:vertAlign w:val="superscript"/>
              </w:rPr>
              <w:t>2</w:t>
            </w:r>
            <w:r>
              <w:rPr>
                <w:rFonts w:hint="eastAsia"/>
                <w:b/>
                <w:bCs/>
                <w:color w:val="auto"/>
                <w:szCs w:val="21"/>
              </w:rPr>
              <w:t>，主要用于</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及后期规划项目助焊剂、密封胶、酒精、二甲苯等化学品的存放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b/>
                <w:bCs/>
                <w:color w:val="auto"/>
                <w:szCs w:val="21"/>
              </w:rPr>
            </w:pPr>
            <w:r>
              <w:rPr>
                <w:rFonts w:hint="eastAsia"/>
                <w:b/>
                <w:bCs/>
                <w:color w:val="auto"/>
                <w:szCs w:val="21"/>
              </w:rPr>
              <w:t>位于厂区西南部，单层建筑，厂房高度为7m，</w:t>
            </w:r>
            <w:r>
              <w:rPr>
                <w:b/>
                <w:bCs/>
                <w:color w:val="auto"/>
                <w:szCs w:val="21"/>
              </w:rPr>
              <w:t>建筑面积约</w:t>
            </w:r>
            <w:r>
              <w:rPr>
                <w:rFonts w:hint="eastAsia"/>
                <w:b/>
                <w:bCs/>
                <w:color w:val="auto"/>
                <w:szCs w:val="21"/>
              </w:rPr>
              <w:t>639.18</w:t>
            </w:r>
            <w:r>
              <w:rPr>
                <w:b/>
                <w:bCs/>
                <w:color w:val="auto"/>
                <w:szCs w:val="21"/>
              </w:rPr>
              <w:t>m</w:t>
            </w:r>
            <w:r>
              <w:rPr>
                <w:b/>
                <w:bCs/>
                <w:color w:val="auto"/>
                <w:szCs w:val="21"/>
                <w:vertAlign w:val="superscript"/>
              </w:rPr>
              <w:t>2</w:t>
            </w:r>
            <w:r>
              <w:rPr>
                <w:rFonts w:hint="eastAsia"/>
                <w:b/>
                <w:bCs/>
                <w:color w:val="auto"/>
                <w:szCs w:val="21"/>
              </w:rPr>
              <w:t>，主要用于本项目</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及后期规划项目助焊剂、密封胶、酒精、二甲苯等化学品的存放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b/>
                <w:bCs/>
                <w:color w:val="auto"/>
                <w:szCs w:val="21"/>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rPr>
              <w:t>危废仓库（204）</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center"/>
              <w:rPr>
                <w:b/>
                <w:bCs/>
                <w:color w:val="auto"/>
                <w:szCs w:val="21"/>
              </w:rPr>
            </w:pPr>
            <w:r>
              <w:rPr>
                <w:rFonts w:hint="eastAsia"/>
                <w:b/>
                <w:bCs/>
                <w:color w:val="auto"/>
                <w:szCs w:val="21"/>
                <w:lang w:eastAsia="zh-CN"/>
              </w:rPr>
              <w:t>在</w:t>
            </w:r>
            <w:r>
              <w:rPr>
                <w:rFonts w:hint="eastAsia"/>
                <w:b/>
                <w:bCs/>
                <w:color w:val="auto"/>
                <w:szCs w:val="21"/>
              </w:rPr>
              <w:t>建，位于厂区西南部，单层建筑，厂房高度为7m，</w:t>
            </w:r>
            <w:r>
              <w:rPr>
                <w:b/>
                <w:bCs/>
                <w:color w:val="auto"/>
                <w:szCs w:val="21"/>
              </w:rPr>
              <w:t>建筑面积约</w:t>
            </w:r>
            <w:r>
              <w:rPr>
                <w:rFonts w:hint="eastAsia"/>
                <w:b/>
                <w:bCs/>
                <w:color w:val="auto"/>
                <w:szCs w:val="21"/>
              </w:rPr>
              <w:t>639.18</w:t>
            </w:r>
            <w:r>
              <w:rPr>
                <w:b/>
                <w:bCs/>
                <w:color w:val="auto"/>
                <w:szCs w:val="21"/>
              </w:rPr>
              <w:t>m</w:t>
            </w:r>
            <w:r>
              <w:rPr>
                <w:b/>
                <w:bCs/>
                <w:color w:val="auto"/>
                <w:szCs w:val="21"/>
                <w:vertAlign w:val="superscript"/>
              </w:rPr>
              <w:t>2</w:t>
            </w:r>
            <w:r>
              <w:rPr>
                <w:rFonts w:hint="eastAsia"/>
                <w:b/>
                <w:bCs/>
                <w:color w:val="auto"/>
                <w:szCs w:val="21"/>
              </w:rPr>
              <w:t>，主要用于危险废物的存放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b/>
                <w:bCs/>
                <w:color w:val="auto"/>
                <w:szCs w:val="21"/>
              </w:rPr>
            </w:pPr>
            <w:r>
              <w:rPr>
                <w:rFonts w:hint="eastAsia"/>
                <w:b/>
                <w:bCs/>
                <w:color w:val="auto"/>
                <w:szCs w:val="21"/>
              </w:rPr>
              <w:t>位于厂区西南部，单层建筑，厂房高度为7m，</w:t>
            </w:r>
            <w:r>
              <w:rPr>
                <w:b/>
                <w:bCs/>
                <w:color w:val="auto"/>
                <w:szCs w:val="21"/>
              </w:rPr>
              <w:t>建筑面积约</w:t>
            </w:r>
            <w:r>
              <w:rPr>
                <w:rFonts w:hint="eastAsia"/>
                <w:b/>
                <w:bCs/>
                <w:color w:val="auto"/>
                <w:szCs w:val="21"/>
              </w:rPr>
              <w:t>639.18</w:t>
            </w:r>
            <w:r>
              <w:rPr>
                <w:b/>
                <w:bCs/>
                <w:color w:val="auto"/>
                <w:szCs w:val="21"/>
              </w:rPr>
              <w:t>m</w:t>
            </w:r>
            <w:r>
              <w:rPr>
                <w:b/>
                <w:bCs/>
                <w:color w:val="auto"/>
                <w:szCs w:val="21"/>
                <w:vertAlign w:val="superscript"/>
              </w:rPr>
              <w:t>2</w:t>
            </w:r>
            <w:r>
              <w:rPr>
                <w:rFonts w:hint="eastAsia"/>
                <w:b/>
                <w:bCs/>
                <w:color w:val="auto"/>
                <w:szCs w:val="21"/>
              </w:rPr>
              <w:t>，主要用于本项目</w:t>
            </w:r>
            <w:r>
              <w:rPr>
                <w:rFonts w:hint="eastAsia"/>
                <w:b/>
                <w:bCs/>
                <w:color w:val="auto"/>
                <w:szCs w:val="21"/>
                <w:lang w:eastAsia="zh-CN"/>
              </w:rPr>
              <w:t>、智慧工厂</w:t>
            </w:r>
            <w:r>
              <w:rPr>
                <w:rFonts w:hint="eastAsia"/>
                <w:b/>
                <w:bCs/>
                <w:color w:val="auto"/>
                <w:szCs w:val="21"/>
              </w:rPr>
              <w:t>项目</w:t>
            </w:r>
            <w:r>
              <w:rPr>
                <w:rFonts w:hint="eastAsia"/>
                <w:b/>
                <w:bCs/>
                <w:color w:val="auto"/>
                <w:szCs w:val="21"/>
                <w:lang w:eastAsia="zh-CN"/>
              </w:rPr>
              <w:t>（一期）</w:t>
            </w:r>
            <w:r>
              <w:rPr>
                <w:rFonts w:hint="eastAsia"/>
                <w:b/>
                <w:bCs/>
                <w:color w:val="auto"/>
                <w:szCs w:val="21"/>
              </w:rPr>
              <w:t>及后期规划项目危险废物的存放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b/>
                <w:bCs/>
                <w:color w:val="auto"/>
                <w:szCs w:val="21"/>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b/>
                <w:bCs/>
                <w:color w:val="auto"/>
                <w:szCs w:val="21"/>
              </w:rPr>
              <w:t>固废仓库</w:t>
            </w:r>
          </w:p>
          <w:p>
            <w:pPr>
              <w:tabs>
                <w:tab w:val="left" w:pos="3255"/>
              </w:tabs>
              <w:adjustRightInd w:val="0"/>
              <w:spacing w:line="320" w:lineRule="exact"/>
              <w:jc w:val="center"/>
              <w:rPr>
                <w:rFonts w:hint="eastAsia"/>
                <w:b/>
                <w:bCs/>
                <w:color w:val="auto"/>
                <w:szCs w:val="21"/>
              </w:rPr>
            </w:pPr>
            <w:r>
              <w:rPr>
                <w:rFonts w:hint="eastAsia"/>
                <w:b/>
                <w:bCs/>
                <w:color w:val="auto"/>
                <w:szCs w:val="21"/>
              </w:rPr>
              <w:t>（208）</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left"/>
              <w:rPr>
                <w:rFonts w:hint="eastAsia"/>
                <w:b/>
                <w:bCs/>
                <w:color w:val="auto"/>
                <w:szCs w:val="21"/>
              </w:rPr>
            </w:pPr>
            <w:r>
              <w:rPr>
                <w:rFonts w:hint="eastAsia"/>
                <w:b/>
                <w:bCs/>
                <w:color w:val="auto"/>
                <w:szCs w:val="21"/>
                <w:lang w:eastAsia="zh-CN"/>
              </w:rPr>
              <w:t>在</w:t>
            </w:r>
            <w:r>
              <w:rPr>
                <w:rFonts w:hint="eastAsia"/>
                <w:b/>
                <w:bCs/>
                <w:color w:val="auto"/>
                <w:szCs w:val="21"/>
              </w:rPr>
              <w:t>建，位于厂区东部，单层建筑，厂房高度为7.23m，</w:t>
            </w:r>
            <w:r>
              <w:rPr>
                <w:b/>
                <w:bCs/>
                <w:color w:val="auto"/>
                <w:szCs w:val="21"/>
              </w:rPr>
              <w:t>建筑面积约</w:t>
            </w:r>
            <w:r>
              <w:rPr>
                <w:rFonts w:hint="eastAsia"/>
                <w:b/>
                <w:bCs/>
                <w:color w:val="auto"/>
                <w:szCs w:val="21"/>
              </w:rPr>
              <w:t>1494.72</w:t>
            </w:r>
            <w:r>
              <w:rPr>
                <w:b/>
                <w:bCs/>
                <w:color w:val="auto"/>
                <w:szCs w:val="21"/>
              </w:rPr>
              <w:t>m</w:t>
            </w:r>
            <w:r>
              <w:rPr>
                <w:b/>
                <w:bCs/>
                <w:color w:val="auto"/>
                <w:szCs w:val="21"/>
                <w:vertAlign w:val="superscript"/>
              </w:rPr>
              <w:t>2</w:t>
            </w:r>
            <w:r>
              <w:rPr>
                <w:rFonts w:hint="eastAsia"/>
                <w:b/>
                <w:bCs/>
                <w:color w:val="auto"/>
                <w:szCs w:val="21"/>
              </w:rPr>
              <w:t>，主要用于全厂一般固体废物的存放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b/>
                <w:bCs/>
                <w:color w:val="auto"/>
                <w:szCs w:val="21"/>
              </w:rPr>
            </w:pPr>
            <w:r>
              <w:rPr>
                <w:rFonts w:hint="eastAsia"/>
                <w:b/>
                <w:bCs/>
                <w:color w:val="auto"/>
                <w:szCs w:val="21"/>
              </w:rPr>
              <w:t>位于厂区东部，单层建筑，厂房高度为7.23m，</w:t>
            </w:r>
            <w:r>
              <w:rPr>
                <w:b/>
                <w:bCs/>
                <w:color w:val="auto"/>
                <w:szCs w:val="21"/>
              </w:rPr>
              <w:t>建筑面积约</w:t>
            </w:r>
            <w:r>
              <w:rPr>
                <w:rFonts w:hint="eastAsia"/>
                <w:b/>
                <w:bCs/>
                <w:color w:val="auto"/>
                <w:szCs w:val="21"/>
              </w:rPr>
              <w:t>1494.72</w:t>
            </w:r>
            <w:r>
              <w:rPr>
                <w:b/>
                <w:bCs/>
                <w:color w:val="auto"/>
                <w:szCs w:val="21"/>
              </w:rPr>
              <w:t>m</w:t>
            </w:r>
            <w:r>
              <w:rPr>
                <w:b/>
                <w:bCs/>
                <w:color w:val="auto"/>
                <w:szCs w:val="21"/>
                <w:vertAlign w:val="superscript"/>
              </w:rPr>
              <w:t>2</w:t>
            </w:r>
            <w:r>
              <w:rPr>
                <w:rFonts w:hint="eastAsia"/>
                <w:b/>
                <w:bCs/>
                <w:color w:val="auto"/>
                <w:szCs w:val="21"/>
              </w:rPr>
              <w:t>，主要用于全厂一般固体废物的存放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eastAsia="宋体"/>
                <w:b/>
                <w:bCs/>
                <w:color w:val="auto"/>
                <w:szCs w:val="21"/>
                <w:lang w:eastAsia="zh-CN"/>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b/>
                <w:bCs/>
                <w:color w:val="auto"/>
                <w:szCs w:val="21"/>
              </w:rPr>
            </w:pPr>
            <w:r>
              <w:rPr>
                <w:rFonts w:hint="eastAsia"/>
                <w:color w:val="auto"/>
                <w:szCs w:val="21"/>
              </w:rPr>
              <w:t>组件原料库一（103）</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color w:val="auto"/>
                <w:szCs w:val="21"/>
              </w:rPr>
            </w:pPr>
            <w:r>
              <w:rPr>
                <w:color w:val="auto"/>
                <w:szCs w:val="21"/>
              </w:rPr>
              <w:t>已建，位于厂区东南部，矩形单层厂房，南北走向，建筑面积3500m</w:t>
            </w:r>
            <w:r>
              <w:rPr>
                <w:color w:val="auto"/>
                <w:szCs w:val="21"/>
                <w:vertAlign w:val="superscript"/>
              </w:rPr>
              <w:t>2</w:t>
            </w:r>
            <w:r>
              <w:rPr>
                <w:color w:val="auto"/>
                <w:szCs w:val="21"/>
              </w:rPr>
              <w:t>，主要用于</w:t>
            </w:r>
            <w:r>
              <w:rPr>
                <w:rFonts w:hint="eastAsia"/>
                <w:color w:val="auto"/>
                <w:szCs w:val="21"/>
              </w:rPr>
              <w:t>现有工程</w:t>
            </w:r>
            <w:r>
              <w:rPr>
                <w:color w:val="auto"/>
                <w:szCs w:val="21"/>
              </w:rPr>
              <w:t>储存EVA树脂、基板玻璃、密封胶、铝框、涂锡铜带等原辅料</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已建，位于厂区东南部，矩形单层厂房，南北走向，建筑面积3500m</w:t>
            </w:r>
            <w:r>
              <w:rPr>
                <w:color w:val="auto"/>
                <w:szCs w:val="21"/>
                <w:vertAlign w:val="superscript"/>
              </w:rPr>
              <w:t>2</w:t>
            </w:r>
            <w:r>
              <w:rPr>
                <w:color w:val="auto"/>
                <w:szCs w:val="21"/>
              </w:rPr>
              <w:t>，主要用于</w:t>
            </w:r>
            <w:r>
              <w:rPr>
                <w:rFonts w:hint="eastAsia"/>
                <w:color w:val="auto"/>
                <w:szCs w:val="21"/>
              </w:rPr>
              <w:t>现有工程</w:t>
            </w:r>
            <w:r>
              <w:rPr>
                <w:color w:val="auto"/>
                <w:szCs w:val="21"/>
              </w:rPr>
              <w:t>储存EVA树脂、基板玻璃、密封胶、铝框、涂锡铜带等原辅料</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组件原料库二（105）</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color w:val="auto"/>
                <w:szCs w:val="21"/>
              </w:rPr>
            </w:pPr>
            <w:r>
              <w:rPr>
                <w:color w:val="auto"/>
                <w:szCs w:val="21"/>
              </w:rPr>
              <w:t>已建，位于厂区东部，矩形单层厂房，东西走向，，建筑面积16500m</w:t>
            </w:r>
            <w:r>
              <w:rPr>
                <w:color w:val="auto"/>
                <w:szCs w:val="21"/>
                <w:vertAlign w:val="superscript"/>
              </w:rPr>
              <w:t>2</w:t>
            </w:r>
            <w:r>
              <w:rPr>
                <w:color w:val="auto"/>
                <w:szCs w:val="21"/>
              </w:rPr>
              <w:t>，主要用于</w:t>
            </w:r>
            <w:r>
              <w:rPr>
                <w:rFonts w:hint="eastAsia"/>
                <w:color w:val="auto"/>
                <w:szCs w:val="21"/>
              </w:rPr>
              <w:t>现有工程</w:t>
            </w:r>
            <w:r>
              <w:rPr>
                <w:color w:val="auto"/>
                <w:szCs w:val="21"/>
              </w:rPr>
              <w:t>储存EVA树脂、基板玻璃、密封胶、铝框、涂锡铜带等原辅料</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已建，位于厂区东部，矩形单层厂房，东西走向，建筑面积16500m</w:t>
            </w:r>
            <w:r>
              <w:rPr>
                <w:color w:val="auto"/>
                <w:szCs w:val="21"/>
                <w:vertAlign w:val="superscript"/>
              </w:rPr>
              <w:t>2</w:t>
            </w:r>
            <w:r>
              <w:rPr>
                <w:color w:val="auto"/>
                <w:szCs w:val="21"/>
              </w:rPr>
              <w:t>，主要用于</w:t>
            </w:r>
            <w:r>
              <w:rPr>
                <w:rFonts w:hint="eastAsia"/>
                <w:color w:val="auto"/>
                <w:szCs w:val="21"/>
              </w:rPr>
              <w:t>现有工程</w:t>
            </w:r>
            <w:r>
              <w:rPr>
                <w:color w:val="auto"/>
                <w:szCs w:val="21"/>
              </w:rPr>
              <w:t>储存EVA树脂、基板玻璃、密封胶、铝框、涂锡铜带等原辅料</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5"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组件成品库一（109）</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rFonts w:hint="eastAsia"/>
                <w:color w:val="auto"/>
                <w:szCs w:val="21"/>
              </w:rPr>
            </w:pPr>
            <w:r>
              <w:rPr>
                <w:color w:val="auto"/>
                <w:szCs w:val="21"/>
              </w:rPr>
              <w:t>已建，位于厂区北部，矩形单层厂房（局部两层），南北走向，占地面积约18860m</w:t>
            </w:r>
            <w:r>
              <w:rPr>
                <w:color w:val="auto"/>
                <w:szCs w:val="21"/>
                <w:vertAlign w:val="superscript"/>
              </w:rPr>
              <w:t>2</w:t>
            </w:r>
            <w:r>
              <w:rPr>
                <w:color w:val="auto"/>
                <w:szCs w:val="21"/>
              </w:rPr>
              <w:t>，</w:t>
            </w:r>
            <w:r>
              <w:rPr>
                <w:rFonts w:hint="eastAsia"/>
                <w:color w:val="auto"/>
                <w:szCs w:val="21"/>
              </w:rPr>
              <w:t>主要用于现有工程</w:t>
            </w:r>
            <w:r>
              <w:rPr>
                <w:color w:val="auto"/>
                <w:szCs w:val="21"/>
              </w:rPr>
              <w:t>太阳能电池组件成品</w:t>
            </w:r>
            <w:r>
              <w:rPr>
                <w:rFonts w:hint="eastAsia"/>
                <w:color w:val="auto"/>
                <w:szCs w:val="21"/>
              </w:rPr>
              <w:t>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已建，位于厂区北部，矩形单层厂房（局部两层），南北走向，占地面积约18860m</w:t>
            </w:r>
            <w:r>
              <w:rPr>
                <w:color w:val="auto"/>
                <w:szCs w:val="21"/>
                <w:vertAlign w:val="superscript"/>
              </w:rPr>
              <w:t>2</w:t>
            </w:r>
            <w:r>
              <w:rPr>
                <w:color w:val="auto"/>
                <w:szCs w:val="21"/>
              </w:rPr>
              <w:t>，</w:t>
            </w:r>
            <w:r>
              <w:rPr>
                <w:rFonts w:hint="eastAsia"/>
                <w:color w:val="auto"/>
                <w:szCs w:val="21"/>
              </w:rPr>
              <w:t>主要用于现有工程</w:t>
            </w:r>
            <w:r>
              <w:rPr>
                <w:color w:val="auto"/>
                <w:szCs w:val="21"/>
              </w:rPr>
              <w:t>太阳能电池组件成品</w:t>
            </w:r>
            <w:r>
              <w:rPr>
                <w:rFonts w:hint="eastAsia"/>
                <w:color w:val="auto"/>
                <w:szCs w:val="21"/>
              </w:rPr>
              <w:t>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组件原料库三（115）</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color w:val="auto"/>
                <w:szCs w:val="21"/>
              </w:rPr>
            </w:pPr>
            <w:r>
              <w:rPr>
                <w:color w:val="auto"/>
                <w:szCs w:val="21"/>
              </w:rPr>
              <w:t>已建，位于厂区北部，矩形单层厂房（局部两层），南北走向，占地面积12600m</w:t>
            </w:r>
            <w:r>
              <w:rPr>
                <w:color w:val="auto"/>
                <w:szCs w:val="21"/>
                <w:vertAlign w:val="superscript"/>
              </w:rPr>
              <w:t>2</w:t>
            </w:r>
            <w:r>
              <w:rPr>
                <w:color w:val="auto"/>
                <w:szCs w:val="21"/>
              </w:rPr>
              <w:t>，主要</w:t>
            </w:r>
            <w:r>
              <w:rPr>
                <w:rFonts w:hint="eastAsia"/>
                <w:color w:val="auto"/>
                <w:szCs w:val="21"/>
              </w:rPr>
              <w:t>用于现有工程部分</w:t>
            </w:r>
            <w:r>
              <w:rPr>
                <w:color w:val="auto"/>
                <w:szCs w:val="21"/>
              </w:rPr>
              <w:t>各种原辅材料和成品（其中原料占6000 m</w:t>
            </w:r>
            <w:r>
              <w:rPr>
                <w:color w:val="auto"/>
                <w:szCs w:val="21"/>
                <w:vertAlign w:val="superscript"/>
              </w:rPr>
              <w:t>2</w:t>
            </w:r>
            <w:r>
              <w:rPr>
                <w:color w:val="auto"/>
                <w:szCs w:val="21"/>
              </w:rPr>
              <w:t>，成品占6600 m</w:t>
            </w:r>
            <w:r>
              <w:rPr>
                <w:color w:val="auto"/>
                <w:szCs w:val="21"/>
                <w:vertAlign w:val="superscript"/>
              </w:rPr>
              <w:t>2</w:t>
            </w:r>
            <w:r>
              <w:rPr>
                <w:color w:val="auto"/>
                <w:szCs w:val="21"/>
              </w:rPr>
              <w:t>）</w:t>
            </w:r>
            <w:r>
              <w:rPr>
                <w:rFonts w:hint="eastAsia"/>
                <w:color w:val="auto"/>
                <w:szCs w:val="21"/>
              </w:rPr>
              <w:t>的存放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color w:val="auto"/>
                <w:szCs w:val="21"/>
              </w:rPr>
            </w:pPr>
            <w:r>
              <w:rPr>
                <w:color w:val="auto"/>
                <w:szCs w:val="21"/>
              </w:rPr>
              <w:t>已建，位于厂区北部，矩形单层厂房（局部两层），南北走向，占地面积12600m</w:t>
            </w:r>
            <w:r>
              <w:rPr>
                <w:color w:val="auto"/>
                <w:szCs w:val="21"/>
                <w:vertAlign w:val="superscript"/>
              </w:rPr>
              <w:t>2</w:t>
            </w:r>
            <w:r>
              <w:rPr>
                <w:color w:val="auto"/>
                <w:szCs w:val="21"/>
              </w:rPr>
              <w:t>，主要</w:t>
            </w:r>
            <w:r>
              <w:rPr>
                <w:rFonts w:hint="eastAsia"/>
                <w:color w:val="auto"/>
                <w:szCs w:val="21"/>
              </w:rPr>
              <w:t>用于现有工程部分</w:t>
            </w:r>
            <w:r>
              <w:rPr>
                <w:color w:val="auto"/>
                <w:szCs w:val="21"/>
              </w:rPr>
              <w:t>各种原辅材料和成品（其中原料占6000 m</w:t>
            </w:r>
            <w:r>
              <w:rPr>
                <w:color w:val="auto"/>
                <w:szCs w:val="21"/>
                <w:vertAlign w:val="superscript"/>
              </w:rPr>
              <w:t>2</w:t>
            </w:r>
            <w:r>
              <w:rPr>
                <w:color w:val="auto"/>
                <w:szCs w:val="21"/>
              </w:rPr>
              <w:t>，成品占6600 m</w:t>
            </w:r>
            <w:r>
              <w:rPr>
                <w:color w:val="auto"/>
                <w:szCs w:val="21"/>
                <w:vertAlign w:val="superscript"/>
              </w:rPr>
              <w:t>2</w:t>
            </w:r>
            <w:r>
              <w:rPr>
                <w:color w:val="auto"/>
                <w:szCs w:val="21"/>
              </w:rPr>
              <w:t>）</w:t>
            </w:r>
            <w:r>
              <w:rPr>
                <w:rFonts w:hint="eastAsia"/>
                <w:color w:val="auto"/>
                <w:szCs w:val="21"/>
              </w:rPr>
              <w:t>的存放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组件成品库三</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color w:val="auto"/>
                <w:szCs w:val="21"/>
              </w:rPr>
            </w:pPr>
            <w:r>
              <w:rPr>
                <w:color w:val="auto"/>
                <w:szCs w:val="21"/>
              </w:rPr>
              <w:t>位于组件厂房二（116）内，占地面积 10000m</w:t>
            </w:r>
            <w:r>
              <w:rPr>
                <w:color w:val="auto"/>
                <w:szCs w:val="21"/>
                <w:vertAlign w:val="superscript"/>
              </w:rPr>
              <w:t>2</w:t>
            </w:r>
            <w:r>
              <w:rPr>
                <w:color w:val="auto"/>
                <w:szCs w:val="21"/>
              </w:rPr>
              <w:t>，</w:t>
            </w:r>
            <w:r>
              <w:rPr>
                <w:rFonts w:hint="eastAsia"/>
                <w:color w:val="auto"/>
                <w:szCs w:val="21"/>
              </w:rPr>
              <w:t>主要用于现有工程</w:t>
            </w:r>
            <w:r>
              <w:rPr>
                <w:color w:val="auto"/>
                <w:szCs w:val="21"/>
              </w:rPr>
              <w:t>太阳能电池组件成品</w:t>
            </w:r>
            <w:r>
              <w:rPr>
                <w:rFonts w:hint="eastAsia"/>
                <w:color w:val="auto"/>
                <w:szCs w:val="21"/>
              </w:rPr>
              <w:t>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位于组件厂房二（116）内，占地面积10000m</w:t>
            </w:r>
            <w:r>
              <w:rPr>
                <w:color w:val="auto"/>
                <w:szCs w:val="21"/>
                <w:vertAlign w:val="superscript"/>
              </w:rPr>
              <w:t>2</w:t>
            </w:r>
            <w:r>
              <w:rPr>
                <w:color w:val="auto"/>
                <w:szCs w:val="21"/>
              </w:rPr>
              <w:t>，</w:t>
            </w:r>
            <w:r>
              <w:rPr>
                <w:rFonts w:hint="eastAsia"/>
                <w:color w:val="auto"/>
                <w:szCs w:val="21"/>
              </w:rPr>
              <w:t>主要用于现有工程</w:t>
            </w:r>
            <w:r>
              <w:rPr>
                <w:color w:val="auto"/>
                <w:szCs w:val="21"/>
              </w:rPr>
              <w:t>太阳能电池组件成品</w:t>
            </w:r>
            <w:r>
              <w:rPr>
                <w:rFonts w:hint="eastAsia"/>
                <w:color w:val="auto"/>
                <w:szCs w:val="21"/>
              </w:rPr>
              <w:t>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6"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r>
              <w:rPr>
                <w:color w:val="auto"/>
                <w:szCs w:val="21"/>
              </w:rPr>
              <w:t>化学品中转库</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rFonts w:hint="eastAsia"/>
                <w:color w:val="auto"/>
                <w:szCs w:val="21"/>
              </w:rPr>
            </w:pPr>
            <w:r>
              <w:rPr>
                <w:color w:val="auto"/>
                <w:szCs w:val="21"/>
              </w:rPr>
              <w:t>位于组件成品库二（109）东侧，建筑面积约100m</w:t>
            </w:r>
            <w:r>
              <w:rPr>
                <w:color w:val="auto"/>
                <w:szCs w:val="21"/>
                <w:vertAlign w:val="superscript"/>
              </w:rPr>
              <w:t>2</w:t>
            </w:r>
            <w:r>
              <w:rPr>
                <w:rFonts w:hint="eastAsia"/>
                <w:color w:val="auto"/>
                <w:szCs w:val="21"/>
              </w:rPr>
              <w:t>，主要用于现有工程助焊剂、密封胶、酒精、二甲苯等原辅料的存放</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rFonts w:hint="eastAsia"/>
                <w:color w:val="auto"/>
                <w:szCs w:val="21"/>
              </w:rPr>
            </w:pPr>
            <w:r>
              <w:rPr>
                <w:color w:val="auto"/>
                <w:szCs w:val="21"/>
              </w:rPr>
              <w:t>位于组件成品库二（109）东侧，建筑面积约100m</w:t>
            </w:r>
            <w:r>
              <w:rPr>
                <w:color w:val="auto"/>
                <w:szCs w:val="21"/>
                <w:vertAlign w:val="superscript"/>
              </w:rPr>
              <w:t>2</w:t>
            </w:r>
            <w:r>
              <w:rPr>
                <w:rFonts w:hint="eastAsia"/>
                <w:color w:val="auto"/>
                <w:szCs w:val="21"/>
              </w:rPr>
              <w:t>，主要用于现有工程助焊剂、密封胶、酒精、二甲苯等原辅料的存放</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auto" w:sz="4" w:space="0"/>
              <w:left w:val="single" w:color="auto" w:sz="4" w:space="0"/>
              <w:right w:val="single" w:color="000000" w:sz="4" w:space="0"/>
            </w:tcBorders>
            <w:noWrap w:val="0"/>
            <w:vAlign w:val="center"/>
          </w:tcPr>
          <w:p>
            <w:pPr>
              <w:tabs>
                <w:tab w:val="left" w:pos="3255"/>
              </w:tabs>
              <w:adjustRightInd w:val="0"/>
              <w:spacing w:line="320" w:lineRule="exact"/>
              <w:jc w:val="center"/>
              <w:rPr>
                <w:rFonts w:hint="eastAsia"/>
                <w:color w:val="auto"/>
                <w:szCs w:val="21"/>
              </w:rPr>
            </w:pPr>
            <w:r>
              <w:rPr>
                <w:color w:val="auto"/>
                <w:szCs w:val="21"/>
              </w:rPr>
              <w:t>危废暂存间</w:t>
            </w:r>
            <w:r>
              <w:rPr>
                <w:rFonts w:hint="eastAsia"/>
                <w:color w:val="auto"/>
                <w:szCs w:val="21"/>
              </w:rPr>
              <w:t>1</w:t>
            </w:r>
          </w:p>
        </w:tc>
        <w:tc>
          <w:tcPr>
            <w:tcW w:w="5154" w:type="dxa"/>
            <w:tcBorders>
              <w:top w:val="single" w:color="auto" w:sz="4" w:space="0"/>
              <w:left w:val="single" w:color="000000" w:sz="4" w:space="0"/>
              <w:bottom w:val="single" w:color="000000" w:sz="4" w:space="0"/>
              <w:right w:val="single" w:color="auto" w:sz="4" w:space="0"/>
            </w:tcBorders>
            <w:noWrap w:val="0"/>
            <w:vAlign w:val="center"/>
          </w:tcPr>
          <w:p>
            <w:pPr>
              <w:adjustRightInd w:val="0"/>
              <w:spacing w:line="320" w:lineRule="exact"/>
              <w:rPr>
                <w:rFonts w:hint="eastAsia"/>
                <w:color w:val="auto"/>
                <w:szCs w:val="21"/>
              </w:rPr>
            </w:pPr>
            <w:r>
              <w:rPr>
                <w:color w:val="auto"/>
                <w:szCs w:val="21"/>
              </w:rPr>
              <w:t>位于组件成品库二（109）东侧，建筑面积约100m</w:t>
            </w:r>
            <w:r>
              <w:rPr>
                <w:color w:val="auto"/>
                <w:szCs w:val="21"/>
                <w:vertAlign w:val="superscript"/>
              </w:rPr>
              <w:t>2</w:t>
            </w:r>
            <w:r>
              <w:rPr>
                <w:rFonts w:hint="eastAsia"/>
                <w:color w:val="auto"/>
                <w:szCs w:val="21"/>
              </w:rPr>
              <w:t>，主要用于现有工程危险废物的暂存</w:t>
            </w:r>
          </w:p>
        </w:tc>
        <w:tc>
          <w:tcPr>
            <w:tcW w:w="5154"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位于组件成品库二（109）东侧，建筑面积约100m</w:t>
            </w:r>
            <w:r>
              <w:rPr>
                <w:color w:val="auto"/>
                <w:szCs w:val="21"/>
                <w:vertAlign w:val="superscript"/>
              </w:rPr>
              <w:t>2</w:t>
            </w:r>
            <w:r>
              <w:rPr>
                <w:rFonts w:hint="eastAsia"/>
                <w:color w:val="auto"/>
                <w:szCs w:val="21"/>
              </w:rPr>
              <w:t>，主要用于现有工程危险废物的暂存</w:t>
            </w:r>
          </w:p>
        </w:tc>
        <w:tc>
          <w:tcPr>
            <w:tcW w:w="1779" w:type="dxa"/>
            <w:tcBorders>
              <w:top w:val="single" w:color="auto"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restart"/>
            <w:tcBorders>
              <w:top w:val="single" w:color="000000" w:sz="4" w:space="0"/>
              <w:left w:val="single" w:color="000000" w:sz="4" w:space="0"/>
              <w:bottom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r>
              <w:rPr>
                <w:color w:val="auto"/>
                <w:szCs w:val="21"/>
              </w:rPr>
              <w:t>公用</w:t>
            </w:r>
          </w:p>
          <w:p>
            <w:pPr>
              <w:tabs>
                <w:tab w:val="left" w:pos="3255"/>
              </w:tabs>
              <w:adjustRightInd w:val="0"/>
              <w:spacing w:line="320" w:lineRule="exact"/>
              <w:jc w:val="center"/>
              <w:rPr>
                <w:color w:val="auto"/>
                <w:szCs w:val="21"/>
              </w:rPr>
            </w:pPr>
            <w:r>
              <w:rPr>
                <w:color w:val="auto"/>
                <w:szCs w:val="21"/>
              </w:rPr>
              <w:t>工程</w:t>
            </w: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rFonts w:hint="eastAsia"/>
                <w:b/>
                <w:bCs/>
                <w:color w:val="auto"/>
                <w:szCs w:val="21"/>
              </w:rPr>
            </w:pPr>
            <w:r>
              <w:rPr>
                <w:b/>
                <w:bCs/>
                <w:color w:val="auto"/>
                <w:szCs w:val="21"/>
              </w:rPr>
              <w:t>动力站</w:t>
            </w:r>
            <w:r>
              <w:rPr>
                <w:rFonts w:hint="eastAsia"/>
                <w:b/>
                <w:bCs/>
                <w:color w:val="auto"/>
                <w:szCs w:val="21"/>
              </w:rPr>
              <w:t>2</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20" w:lineRule="exact"/>
              <w:jc w:val="center"/>
              <w:rPr>
                <w:rFonts w:hint="eastAsia"/>
                <w:b/>
                <w:bCs/>
                <w:color w:val="auto"/>
                <w:szCs w:val="21"/>
              </w:rPr>
            </w:pPr>
            <w:r>
              <w:rPr>
                <w:rFonts w:hint="eastAsia"/>
                <w:b/>
                <w:bCs/>
                <w:color w:val="auto"/>
                <w:szCs w:val="21"/>
                <w:lang w:eastAsia="zh-CN"/>
              </w:rPr>
              <w:t>在建</w:t>
            </w:r>
            <w:r>
              <w:rPr>
                <w:b/>
                <w:bCs/>
                <w:color w:val="auto"/>
                <w:szCs w:val="21"/>
              </w:rPr>
              <w:t>，位于厂区</w:t>
            </w:r>
            <w:r>
              <w:rPr>
                <w:rFonts w:hint="eastAsia"/>
                <w:b/>
                <w:bCs/>
                <w:color w:val="auto"/>
                <w:szCs w:val="21"/>
              </w:rPr>
              <w:t>西侧中部</w:t>
            </w:r>
            <w:r>
              <w:rPr>
                <w:b/>
                <w:bCs/>
                <w:color w:val="auto"/>
                <w:szCs w:val="21"/>
              </w:rPr>
              <w:t>，矩形</w:t>
            </w:r>
            <w:r>
              <w:rPr>
                <w:rFonts w:hint="eastAsia"/>
                <w:b/>
                <w:bCs/>
                <w:color w:val="auto"/>
                <w:szCs w:val="21"/>
              </w:rPr>
              <w:t>两</w:t>
            </w:r>
            <w:r>
              <w:rPr>
                <w:b/>
                <w:bCs/>
                <w:color w:val="auto"/>
                <w:szCs w:val="21"/>
              </w:rPr>
              <w:t>层厂房，南北走向，占地面积</w:t>
            </w:r>
            <w:r>
              <w:rPr>
                <w:rFonts w:hint="eastAsia"/>
                <w:b/>
                <w:bCs/>
                <w:color w:val="auto"/>
                <w:szCs w:val="21"/>
              </w:rPr>
              <w:t>3337.1</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建筑面积为6713.5</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布置空压机（</w:t>
            </w:r>
            <w:r>
              <w:rPr>
                <w:rFonts w:hint="eastAsia"/>
                <w:b/>
                <w:bCs/>
                <w:color w:val="auto"/>
                <w:szCs w:val="21"/>
              </w:rPr>
              <w:t>总</w:t>
            </w:r>
            <w:r>
              <w:rPr>
                <w:b/>
                <w:bCs/>
                <w:color w:val="auto"/>
                <w:szCs w:val="21"/>
              </w:rPr>
              <w:t>供气能力为</w:t>
            </w:r>
            <w:r>
              <w:rPr>
                <w:rFonts w:hint="eastAsia"/>
                <w:b/>
                <w:bCs/>
                <w:color w:val="auto"/>
                <w:szCs w:val="21"/>
              </w:rPr>
              <w:t>1200</w:t>
            </w:r>
            <w:r>
              <w:rPr>
                <w:b/>
                <w:bCs/>
                <w:color w:val="auto"/>
                <w:szCs w:val="21"/>
              </w:rPr>
              <w:t>Nm</w:t>
            </w:r>
            <w:r>
              <w:rPr>
                <w:b/>
                <w:bCs/>
                <w:color w:val="auto"/>
                <w:szCs w:val="21"/>
                <w:vertAlign w:val="superscript"/>
              </w:rPr>
              <w:t>3</w:t>
            </w:r>
            <w:r>
              <w:rPr>
                <w:b/>
                <w:bCs/>
                <w:color w:val="auto"/>
                <w:szCs w:val="21"/>
              </w:rPr>
              <w:t>/min）、中央空调机组及冷却塔（</w:t>
            </w:r>
            <w:r>
              <w:rPr>
                <w:rFonts w:hint="eastAsia"/>
                <w:b/>
                <w:bCs/>
                <w:color w:val="auto"/>
                <w:szCs w:val="21"/>
              </w:rPr>
              <w:t>2台，总流量为330m</w:t>
            </w:r>
            <w:r>
              <w:rPr>
                <w:rFonts w:hint="eastAsia"/>
                <w:b/>
                <w:bCs/>
                <w:color w:val="auto"/>
                <w:szCs w:val="21"/>
                <w:vertAlign w:val="superscript"/>
              </w:rPr>
              <w:t>3</w:t>
            </w:r>
            <w:r>
              <w:rPr>
                <w:rFonts w:hint="eastAsia"/>
                <w:b/>
                <w:bCs/>
                <w:color w:val="auto"/>
                <w:szCs w:val="21"/>
              </w:rPr>
              <w:t>/min</w:t>
            </w:r>
            <w:r>
              <w:rPr>
                <w:b/>
                <w:bCs/>
                <w:color w:val="auto"/>
                <w:szCs w:val="21"/>
              </w:rPr>
              <w:t>）</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rPr>
                <w:b/>
                <w:bCs/>
                <w:color w:val="auto"/>
                <w:szCs w:val="21"/>
              </w:rPr>
            </w:pPr>
            <w:r>
              <w:rPr>
                <w:b/>
                <w:bCs/>
                <w:color w:val="auto"/>
                <w:szCs w:val="21"/>
              </w:rPr>
              <w:t>位于厂区</w:t>
            </w:r>
            <w:r>
              <w:rPr>
                <w:rFonts w:hint="eastAsia"/>
                <w:b/>
                <w:bCs/>
                <w:color w:val="auto"/>
                <w:szCs w:val="21"/>
              </w:rPr>
              <w:t>西侧中部</w:t>
            </w:r>
            <w:r>
              <w:rPr>
                <w:b/>
                <w:bCs/>
                <w:color w:val="auto"/>
                <w:szCs w:val="21"/>
              </w:rPr>
              <w:t>，矩形</w:t>
            </w:r>
            <w:r>
              <w:rPr>
                <w:rFonts w:hint="eastAsia"/>
                <w:b/>
                <w:bCs/>
                <w:color w:val="auto"/>
                <w:szCs w:val="21"/>
              </w:rPr>
              <w:t>两</w:t>
            </w:r>
            <w:r>
              <w:rPr>
                <w:b/>
                <w:bCs/>
                <w:color w:val="auto"/>
                <w:szCs w:val="21"/>
              </w:rPr>
              <w:t>层厂房，南北走向，占地面积</w:t>
            </w:r>
            <w:r>
              <w:rPr>
                <w:rFonts w:hint="eastAsia"/>
                <w:b/>
                <w:bCs/>
                <w:color w:val="auto"/>
                <w:szCs w:val="21"/>
              </w:rPr>
              <w:t>3337.1</w:t>
            </w:r>
            <w:r>
              <w:rPr>
                <w:b/>
                <w:bCs/>
                <w:color w:val="auto"/>
                <w:szCs w:val="21"/>
              </w:rPr>
              <w:t>m</w:t>
            </w:r>
            <w:r>
              <w:rPr>
                <w:b/>
                <w:bCs/>
                <w:color w:val="auto"/>
                <w:szCs w:val="21"/>
                <w:vertAlign w:val="superscript"/>
              </w:rPr>
              <w:t>2</w:t>
            </w:r>
            <w:r>
              <w:rPr>
                <w:b/>
                <w:bCs/>
                <w:color w:val="auto"/>
                <w:szCs w:val="21"/>
              </w:rPr>
              <w:t>，</w:t>
            </w:r>
            <w:r>
              <w:rPr>
                <w:rFonts w:hint="eastAsia"/>
                <w:b/>
                <w:bCs/>
                <w:color w:val="auto"/>
                <w:szCs w:val="21"/>
              </w:rPr>
              <w:t>建筑面积为6713.5</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布置空压机（</w:t>
            </w:r>
            <w:r>
              <w:rPr>
                <w:rFonts w:hint="eastAsia"/>
                <w:b/>
                <w:bCs/>
                <w:color w:val="auto"/>
                <w:szCs w:val="21"/>
              </w:rPr>
              <w:t>总</w:t>
            </w:r>
            <w:r>
              <w:rPr>
                <w:b/>
                <w:bCs/>
                <w:color w:val="auto"/>
                <w:szCs w:val="21"/>
              </w:rPr>
              <w:t>供气能力为</w:t>
            </w:r>
            <w:r>
              <w:rPr>
                <w:rFonts w:hint="eastAsia"/>
                <w:b/>
                <w:bCs/>
                <w:color w:val="auto"/>
                <w:szCs w:val="21"/>
              </w:rPr>
              <w:t>1200</w:t>
            </w:r>
            <w:r>
              <w:rPr>
                <w:b/>
                <w:bCs/>
                <w:color w:val="auto"/>
                <w:szCs w:val="21"/>
              </w:rPr>
              <w:t>Nm</w:t>
            </w:r>
            <w:r>
              <w:rPr>
                <w:b/>
                <w:bCs/>
                <w:color w:val="auto"/>
                <w:szCs w:val="21"/>
                <w:vertAlign w:val="superscript"/>
              </w:rPr>
              <w:t>3</w:t>
            </w:r>
            <w:r>
              <w:rPr>
                <w:b/>
                <w:bCs/>
                <w:color w:val="auto"/>
                <w:szCs w:val="21"/>
              </w:rPr>
              <w:t>/min）、中央空调机组及冷却塔（</w:t>
            </w:r>
            <w:r>
              <w:rPr>
                <w:rFonts w:hint="eastAsia"/>
                <w:b/>
                <w:bCs/>
                <w:color w:val="auto"/>
                <w:szCs w:val="21"/>
              </w:rPr>
              <w:t>2台，总流量为330m</w:t>
            </w:r>
            <w:r>
              <w:rPr>
                <w:rFonts w:hint="eastAsia"/>
                <w:b/>
                <w:bCs/>
                <w:color w:val="auto"/>
                <w:szCs w:val="21"/>
                <w:vertAlign w:val="superscript"/>
              </w:rPr>
              <w:t>3</w:t>
            </w:r>
            <w:r>
              <w:rPr>
                <w:rFonts w:hint="eastAsia"/>
                <w:b/>
                <w:bCs/>
                <w:color w:val="auto"/>
                <w:szCs w:val="21"/>
              </w:rPr>
              <w:t>/min</w:t>
            </w:r>
            <w:r>
              <w:rPr>
                <w:b/>
                <w:bCs/>
                <w:color w:val="auto"/>
                <w:szCs w:val="21"/>
              </w:rPr>
              <w:t>）</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b/>
                <w:bCs/>
                <w:color w:val="auto"/>
                <w:szCs w:val="21"/>
              </w:rPr>
            </w:pPr>
            <w:r>
              <w:rPr>
                <w:rFonts w:hint="eastAsia"/>
                <w:b/>
                <w:bCs/>
                <w:color w:val="auto"/>
                <w:szCs w:val="21"/>
                <w:lang w:val="en-US" w:eastAsia="zh-CN"/>
              </w:rPr>
              <w:t>依托，</w:t>
            </w:r>
            <w:r>
              <w:rPr>
                <w:rFonts w:hint="eastAsia"/>
                <w:b/>
                <w:bCs/>
                <w:color w:val="auto"/>
                <w:szCs w:val="21"/>
                <w:lang w:eastAsia="zh-CN"/>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color w:val="auto"/>
                <w:szCs w:val="21"/>
              </w:rPr>
            </w:pPr>
            <w:r>
              <w:rPr>
                <w:color w:val="auto"/>
                <w:szCs w:val="21"/>
              </w:rPr>
              <w:t>动力站</w:t>
            </w:r>
            <w:r>
              <w:rPr>
                <w:rFonts w:hint="eastAsia"/>
                <w:color w:val="auto"/>
                <w:szCs w:val="21"/>
              </w:rPr>
              <w:t>1</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20" w:lineRule="exact"/>
              <w:rPr>
                <w:color w:val="auto"/>
                <w:szCs w:val="21"/>
              </w:rPr>
            </w:pPr>
            <w:r>
              <w:rPr>
                <w:color w:val="auto"/>
                <w:szCs w:val="21"/>
              </w:rPr>
              <w:t>已建，位于厂区北部，矩形单层厂房（局部两层），南北走向，占地面积9075m</w:t>
            </w:r>
            <w:r>
              <w:rPr>
                <w:color w:val="auto"/>
                <w:szCs w:val="21"/>
                <w:vertAlign w:val="superscript"/>
              </w:rPr>
              <w:t>2</w:t>
            </w:r>
            <w:r>
              <w:rPr>
                <w:color w:val="auto"/>
                <w:szCs w:val="21"/>
              </w:rPr>
              <w:t>，布置空压机（供气能力为179.8Nm</w:t>
            </w:r>
            <w:r>
              <w:rPr>
                <w:color w:val="auto"/>
                <w:szCs w:val="21"/>
                <w:vertAlign w:val="superscript"/>
              </w:rPr>
              <w:t>3</w:t>
            </w:r>
            <w:r>
              <w:rPr>
                <w:color w:val="auto"/>
                <w:szCs w:val="21"/>
              </w:rPr>
              <w:t>/min）、中央空调机组及冷却塔、锅炉（设置2台5.0t/h天然气锅炉，1用1备）</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rPr>
                <w:color w:val="auto"/>
                <w:szCs w:val="21"/>
              </w:rPr>
            </w:pPr>
            <w:r>
              <w:rPr>
                <w:color w:val="auto"/>
                <w:szCs w:val="21"/>
              </w:rPr>
              <w:t>已建，位于厂区北部，矩形单层厂房（局部两层），南北走向，占地面积9075m</w:t>
            </w:r>
            <w:r>
              <w:rPr>
                <w:color w:val="auto"/>
                <w:szCs w:val="21"/>
                <w:vertAlign w:val="superscript"/>
              </w:rPr>
              <w:t>2</w:t>
            </w:r>
            <w:r>
              <w:rPr>
                <w:color w:val="auto"/>
                <w:szCs w:val="21"/>
              </w:rPr>
              <w:t>，布置空压机（供气能力为179.8Nm</w:t>
            </w:r>
            <w:r>
              <w:rPr>
                <w:color w:val="auto"/>
                <w:szCs w:val="21"/>
                <w:vertAlign w:val="superscript"/>
              </w:rPr>
              <w:t>3</w:t>
            </w:r>
            <w:r>
              <w:rPr>
                <w:color w:val="auto"/>
                <w:szCs w:val="21"/>
              </w:rPr>
              <w:t>/min）、中央空调机组及冷却塔、锅炉（设置2台5.0t/h天然气锅炉，1用1备）</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default" w:eastAsia="宋体"/>
                <w:color w:val="auto"/>
                <w:szCs w:val="21"/>
                <w:lang w:val="en-US" w:eastAsia="zh-CN"/>
              </w:rPr>
            </w:pP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color w:val="auto"/>
                <w:szCs w:val="21"/>
              </w:rPr>
            </w:pPr>
            <w:r>
              <w:rPr>
                <w:color w:val="auto"/>
                <w:szCs w:val="21"/>
              </w:rPr>
              <w:t>变电站</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tabs>
                <w:tab w:val="left" w:pos="491"/>
              </w:tabs>
              <w:spacing w:line="320" w:lineRule="exact"/>
              <w:rPr>
                <w:color w:val="auto"/>
                <w:szCs w:val="21"/>
              </w:rPr>
            </w:pPr>
            <w:r>
              <w:rPr>
                <w:color w:val="auto"/>
                <w:szCs w:val="21"/>
              </w:rPr>
              <w:t>位于厂区东北角，建筑面积3249m</w:t>
            </w:r>
            <w:r>
              <w:rPr>
                <w:color w:val="auto"/>
                <w:szCs w:val="21"/>
                <w:vertAlign w:val="superscript"/>
              </w:rPr>
              <w:t>2</w:t>
            </w:r>
            <w:r>
              <w:rPr>
                <w:color w:val="auto"/>
                <w:szCs w:val="21"/>
              </w:rPr>
              <w:t>，项目装机容量为40000KVA</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widowControl/>
              <w:tabs>
                <w:tab w:val="left" w:pos="491"/>
              </w:tabs>
              <w:spacing w:line="320" w:lineRule="exact"/>
              <w:rPr>
                <w:color w:val="auto"/>
                <w:szCs w:val="21"/>
              </w:rPr>
            </w:pPr>
            <w:r>
              <w:rPr>
                <w:color w:val="auto"/>
                <w:szCs w:val="21"/>
              </w:rPr>
              <w:t>位于厂区东北角，建筑面积324 m</w:t>
            </w:r>
            <w:r>
              <w:rPr>
                <w:color w:val="auto"/>
                <w:szCs w:val="21"/>
                <w:vertAlign w:val="superscript"/>
              </w:rPr>
              <w:t>2</w:t>
            </w:r>
            <w:r>
              <w:rPr>
                <w:color w:val="auto"/>
                <w:szCs w:val="21"/>
              </w:rPr>
              <w:t>，项目装机容量为40000KVA</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rFonts w:hint="eastAsia"/>
                <w:color w:val="auto"/>
                <w:szCs w:val="21"/>
              </w:rPr>
            </w:pPr>
            <w:r>
              <w:rPr>
                <w:rFonts w:hint="eastAsia"/>
                <w:color w:val="auto"/>
                <w:szCs w:val="21"/>
              </w:rPr>
              <w:t>供汽</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tabs>
                <w:tab w:val="left" w:pos="491"/>
              </w:tabs>
              <w:spacing w:line="320" w:lineRule="exact"/>
              <w:jc w:val="center"/>
              <w:rPr>
                <w:rFonts w:hint="eastAsia"/>
                <w:color w:val="auto"/>
                <w:szCs w:val="21"/>
              </w:rPr>
            </w:pPr>
            <w:r>
              <w:rPr>
                <w:rFonts w:hint="eastAsia"/>
                <w:color w:val="auto"/>
                <w:szCs w:val="21"/>
              </w:rPr>
              <w:t>/</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widowControl/>
              <w:tabs>
                <w:tab w:val="left" w:pos="491"/>
              </w:tabs>
              <w:spacing w:line="320" w:lineRule="exact"/>
              <w:jc w:val="both"/>
              <w:rPr>
                <w:rFonts w:hint="default" w:eastAsia="宋体"/>
                <w:color w:val="auto"/>
                <w:szCs w:val="21"/>
                <w:lang w:val="en-US" w:eastAsia="zh-CN"/>
              </w:rPr>
            </w:pPr>
            <w:r>
              <w:rPr>
                <w:rFonts w:hint="eastAsia"/>
                <w:color w:val="auto"/>
                <w:szCs w:val="21"/>
              </w:rPr>
              <w:t>本项目蒸汽来自市政蒸汽管网，主要用于厂房采暖，年蒸汽用量为</w:t>
            </w:r>
            <w:r>
              <w:rPr>
                <w:rFonts w:hint="eastAsia"/>
                <w:color w:val="auto"/>
                <w:szCs w:val="21"/>
                <w:lang w:val="en-US" w:eastAsia="zh-CN"/>
              </w:rPr>
              <w:t>12950t</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jc w:val="center"/>
              <w:rPr>
                <w:color w:val="auto"/>
                <w:szCs w:val="21"/>
              </w:rPr>
            </w:pPr>
            <w:r>
              <w:rPr>
                <w:rFonts w:hint="eastAsia"/>
                <w:color w:val="auto"/>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widowControl/>
              <w:spacing w:line="320" w:lineRule="exact"/>
              <w:jc w:val="center"/>
              <w:rPr>
                <w:color w:val="auto"/>
                <w:szCs w:val="21"/>
              </w:rPr>
            </w:pPr>
            <w:r>
              <w:rPr>
                <w:color w:val="auto"/>
                <w:szCs w:val="21"/>
              </w:rPr>
              <w:t>供水</w:t>
            </w:r>
          </w:p>
          <w:p>
            <w:pPr>
              <w:widowControl/>
              <w:spacing w:line="320" w:lineRule="exact"/>
              <w:jc w:val="center"/>
              <w:rPr>
                <w:color w:val="auto"/>
                <w:szCs w:val="21"/>
              </w:rPr>
            </w:pPr>
            <w:r>
              <w:rPr>
                <w:color w:val="auto"/>
                <w:szCs w:val="21"/>
              </w:rPr>
              <w:t>工程</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pStyle w:val="59"/>
              <w:widowControl/>
              <w:spacing w:line="320" w:lineRule="exact"/>
              <w:rPr>
                <w:color w:val="auto"/>
                <w:szCs w:val="21"/>
              </w:rPr>
            </w:pPr>
            <w:r>
              <w:rPr>
                <w:color w:val="auto"/>
                <w:szCs w:val="21"/>
              </w:rPr>
              <w:t>供水来自合肥高新技术产业开发区市政自来水管网</w:t>
            </w:r>
          </w:p>
        </w:tc>
        <w:tc>
          <w:tcPr>
            <w:tcW w:w="5154" w:type="dxa"/>
            <w:tcBorders>
              <w:top w:val="single" w:color="000000" w:sz="4" w:space="0"/>
              <w:left w:val="single" w:color="auto" w:sz="4" w:space="0"/>
              <w:bottom w:val="single" w:color="000000" w:sz="4" w:space="0"/>
              <w:right w:val="single" w:color="000000" w:sz="4" w:space="0"/>
            </w:tcBorders>
            <w:noWrap w:val="0"/>
            <w:vAlign w:val="center"/>
          </w:tcPr>
          <w:p>
            <w:pPr>
              <w:pStyle w:val="59"/>
              <w:widowControl/>
              <w:spacing w:line="320" w:lineRule="exact"/>
              <w:rPr>
                <w:color w:val="auto"/>
                <w:szCs w:val="21"/>
              </w:rPr>
            </w:pPr>
            <w:r>
              <w:rPr>
                <w:color w:val="auto"/>
                <w:szCs w:val="21"/>
              </w:rPr>
              <w:t>供水来自合肥高新技术产业开发区市政自来水管网</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rPr>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 w:hRule="atLeast"/>
          <w:jc w:val="center"/>
        </w:trPr>
        <w:tc>
          <w:tcPr>
            <w:tcW w:w="818" w:type="dxa"/>
            <w:vMerge w:val="continue"/>
            <w:tcBorders>
              <w:top w:val="single" w:color="000000" w:sz="4" w:space="0"/>
              <w:left w:val="single" w:color="000000" w:sz="4" w:space="0"/>
              <w:bottom w:val="single" w:color="000000" w:sz="4" w:space="0"/>
              <w:right w:val="single" w:color="auto" w:sz="4" w:space="0"/>
            </w:tcBorders>
            <w:noWrap w:val="0"/>
            <w:vAlign w:val="center"/>
          </w:tcPr>
          <w:p>
            <w:pPr>
              <w:widowControl/>
              <w:adjustRightInd w:val="0"/>
              <w:spacing w:line="320" w:lineRule="exact"/>
              <w:jc w:val="left"/>
              <w:rPr>
                <w:color w:val="auto"/>
                <w:szCs w:val="21"/>
              </w:rPr>
            </w:pPr>
          </w:p>
        </w:tc>
        <w:tc>
          <w:tcPr>
            <w:tcW w:w="1302" w:type="dxa"/>
            <w:tcBorders>
              <w:top w:val="single" w:color="000000" w:sz="4" w:space="0"/>
              <w:left w:val="single" w:color="auto" w:sz="4" w:space="0"/>
              <w:right w:val="single" w:color="000000" w:sz="4" w:space="0"/>
            </w:tcBorders>
            <w:noWrap w:val="0"/>
            <w:vAlign w:val="center"/>
          </w:tcPr>
          <w:p>
            <w:pPr>
              <w:widowControl/>
              <w:spacing w:line="320" w:lineRule="exact"/>
              <w:jc w:val="center"/>
              <w:rPr>
                <w:color w:val="auto"/>
                <w:szCs w:val="21"/>
              </w:rPr>
            </w:pPr>
            <w:r>
              <w:rPr>
                <w:color w:val="auto"/>
                <w:szCs w:val="21"/>
              </w:rPr>
              <w:t>排水</w:t>
            </w:r>
          </w:p>
          <w:p>
            <w:pPr>
              <w:widowControl/>
              <w:spacing w:line="320" w:lineRule="exact"/>
              <w:jc w:val="center"/>
              <w:rPr>
                <w:color w:val="auto"/>
                <w:szCs w:val="21"/>
              </w:rPr>
            </w:pPr>
            <w:r>
              <w:rPr>
                <w:color w:val="auto"/>
                <w:szCs w:val="21"/>
              </w:rPr>
              <w:t>工程</w:t>
            </w:r>
          </w:p>
        </w:tc>
        <w:tc>
          <w:tcPr>
            <w:tcW w:w="5154" w:type="dxa"/>
            <w:tcBorders>
              <w:top w:val="single" w:color="000000" w:sz="4" w:space="0"/>
              <w:left w:val="single" w:color="000000" w:sz="4" w:space="0"/>
              <w:right w:val="single" w:color="auto" w:sz="4" w:space="0"/>
            </w:tcBorders>
            <w:noWrap w:val="0"/>
            <w:vAlign w:val="center"/>
          </w:tcPr>
          <w:p>
            <w:pPr>
              <w:widowControl/>
              <w:spacing w:line="320" w:lineRule="exact"/>
              <w:rPr>
                <w:color w:val="auto"/>
                <w:szCs w:val="21"/>
              </w:rPr>
            </w:pPr>
            <w:r>
              <w:rPr>
                <w:color w:val="auto"/>
                <w:szCs w:val="21"/>
              </w:rPr>
              <w:t>项目区排水采用雨、污分流制。厂区雨水排入合肥高新技术产业开发区的雨水管网，生产废水和生活污水预处理后经市政污水管网进入西部组团污水处理厂深度处理，处理达标后排入派河</w:t>
            </w:r>
          </w:p>
        </w:tc>
        <w:tc>
          <w:tcPr>
            <w:tcW w:w="5154" w:type="dxa"/>
            <w:tcBorders>
              <w:top w:val="single" w:color="000000" w:sz="4" w:space="0"/>
              <w:left w:val="single" w:color="auto" w:sz="4" w:space="0"/>
              <w:right w:val="single" w:color="000000" w:sz="4" w:space="0"/>
            </w:tcBorders>
            <w:noWrap w:val="0"/>
            <w:vAlign w:val="center"/>
          </w:tcPr>
          <w:p>
            <w:pPr>
              <w:widowControl/>
              <w:spacing w:line="320" w:lineRule="exact"/>
              <w:rPr>
                <w:color w:val="auto"/>
                <w:szCs w:val="21"/>
              </w:rPr>
            </w:pPr>
            <w:r>
              <w:rPr>
                <w:color w:val="auto"/>
                <w:szCs w:val="21"/>
              </w:rPr>
              <w:t>项目区排水采用雨、污分流制。厂区雨水排入合肥高新技术产业开发区的雨水管网，生产废水和生活污水预处理后经市政污水管网进入西部组团污水处理厂深度处理后排入派河</w:t>
            </w:r>
          </w:p>
        </w:tc>
        <w:tc>
          <w:tcPr>
            <w:tcW w:w="1779"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jc w:val="center"/>
              <w:rPr>
                <w:rFonts w:hint="eastAsia"/>
                <w:color w:val="auto"/>
                <w:szCs w:val="21"/>
              </w:rPr>
            </w:pPr>
            <w:r>
              <w:rPr>
                <w:color w:val="auto"/>
                <w:szCs w:val="21"/>
              </w:rPr>
              <w:t>依托原有，</w:t>
            </w: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39" w:hRule="atLeast"/>
          <w:jc w:val="center"/>
        </w:trPr>
        <w:tc>
          <w:tcPr>
            <w:tcW w:w="818" w:type="dxa"/>
            <w:vMerge w:val="restart"/>
            <w:tcBorders>
              <w:top w:val="single" w:color="000000" w:sz="4" w:space="0"/>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r>
              <w:rPr>
                <w:color w:val="auto"/>
                <w:szCs w:val="21"/>
              </w:rPr>
              <w:t>环保</w:t>
            </w:r>
          </w:p>
          <w:p>
            <w:pPr>
              <w:tabs>
                <w:tab w:val="left" w:pos="3255"/>
              </w:tabs>
              <w:adjustRightInd w:val="0"/>
              <w:spacing w:line="320" w:lineRule="exact"/>
              <w:jc w:val="center"/>
              <w:rPr>
                <w:color w:val="auto"/>
                <w:szCs w:val="21"/>
              </w:rPr>
            </w:pPr>
            <w:r>
              <w:rPr>
                <w:color w:val="auto"/>
                <w:szCs w:val="21"/>
              </w:rPr>
              <w:t>工程</w:t>
            </w:r>
          </w:p>
        </w:tc>
        <w:tc>
          <w:tcPr>
            <w:tcW w:w="1302" w:type="dxa"/>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b/>
                <w:bCs/>
                <w:color w:val="auto"/>
                <w:szCs w:val="21"/>
              </w:rPr>
              <w:t>污水</w:t>
            </w:r>
          </w:p>
          <w:p>
            <w:pPr>
              <w:tabs>
                <w:tab w:val="left" w:pos="3255"/>
              </w:tabs>
              <w:adjustRightInd w:val="0"/>
              <w:spacing w:line="320" w:lineRule="exact"/>
              <w:jc w:val="center"/>
              <w:rPr>
                <w:b/>
                <w:bCs/>
                <w:color w:val="auto"/>
                <w:szCs w:val="21"/>
              </w:rPr>
            </w:pPr>
            <w:r>
              <w:rPr>
                <w:b/>
                <w:bCs/>
                <w:color w:val="auto"/>
                <w:szCs w:val="21"/>
              </w:rPr>
              <w:t>处理</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pStyle w:val="57"/>
              <w:tabs>
                <w:tab w:val="left" w:pos="3255"/>
              </w:tabs>
              <w:adjustRightInd w:val="0"/>
              <w:snapToGrid/>
              <w:spacing w:line="320" w:lineRule="exact"/>
              <w:jc w:val="left"/>
              <w:rPr>
                <w:b/>
                <w:bCs/>
                <w:color w:val="auto"/>
                <w:sz w:val="21"/>
                <w:szCs w:val="21"/>
              </w:rPr>
            </w:pPr>
            <w:r>
              <w:rPr>
                <w:b/>
                <w:bCs/>
                <w:color w:val="auto"/>
                <w:sz w:val="21"/>
                <w:szCs w:val="21"/>
              </w:rPr>
              <w:t>生活污水、</w:t>
            </w:r>
            <w:r>
              <w:rPr>
                <w:rFonts w:hint="eastAsia"/>
                <w:b/>
                <w:bCs/>
                <w:color w:val="auto"/>
                <w:sz w:val="21"/>
                <w:szCs w:val="21"/>
              </w:rPr>
              <w:t>保洁废水、循环冷却系统排水及蒸汽冷凝水</w:t>
            </w:r>
            <w:r>
              <w:rPr>
                <w:b/>
                <w:bCs/>
                <w:color w:val="auto"/>
                <w:sz w:val="21"/>
                <w:szCs w:val="21"/>
              </w:rPr>
              <w:t>经一套</w:t>
            </w:r>
            <w:r>
              <w:rPr>
                <w:rFonts w:hint="eastAsia"/>
                <w:b/>
                <w:bCs/>
                <w:color w:val="auto"/>
                <w:sz w:val="21"/>
                <w:szCs w:val="21"/>
                <w:lang w:eastAsia="zh-CN"/>
              </w:rPr>
              <w:t>在</w:t>
            </w:r>
            <w:r>
              <w:rPr>
                <w:rFonts w:hint="eastAsia"/>
                <w:b/>
                <w:bCs/>
                <w:color w:val="auto"/>
                <w:sz w:val="21"/>
                <w:szCs w:val="21"/>
              </w:rPr>
              <w:t>建</w:t>
            </w:r>
            <w:r>
              <w:rPr>
                <w:b/>
                <w:bCs/>
                <w:color w:val="auto"/>
                <w:sz w:val="21"/>
                <w:szCs w:val="21"/>
              </w:rPr>
              <w:t>处理能力为</w:t>
            </w:r>
            <w:r>
              <w:rPr>
                <w:rFonts w:hint="eastAsia"/>
                <w:b/>
                <w:bCs/>
                <w:color w:val="auto"/>
                <w:sz w:val="21"/>
                <w:szCs w:val="21"/>
              </w:rPr>
              <w:t>1</w:t>
            </w:r>
            <w:r>
              <w:rPr>
                <w:b/>
                <w:bCs/>
                <w:color w:val="auto"/>
                <w:sz w:val="21"/>
                <w:szCs w:val="21"/>
              </w:rPr>
              <w:t>00</w:t>
            </w:r>
            <w:r>
              <w:rPr>
                <w:rFonts w:hint="eastAsia"/>
                <w:b/>
                <w:bCs/>
                <w:color w:val="auto"/>
                <w:sz w:val="21"/>
                <w:szCs w:val="21"/>
                <w:lang w:val="en-US" w:eastAsia="zh-CN"/>
              </w:rPr>
              <w:t>0</w:t>
            </w:r>
            <w:r>
              <w:rPr>
                <w:b/>
                <w:bCs/>
                <w:color w:val="auto"/>
                <w:sz w:val="21"/>
                <w:szCs w:val="21"/>
              </w:rPr>
              <w:t>m</w:t>
            </w:r>
            <w:r>
              <w:rPr>
                <w:b/>
                <w:bCs/>
                <w:color w:val="auto"/>
                <w:sz w:val="21"/>
                <w:szCs w:val="21"/>
                <w:vertAlign w:val="superscript"/>
              </w:rPr>
              <w:t>3</w:t>
            </w:r>
            <w:r>
              <w:rPr>
                <w:b/>
                <w:bCs/>
                <w:color w:val="auto"/>
                <w:sz w:val="21"/>
                <w:szCs w:val="21"/>
              </w:rPr>
              <w:t>/d的污水处理设施（</w:t>
            </w:r>
            <w:r>
              <w:rPr>
                <w:rFonts w:hint="eastAsia"/>
                <w:b/>
                <w:bCs/>
                <w:color w:val="auto"/>
                <w:sz w:val="21"/>
                <w:szCs w:val="21"/>
                <w:lang w:eastAsia="zh-CN"/>
              </w:rPr>
              <w:t>综合调节</w:t>
            </w:r>
            <w:r>
              <w:rPr>
                <w:rFonts w:hint="eastAsia"/>
                <w:b/>
                <w:bCs/>
                <w:color w:val="auto"/>
                <w:sz w:val="21"/>
                <w:szCs w:val="21"/>
                <w:lang w:val="en-US" w:eastAsia="zh-CN"/>
              </w:rPr>
              <w:t>+水解酸化+好氧+沉淀</w:t>
            </w:r>
            <w:r>
              <w:rPr>
                <w:b/>
                <w:bCs/>
                <w:color w:val="auto"/>
                <w:sz w:val="21"/>
                <w:szCs w:val="21"/>
              </w:rPr>
              <w:t>）处理</w:t>
            </w:r>
            <w:r>
              <w:rPr>
                <w:rFonts w:hint="eastAsia"/>
                <w:b/>
                <w:bCs/>
                <w:color w:val="auto"/>
                <w:sz w:val="21"/>
                <w:szCs w:val="21"/>
                <w:lang w:eastAsia="zh-CN"/>
              </w:rPr>
              <w:t>满足接管限值后</w:t>
            </w:r>
            <w:r>
              <w:rPr>
                <w:rFonts w:hint="eastAsia"/>
                <w:b/>
                <w:bCs/>
                <w:color w:val="auto"/>
                <w:sz w:val="21"/>
                <w:szCs w:val="21"/>
              </w:rPr>
              <w:t>经市政污水管网</w:t>
            </w:r>
            <w:r>
              <w:rPr>
                <w:b/>
                <w:bCs/>
                <w:color w:val="auto"/>
                <w:sz w:val="21"/>
                <w:szCs w:val="21"/>
              </w:rPr>
              <w:t>排入西部组团污水处理厂</w:t>
            </w:r>
            <w:r>
              <w:rPr>
                <w:rFonts w:hint="eastAsia"/>
                <w:b/>
                <w:bCs/>
                <w:color w:val="auto"/>
                <w:sz w:val="21"/>
                <w:szCs w:val="21"/>
              </w:rPr>
              <w:t>深度</w:t>
            </w:r>
            <w:r>
              <w:rPr>
                <w:b/>
                <w:bCs/>
                <w:color w:val="auto"/>
                <w:sz w:val="21"/>
                <w:szCs w:val="21"/>
              </w:rPr>
              <w:t>处理</w:t>
            </w:r>
            <w:r>
              <w:rPr>
                <w:rFonts w:hint="eastAsia"/>
                <w:b/>
                <w:bCs/>
                <w:color w:val="auto"/>
                <w:sz w:val="21"/>
                <w:szCs w:val="21"/>
              </w:rPr>
              <w:t>后排入派河；同时将废水总排口位置调整至厂区西南角。</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pStyle w:val="57"/>
              <w:tabs>
                <w:tab w:val="left" w:pos="3255"/>
              </w:tabs>
              <w:adjustRightInd w:val="0"/>
              <w:snapToGrid/>
              <w:spacing w:line="320" w:lineRule="exact"/>
              <w:jc w:val="left"/>
              <w:rPr>
                <w:rFonts w:hint="eastAsia"/>
                <w:b/>
                <w:bCs/>
                <w:color w:val="auto"/>
                <w:sz w:val="21"/>
                <w:szCs w:val="21"/>
              </w:rPr>
            </w:pPr>
            <w:r>
              <w:rPr>
                <w:b/>
                <w:bCs/>
                <w:color w:val="auto"/>
                <w:sz w:val="21"/>
                <w:szCs w:val="21"/>
              </w:rPr>
              <w:t>生活污水、</w:t>
            </w:r>
            <w:r>
              <w:rPr>
                <w:rFonts w:hint="eastAsia"/>
                <w:b/>
                <w:bCs/>
                <w:color w:val="auto"/>
                <w:sz w:val="21"/>
                <w:szCs w:val="21"/>
              </w:rPr>
              <w:t>保洁废水、循环冷却系统排水及蒸汽冷凝水</w:t>
            </w:r>
            <w:r>
              <w:rPr>
                <w:b/>
                <w:bCs/>
                <w:color w:val="auto"/>
                <w:sz w:val="21"/>
                <w:szCs w:val="21"/>
              </w:rPr>
              <w:t>经一套</w:t>
            </w:r>
            <w:r>
              <w:rPr>
                <w:rFonts w:hint="eastAsia"/>
                <w:b/>
                <w:bCs/>
                <w:color w:val="auto"/>
                <w:sz w:val="21"/>
                <w:szCs w:val="21"/>
                <w:lang w:eastAsia="zh-CN"/>
              </w:rPr>
              <w:t>在</w:t>
            </w:r>
            <w:r>
              <w:rPr>
                <w:rFonts w:hint="eastAsia"/>
                <w:b/>
                <w:bCs/>
                <w:color w:val="auto"/>
                <w:sz w:val="21"/>
                <w:szCs w:val="21"/>
              </w:rPr>
              <w:t>建</w:t>
            </w:r>
            <w:r>
              <w:rPr>
                <w:b/>
                <w:bCs/>
                <w:color w:val="auto"/>
                <w:sz w:val="21"/>
                <w:szCs w:val="21"/>
              </w:rPr>
              <w:t>处理能力为</w:t>
            </w:r>
            <w:r>
              <w:rPr>
                <w:rFonts w:hint="eastAsia"/>
                <w:b/>
                <w:bCs/>
                <w:color w:val="auto"/>
                <w:sz w:val="21"/>
                <w:szCs w:val="21"/>
              </w:rPr>
              <w:t>1</w:t>
            </w:r>
            <w:r>
              <w:rPr>
                <w:b/>
                <w:bCs/>
                <w:color w:val="auto"/>
                <w:sz w:val="21"/>
                <w:szCs w:val="21"/>
              </w:rPr>
              <w:t>00</w:t>
            </w:r>
            <w:r>
              <w:rPr>
                <w:rFonts w:hint="eastAsia"/>
                <w:b/>
                <w:bCs/>
                <w:color w:val="auto"/>
                <w:sz w:val="21"/>
                <w:szCs w:val="21"/>
                <w:lang w:val="en-US" w:eastAsia="zh-CN"/>
              </w:rPr>
              <w:t>0</w:t>
            </w:r>
            <w:r>
              <w:rPr>
                <w:b/>
                <w:bCs/>
                <w:color w:val="auto"/>
                <w:sz w:val="21"/>
                <w:szCs w:val="21"/>
              </w:rPr>
              <w:t>m</w:t>
            </w:r>
            <w:r>
              <w:rPr>
                <w:b/>
                <w:bCs/>
                <w:color w:val="auto"/>
                <w:sz w:val="21"/>
                <w:szCs w:val="21"/>
                <w:vertAlign w:val="superscript"/>
              </w:rPr>
              <w:t>3</w:t>
            </w:r>
            <w:r>
              <w:rPr>
                <w:b/>
                <w:bCs/>
                <w:color w:val="auto"/>
                <w:sz w:val="21"/>
                <w:szCs w:val="21"/>
              </w:rPr>
              <w:t>/d的污水处理设施（</w:t>
            </w:r>
            <w:r>
              <w:rPr>
                <w:rFonts w:hint="eastAsia"/>
                <w:b/>
                <w:bCs/>
                <w:color w:val="auto"/>
                <w:sz w:val="21"/>
                <w:szCs w:val="21"/>
                <w:lang w:eastAsia="zh-CN"/>
              </w:rPr>
              <w:t>综合调节</w:t>
            </w:r>
            <w:r>
              <w:rPr>
                <w:rFonts w:hint="eastAsia"/>
                <w:b/>
                <w:bCs/>
                <w:color w:val="auto"/>
                <w:sz w:val="21"/>
                <w:szCs w:val="21"/>
                <w:lang w:val="en-US" w:eastAsia="zh-CN"/>
              </w:rPr>
              <w:t>+水解酸化+好氧+沉淀</w:t>
            </w:r>
            <w:r>
              <w:rPr>
                <w:b/>
                <w:bCs/>
                <w:color w:val="auto"/>
                <w:sz w:val="21"/>
                <w:szCs w:val="21"/>
              </w:rPr>
              <w:t>）处理</w:t>
            </w:r>
            <w:r>
              <w:rPr>
                <w:rFonts w:hint="eastAsia"/>
                <w:b/>
                <w:bCs/>
                <w:color w:val="auto"/>
                <w:sz w:val="21"/>
                <w:szCs w:val="21"/>
                <w:lang w:eastAsia="zh-CN"/>
              </w:rPr>
              <w:t>满足接管限值后</w:t>
            </w:r>
            <w:r>
              <w:rPr>
                <w:rFonts w:hint="eastAsia"/>
                <w:b/>
                <w:bCs/>
                <w:color w:val="auto"/>
                <w:sz w:val="21"/>
                <w:szCs w:val="21"/>
              </w:rPr>
              <w:t>经市政污水管网</w:t>
            </w:r>
            <w:r>
              <w:rPr>
                <w:b/>
                <w:bCs/>
                <w:color w:val="auto"/>
                <w:sz w:val="21"/>
                <w:szCs w:val="21"/>
              </w:rPr>
              <w:t>排入西部组团污水处理厂</w:t>
            </w:r>
            <w:r>
              <w:rPr>
                <w:rFonts w:hint="eastAsia"/>
                <w:b/>
                <w:bCs/>
                <w:color w:val="auto"/>
                <w:sz w:val="21"/>
                <w:szCs w:val="21"/>
              </w:rPr>
              <w:t>深度</w:t>
            </w:r>
            <w:r>
              <w:rPr>
                <w:b/>
                <w:bCs/>
                <w:color w:val="auto"/>
                <w:sz w:val="21"/>
                <w:szCs w:val="21"/>
              </w:rPr>
              <w:t>处理</w:t>
            </w:r>
            <w:r>
              <w:rPr>
                <w:rFonts w:hint="eastAsia"/>
                <w:b/>
                <w:bCs/>
                <w:color w:val="auto"/>
                <w:sz w:val="21"/>
                <w:szCs w:val="21"/>
              </w:rPr>
              <w:t>后排入派河。</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pStyle w:val="57"/>
              <w:tabs>
                <w:tab w:val="left" w:pos="3255"/>
              </w:tabs>
              <w:adjustRightInd w:val="0"/>
              <w:snapToGrid/>
              <w:spacing w:line="320" w:lineRule="exact"/>
              <w:jc w:val="both"/>
              <w:rPr>
                <w:rFonts w:hint="eastAsia" w:eastAsia="宋体"/>
                <w:b/>
                <w:bCs/>
                <w:color w:val="auto"/>
                <w:sz w:val="21"/>
                <w:szCs w:val="21"/>
                <w:lang w:eastAsia="zh-CN"/>
              </w:rPr>
            </w:pPr>
            <w:r>
              <w:rPr>
                <w:rFonts w:hint="eastAsia"/>
                <w:b/>
                <w:bCs/>
                <w:color w:val="auto"/>
                <w:sz w:val="21"/>
                <w:szCs w:val="21"/>
                <w:lang w:eastAsia="zh-CN"/>
              </w:rPr>
              <w:t>依托，本次扩建不变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restart"/>
            <w:tcBorders>
              <w:top w:val="single" w:color="000000" w:sz="4" w:space="0"/>
              <w:left w:val="single" w:color="auto" w:sz="4" w:space="0"/>
              <w:right w:val="single" w:color="000000" w:sz="4" w:space="0"/>
            </w:tcBorders>
            <w:noWrap w:val="0"/>
            <w:vAlign w:val="center"/>
          </w:tcPr>
          <w:p>
            <w:pPr>
              <w:tabs>
                <w:tab w:val="left" w:pos="3255"/>
              </w:tabs>
              <w:adjustRightInd w:val="0"/>
              <w:spacing w:line="320" w:lineRule="exact"/>
              <w:jc w:val="center"/>
              <w:rPr>
                <w:b/>
                <w:bCs/>
                <w:color w:val="auto"/>
                <w:szCs w:val="21"/>
              </w:rPr>
            </w:pPr>
            <w:r>
              <w:rPr>
                <w:b/>
                <w:bCs/>
                <w:color w:val="auto"/>
                <w:szCs w:val="21"/>
              </w:rPr>
              <w:t>废气</w:t>
            </w:r>
          </w:p>
          <w:p>
            <w:pPr>
              <w:tabs>
                <w:tab w:val="left" w:pos="3255"/>
              </w:tabs>
              <w:adjustRightInd w:val="0"/>
              <w:spacing w:line="320" w:lineRule="exact"/>
              <w:jc w:val="center"/>
              <w:rPr>
                <w:b/>
                <w:bCs/>
                <w:color w:val="auto"/>
                <w:szCs w:val="21"/>
              </w:rPr>
            </w:pPr>
            <w:r>
              <w:rPr>
                <w:b/>
                <w:bCs/>
                <w:color w:val="auto"/>
                <w:szCs w:val="21"/>
              </w:rPr>
              <w:t>治理</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rPr>
                <w:rFonts w:hint="eastAsia"/>
                <w:b/>
                <w:bCs/>
                <w:color w:val="auto"/>
                <w:szCs w:val="21"/>
              </w:rPr>
            </w:pPr>
            <w:r>
              <w:rPr>
                <w:rFonts w:hint="eastAsia"/>
                <w:b/>
                <w:bCs/>
                <w:color w:val="auto"/>
                <w:szCs w:val="21"/>
              </w:rPr>
              <w:t>/</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rPr>
                <w:b/>
                <w:bCs/>
                <w:color w:val="auto"/>
                <w:szCs w:val="21"/>
              </w:rPr>
            </w:pPr>
            <w:r>
              <w:rPr>
                <w:rFonts w:hint="eastAsia"/>
                <w:b/>
                <w:bCs/>
                <w:color w:val="auto"/>
                <w:szCs w:val="21"/>
              </w:rPr>
              <w:t>智慧工厂(</w:t>
            </w:r>
            <w:r>
              <w:rPr>
                <w:rFonts w:hint="eastAsia"/>
                <w:b/>
                <w:bCs/>
                <w:color w:val="auto"/>
                <w:szCs w:val="21"/>
                <w:lang w:eastAsia="zh-CN"/>
              </w:rPr>
              <w:t>二</w:t>
            </w:r>
            <w:r>
              <w:rPr>
                <w:rFonts w:hint="eastAsia"/>
                <w:b/>
                <w:bCs/>
                <w:color w:val="auto"/>
                <w:szCs w:val="21"/>
              </w:rPr>
              <w:t>期)</w:t>
            </w:r>
            <w:r>
              <w:rPr>
                <w:rFonts w:hint="eastAsia"/>
                <w:b/>
                <w:bCs/>
                <w:color w:val="auto"/>
                <w:szCs w:val="21"/>
                <w:lang w:eastAsia="zh-CN"/>
              </w:rPr>
              <w:t>自动</w:t>
            </w:r>
            <w:r>
              <w:rPr>
                <w:b/>
                <w:bCs/>
                <w:color w:val="auto"/>
                <w:szCs w:val="21"/>
              </w:rPr>
              <w:t>划焊工序</w:t>
            </w:r>
            <w:r>
              <w:rPr>
                <w:rFonts w:hint="eastAsia"/>
                <w:b/>
                <w:bCs/>
                <w:color w:val="auto"/>
                <w:szCs w:val="21"/>
              </w:rPr>
              <w:t>废气</w:t>
            </w:r>
            <w:r>
              <w:rPr>
                <w:b/>
                <w:bCs/>
                <w:color w:val="auto"/>
                <w:szCs w:val="21"/>
              </w:rPr>
              <w:t>通过经密闭设备顶部风管收集</w:t>
            </w:r>
            <w:r>
              <w:rPr>
                <w:rFonts w:hint="eastAsia"/>
                <w:b/>
                <w:bCs/>
                <w:color w:val="auto"/>
                <w:szCs w:val="21"/>
              </w:rPr>
              <w:t>后经两套“</w:t>
            </w:r>
            <w:r>
              <w:rPr>
                <w:rFonts w:hint="eastAsia"/>
                <w:b/>
                <w:bCs/>
                <w:color w:val="auto"/>
                <w:szCs w:val="21"/>
                <w:lang w:eastAsia="zh-CN"/>
              </w:rPr>
              <w:t>袋式除尘</w:t>
            </w:r>
            <w:r>
              <w:rPr>
                <w:rFonts w:hint="eastAsia"/>
                <w:b/>
                <w:bCs/>
                <w:color w:val="auto"/>
                <w:szCs w:val="21"/>
              </w:rPr>
              <w:t>+二级活性炭吸附”处理后</w:t>
            </w:r>
            <w:r>
              <w:rPr>
                <w:rFonts w:hint="eastAsia"/>
                <w:b/>
                <w:bCs/>
                <w:color w:val="auto"/>
                <w:szCs w:val="21"/>
                <w:lang w:eastAsia="zh-CN"/>
              </w:rPr>
              <w:t>分别</w:t>
            </w:r>
            <w:r>
              <w:rPr>
                <w:rFonts w:hint="eastAsia"/>
                <w:b/>
                <w:bCs/>
                <w:color w:val="auto"/>
                <w:szCs w:val="21"/>
              </w:rPr>
              <w:t>通过两根23m高排气筒（DA01</w:t>
            </w:r>
            <w:r>
              <w:rPr>
                <w:rFonts w:hint="eastAsia"/>
                <w:b/>
                <w:bCs/>
                <w:color w:val="auto"/>
                <w:szCs w:val="21"/>
                <w:lang w:val="en-US" w:eastAsia="zh-CN"/>
              </w:rPr>
              <w:t>7</w:t>
            </w:r>
            <w:r>
              <w:rPr>
                <w:rFonts w:hint="eastAsia"/>
                <w:b/>
                <w:bCs/>
                <w:color w:val="auto"/>
                <w:szCs w:val="21"/>
              </w:rPr>
              <w:t>、DA01</w:t>
            </w:r>
            <w:r>
              <w:rPr>
                <w:rFonts w:hint="eastAsia"/>
                <w:b/>
                <w:bCs/>
                <w:color w:val="auto"/>
                <w:szCs w:val="21"/>
                <w:lang w:val="en-US" w:eastAsia="zh-CN"/>
              </w:rPr>
              <w:t>8</w:t>
            </w:r>
            <w:r>
              <w:rPr>
                <w:rFonts w:hint="eastAsia"/>
                <w:b/>
                <w:bCs/>
                <w:color w:val="auto"/>
                <w:szCs w:val="21"/>
              </w:rPr>
              <w:t>）排放</w:t>
            </w:r>
            <w:r>
              <w:rPr>
                <w:rFonts w:hint="eastAsia"/>
                <w:b/>
                <w:bCs/>
                <w:color w:val="auto"/>
                <w:szCs w:val="21"/>
                <w:lang w:eastAsia="zh-CN"/>
              </w:rPr>
              <w:t>；</w:t>
            </w:r>
            <w:r>
              <w:rPr>
                <w:rFonts w:hint="eastAsia"/>
                <w:b/>
                <w:bCs/>
                <w:color w:val="auto"/>
                <w:szCs w:val="21"/>
              </w:rPr>
              <w:t>层压废气经设备风管收集后经一套“静电除油+二级活性炭吸附”处理后通过1根23m高排气筒（DA01</w:t>
            </w:r>
            <w:r>
              <w:rPr>
                <w:rFonts w:hint="eastAsia"/>
                <w:b/>
                <w:bCs/>
                <w:color w:val="auto"/>
                <w:szCs w:val="21"/>
                <w:lang w:val="en-US" w:eastAsia="zh-CN"/>
              </w:rPr>
              <w:t>9</w:t>
            </w:r>
            <w:r>
              <w:rPr>
                <w:rFonts w:hint="eastAsia"/>
                <w:b/>
                <w:bCs/>
                <w:color w:val="auto"/>
                <w:szCs w:val="21"/>
              </w:rPr>
              <w:t>）排放</w:t>
            </w:r>
            <w:r>
              <w:rPr>
                <w:rFonts w:hint="eastAsia"/>
                <w:b/>
                <w:bCs/>
                <w:color w:val="auto"/>
                <w:szCs w:val="21"/>
                <w:lang w:eastAsia="zh-CN"/>
              </w:rPr>
              <w:t>；</w:t>
            </w:r>
            <w:r>
              <w:rPr>
                <w:b/>
                <w:bCs/>
                <w:color w:val="auto"/>
                <w:szCs w:val="21"/>
              </w:rPr>
              <w:t>装框固化</w:t>
            </w:r>
            <w:r>
              <w:rPr>
                <w:rFonts w:hint="eastAsia"/>
                <w:b/>
                <w:bCs/>
                <w:color w:val="auto"/>
                <w:szCs w:val="21"/>
              </w:rPr>
              <w:t>、接线盒焊接及</w:t>
            </w:r>
            <w:r>
              <w:rPr>
                <w:rFonts w:hint="eastAsia"/>
                <w:b/>
                <w:bCs/>
                <w:color w:val="auto"/>
                <w:szCs w:val="21"/>
                <w:lang w:eastAsia="zh-CN"/>
              </w:rPr>
              <w:t>酒精擦拭清洗</w:t>
            </w:r>
            <w:r>
              <w:rPr>
                <w:b/>
                <w:bCs/>
                <w:color w:val="auto"/>
                <w:szCs w:val="21"/>
              </w:rPr>
              <w:t>过程产生的有机废气经密闭</w:t>
            </w:r>
            <w:r>
              <w:rPr>
                <w:rFonts w:hint="eastAsia"/>
                <w:b/>
                <w:bCs/>
                <w:color w:val="auto"/>
                <w:szCs w:val="21"/>
              </w:rPr>
              <w:t>设备/房间收集后</w:t>
            </w:r>
            <w:r>
              <w:rPr>
                <w:b/>
                <w:bCs/>
                <w:color w:val="auto"/>
                <w:szCs w:val="21"/>
              </w:rPr>
              <w:t>汇总经一套</w:t>
            </w:r>
            <w:r>
              <w:rPr>
                <w:rFonts w:hint="eastAsia"/>
                <w:b/>
                <w:bCs/>
                <w:color w:val="auto"/>
                <w:szCs w:val="21"/>
              </w:rPr>
              <w:t>“</w:t>
            </w:r>
            <w:r>
              <w:rPr>
                <w:rFonts w:hint="eastAsia"/>
                <w:b/>
                <w:bCs/>
                <w:color w:val="auto"/>
                <w:szCs w:val="21"/>
                <w:lang w:eastAsia="zh-CN"/>
              </w:rPr>
              <w:t>袋式除尘</w:t>
            </w:r>
            <w:r>
              <w:rPr>
                <w:rFonts w:hint="eastAsia"/>
                <w:b/>
                <w:bCs/>
                <w:color w:val="auto"/>
                <w:szCs w:val="21"/>
              </w:rPr>
              <w:t>+</w:t>
            </w:r>
            <w:r>
              <w:rPr>
                <w:b/>
                <w:bCs/>
                <w:color w:val="auto"/>
                <w:szCs w:val="21"/>
              </w:rPr>
              <w:t>二级活性炭吸附</w:t>
            </w:r>
            <w:r>
              <w:rPr>
                <w:rFonts w:hint="eastAsia"/>
                <w:b/>
                <w:bCs/>
                <w:color w:val="auto"/>
                <w:szCs w:val="21"/>
              </w:rPr>
              <w:t>”</w:t>
            </w:r>
            <w:r>
              <w:rPr>
                <w:b/>
                <w:bCs/>
                <w:color w:val="auto"/>
                <w:szCs w:val="21"/>
              </w:rPr>
              <w:t>处理后通过1根</w:t>
            </w:r>
            <w:r>
              <w:rPr>
                <w:rFonts w:hint="eastAsia"/>
                <w:b/>
                <w:bCs/>
                <w:color w:val="auto"/>
                <w:szCs w:val="21"/>
              </w:rPr>
              <w:t>2</w:t>
            </w:r>
            <w:r>
              <w:rPr>
                <w:rFonts w:hint="eastAsia"/>
                <w:b/>
                <w:bCs/>
                <w:color w:val="auto"/>
                <w:szCs w:val="21"/>
                <w:lang w:val="en-US" w:eastAsia="zh-CN"/>
              </w:rPr>
              <w:t>3</w:t>
            </w:r>
            <w:r>
              <w:rPr>
                <w:b/>
                <w:bCs/>
                <w:color w:val="auto"/>
                <w:szCs w:val="21"/>
              </w:rPr>
              <w:t>m高排气筒（DA0</w:t>
            </w:r>
            <w:r>
              <w:rPr>
                <w:rFonts w:hint="eastAsia"/>
                <w:b/>
                <w:bCs/>
                <w:color w:val="auto"/>
                <w:szCs w:val="21"/>
                <w:lang w:val="en-US" w:eastAsia="zh-CN"/>
              </w:rPr>
              <w:t>20</w:t>
            </w:r>
            <w:r>
              <w:rPr>
                <w:b/>
                <w:bCs/>
                <w:color w:val="auto"/>
                <w:szCs w:val="21"/>
              </w:rPr>
              <w:t>）</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rFonts w:hint="eastAsia" w:eastAsia="宋体"/>
                <w:b/>
                <w:bCs/>
                <w:color w:val="auto"/>
                <w:szCs w:val="21"/>
                <w:lang w:eastAsia="zh-CN"/>
              </w:rPr>
            </w:pPr>
            <w:r>
              <w:rPr>
                <w:rFonts w:hint="eastAsia"/>
                <w:b/>
                <w:bCs/>
                <w:color w:val="auto"/>
                <w:szCs w:val="21"/>
                <w:lang w:eastAsia="zh-CN"/>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6"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b/>
                <w:bCs/>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jc w:val="center"/>
              <w:rPr>
                <w:rFonts w:hint="eastAsia"/>
                <w:b w:val="0"/>
                <w:bCs w:val="0"/>
                <w:color w:val="auto"/>
                <w:szCs w:val="21"/>
              </w:rPr>
            </w:pPr>
            <w:r>
              <w:rPr>
                <w:rFonts w:hint="eastAsia"/>
                <w:b w:val="0"/>
                <w:bCs w:val="0"/>
                <w:color w:val="auto"/>
                <w:szCs w:val="21"/>
              </w:rPr>
              <w:t>智慧工厂(一期)</w:t>
            </w:r>
            <w:r>
              <w:rPr>
                <w:rFonts w:hint="eastAsia"/>
                <w:b w:val="0"/>
                <w:bCs w:val="0"/>
                <w:color w:val="auto"/>
                <w:szCs w:val="21"/>
                <w:lang w:eastAsia="zh-CN"/>
              </w:rPr>
              <w:t>自动</w:t>
            </w:r>
            <w:r>
              <w:rPr>
                <w:b w:val="0"/>
                <w:bCs w:val="0"/>
                <w:color w:val="auto"/>
                <w:szCs w:val="21"/>
              </w:rPr>
              <w:t>划焊工序</w:t>
            </w:r>
            <w:r>
              <w:rPr>
                <w:rFonts w:hint="eastAsia"/>
                <w:b w:val="0"/>
                <w:bCs w:val="0"/>
                <w:color w:val="auto"/>
                <w:szCs w:val="21"/>
              </w:rPr>
              <w:t>废气</w:t>
            </w:r>
            <w:r>
              <w:rPr>
                <w:b w:val="0"/>
                <w:bCs w:val="0"/>
                <w:color w:val="auto"/>
                <w:szCs w:val="21"/>
              </w:rPr>
              <w:t>通过经密闭设备顶部风管收集</w:t>
            </w:r>
            <w:r>
              <w:rPr>
                <w:rFonts w:hint="eastAsia"/>
                <w:b w:val="0"/>
                <w:bCs w:val="0"/>
                <w:color w:val="auto"/>
                <w:szCs w:val="21"/>
              </w:rPr>
              <w:t>后经两套“</w:t>
            </w:r>
            <w:r>
              <w:rPr>
                <w:rFonts w:hint="eastAsia"/>
                <w:b w:val="0"/>
                <w:bCs w:val="0"/>
                <w:color w:val="auto"/>
                <w:szCs w:val="21"/>
                <w:lang w:eastAsia="zh-CN"/>
              </w:rPr>
              <w:t>袋式除尘</w:t>
            </w:r>
            <w:r>
              <w:rPr>
                <w:rFonts w:hint="eastAsia"/>
                <w:b w:val="0"/>
                <w:bCs w:val="0"/>
                <w:color w:val="auto"/>
                <w:szCs w:val="21"/>
              </w:rPr>
              <w:t>+二级活性炭吸附”处理后</w:t>
            </w:r>
            <w:r>
              <w:rPr>
                <w:rFonts w:hint="eastAsia"/>
                <w:b w:val="0"/>
                <w:bCs w:val="0"/>
                <w:color w:val="auto"/>
                <w:szCs w:val="21"/>
                <w:lang w:eastAsia="zh-CN"/>
              </w:rPr>
              <w:t>分别</w:t>
            </w:r>
            <w:r>
              <w:rPr>
                <w:rFonts w:hint="eastAsia"/>
                <w:b w:val="0"/>
                <w:bCs w:val="0"/>
                <w:color w:val="auto"/>
                <w:szCs w:val="21"/>
              </w:rPr>
              <w:t>通过两根23m高排气筒（DA01</w:t>
            </w:r>
            <w:r>
              <w:rPr>
                <w:rFonts w:hint="eastAsia"/>
                <w:b w:val="0"/>
                <w:bCs w:val="0"/>
                <w:color w:val="auto"/>
                <w:szCs w:val="21"/>
                <w:lang w:val="en-US" w:eastAsia="zh-CN"/>
              </w:rPr>
              <w:t>3</w:t>
            </w:r>
            <w:r>
              <w:rPr>
                <w:rFonts w:hint="eastAsia"/>
                <w:b w:val="0"/>
                <w:bCs w:val="0"/>
                <w:color w:val="auto"/>
                <w:szCs w:val="21"/>
              </w:rPr>
              <w:t>、DA01</w:t>
            </w:r>
            <w:r>
              <w:rPr>
                <w:rFonts w:hint="eastAsia"/>
                <w:b w:val="0"/>
                <w:bCs w:val="0"/>
                <w:color w:val="auto"/>
                <w:szCs w:val="21"/>
                <w:lang w:val="en-US" w:eastAsia="zh-CN"/>
              </w:rPr>
              <w:t>4</w:t>
            </w:r>
            <w:r>
              <w:rPr>
                <w:rFonts w:hint="eastAsia"/>
                <w:b w:val="0"/>
                <w:bCs w:val="0"/>
                <w:color w:val="auto"/>
                <w:szCs w:val="21"/>
              </w:rPr>
              <w:t>）排放</w:t>
            </w:r>
            <w:r>
              <w:rPr>
                <w:rFonts w:hint="eastAsia"/>
                <w:b w:val="0"/>
                <w:bCs w:val="0"/>
                <w:color w:val="auto"/>
                <w:szCs w:val="21"/>
                <w:lang w:eastAsia="zh-CN"/>
              </w:rPr>
              <w:t>；</w:t>
            </w:r>
            <w:r>
              <w:rPr>
                <w:rFonts w:hint="eastAsia"/>
                <w:b w:val="0"/>
                <w:bCs w:val="0"/>
                <w:color w:val="auto"/>
                <w:szCs w:val="21"/>
              </w:rPr>
              <w:t>层压废气经设备风管收集后经一套“静电除油+二级活性炭吸附”处理后通过1根23m高排气筒（DA01</w:t>
            </w:r>
            <w:r>
              <w:rPr>
                <w:rFonts w:hint="eastAsia"/>
                <w:b w:val="0"/>
                <w:bCs w:val="0"/>
                <w:color w:val="auto"/>
                <w:szCs w:val="21"/>
                <w:lang w:val="en-US" w:eastAsia="zh-CN"/>
              </w:rPr>
              <w:t>5</w:t>
            </w:r>
            <w:r>
              <w:rPr>
                <w:rFonts w:hint="eastAsia"/>
                <w:b w:val="0"/>
                <w:bCs w:val="0"/>
                <w:color w:val="auto"/>
                <w:szCs w:val="21"/>
              </w:rPr>
              <w:t>）排放</w:t>
            </w:r>
            <w:r>
              <w:rPr>
                <w:rFonts w:hint="eastAsia"/>
                <w:b w:val="0"/>
                <w:bCs w:val="0"/>
                <w:color w:val="auto"/>
                <w:szCs w:val="21"/>
                <w:lang w:eastAsia="zh-CN"/>
              </w:rPr>
              <w:t>；</w:t>
            </w:r>
            <w:r>
              <w:rPr>
                <w:b w:val="0"/>
                <w:bCs w:val="0"/>
                <w:color w:val="auto"/>
                <w:szCs w:val="21"/>
              </w:rPr>
              <w:t>装框固化</w:t>
            </w:r>
            <w:r>
              <w:rPr>
                <w:rFonts w:hint="eastAsia"/>
                <w:b w:val="0"/>
                <w:bCs w:val="0"/>
                <w:color w:val="auto"/>
                <w:szCs w:val="21"/>
              </w:rPr>
              <w:t>、接线盒焊接及</w:t>
            </w:r>
            <w:r>
              <w:rPr>
                <w:rFonts w:hint="eastAsia"/>
                <w:b w:val="0"/>
                <w:bCs w:val="0"/>
                <w:color w:val="auto"/>
                <w:szCs w:val="21"/>
                <w:lang w:eastAsia="zh-CN"/>
              </w:rPr>
              <w:t>酒精擦拭清洗</w:t>
            </w:r>
            <w:r>
              <w:rPr>
                <w:b w:val="0"/>
                <w:bCs w:val="0"/>
                <w:color w:val="auto"/>
                <w:szCs w:val="21"/>
              </w:rPr>
              <w:t>过程产生的有机废气经密闭</w:t>
            </w:r>
            <w:r>
              <w:rPr>
                <w:rFonts w:hint="eastAsia"/>
                <w:b w:val="0"/>
                <w:bCs w:val="0"/>
                <w:color w:val="auto"/>
                <w:szCs w:val="21"/>
              </w:rPr>
              <w:t>设备/房间收集后</w:t>
            </w:r>
            <w:r>
              <w:rPr>
                <w:b w:val="0"/>
                <w:bCs w:val="0"/>
                <w:color w:val="auto"/>
                <w:szCs w:val="21"/>
              </w:rPr>
              <w:t>汇总经一套</w:t>
            </w:r>
            <w:r>
              <w:rPr>
                <w:rFonts w:hint="eastAsia"/>
                <w:b w:val="0"/>
                <w:bCs w:val="0"/>
                <w:color w:val="auto"/>
                <w:szCs w:val="21"/>
              </w:rPr>
              <w:t>“</w:t>
            </w:r>
            <w:r>
              <w:rPr>
                <w:rFonts w:hint="eastAsia"/>
                <w:b w:val="0"/>
                <w:bCs w:val="0"/>
                <w:color w:val="auto"/>
                <w:szCs w:val="21"/>
                <w:lang w:eastAsia="zh-CN"/>
              </w:rPr>
              <w:t>袋式除尘</w:t>
            </w:r>
            <w:r>
              <w:rPr>
                <w:rFonts w:hint="eastAsia"/>
                <w:b w:val="0"/>
                <w:bCs w:val="0"/>
                <w:color w:val="auto"/>
                <w:szCs w:val="21"/>
              </w:rPr>
              <w:t>+</w:t>
            </w:r>
            <w:r>
              <w:rPr>
                <w:b w:val="0"/>
                <w:bCs w:val="0"/>
                <w:color w:val="auto"/>
                <w:szCs w:val="21"/>
              </w:rPr>
              <w:t>二级活性炭吸附</w:t>
            </w:r>
            <w:r>
              <w:rPr>
                <w:rFonts w:hint="eastAsia"/>
                <w:b w:val="0"/>
                <w:bCs w:val="0"/>
                <w:color w:val="auto"/>
                <w:szCs w:val="21"/>
              </w:rPr>
              <w:t>”</w:t>
            </w:r>
            <w:r>
              <w:rPr>
                <w:b w:val="0"/>
                <w:bCs w:val="0"/>
                <w:color w:val="auto"/>
                <w:szCs w:val="21"/>
              </w:rPr>
              <w:t>处理后通过1根</w:t>
            </w:r>
            <w:r>
              <w:rPr>
                <w:rFonts w:hint="eastAsia"/>
                <w:b w:val="0"/>
                <w:bCs w:val="0"/>
                <w:color w:val="auto"/>
                <w:szCs w:val="21"/>
              </w:rPr>
              <w:t>2</w:t>
            </w:r>
            <w:r>
              <w:rPr>
                <w:rFonts w:hint="eastAsia"/>
                <w:b w:val="0"/>
                <w:bCs w:val="0"/>
                <w:color w:val="auto"/>
                <w:szCs w:val="21"/>
                <w:lang w:val="en-US" w:eastAsia="zh-CN"/>
              </w:rPr>
              <w:t>3</w:t>
            </w:r>
            <w:r>
              <w:rPr>
                <w:b w:val="0"/>
                <w:bCs w:val="0"/>
                <w:color w:val="auto"/>
                <w:szCs w:val="21"/>
              </w:rPr>
              <w:t>m高排气筒（DA0</w:t>
            </w:r>
            <w:r>
              <w:rPr>
                <w:rFonts w:hint="eastAsia"/>
                <w:b w:val="0"/>
                <w:bCs w:val="0"/>
                <w:color w:val="auto"/>
                <w:szCs w:val="21"/>
              </w:rPr>
              <w:t>1</w:t>
            </w:r>
            <w:r>
              <w:rPr>
                <w:rFonts w:hint="eastAsia"/>
                <w:b w:val="0"/>
                <w:bCs w:val="0"/>
                <w:color w:val="auto"/>
                <w:szCs w:val="21"/>
                <w:lang w:val="en-US" w:eastAsia="zh-CN"/>
              </w:rPr>
              <w:t>6</w:t>
            </w:r>
            <w:r>
              <w:rPr>
                <w:b w:val="0"/>
                <w:bCs w:val="0"/>
                <w:color w:val="auto"/>
                <w:szCs w:val="21"/>
              </w:rPr>
              <w:t>）</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b w:val="0"/>
                <w:bCs w:val="0"/>
                <w:color w:val="auto"/>
                <w:szCs w:val="21"/>
              </w:rPr>
            </w:pPr>
            <w:r>
              <w:rPr>
                <w:rFonts w:hint="eastAsia"/>
                <w:b w:val="0"/>
                <w:bCs w:val="0"/>
                <w:color w:val="auto"/>
                <w:szCs w:val="21"/>
              </w:rPr>
              <w:t>智慧工厂(一期)</w:t>
            </w:r>
            <w:r>
              <w:rPr>
                <w:rFonts w:hint="eastAsia"/>
                <w:b w:val="0"/>
                <w:bCs w:val="0"/>
                <w:color w:val="auto"/>
                <w:szCs w:val="21"/>
                <w:lang w:eastAsia="zh-CN"/>
              </w:rPr>
              <w:t>自动</w:t>
            </w:r>
            <w:r>
              <w:rPr>
                <w:b w:val="0"/>
                <w:bCs w:val="0"/>
                <w:color w:val="auto"/>
                <w:szCs w:val="21"/>
              </w:rPr>
              <w:t>划焊工序</w:t>
            </w:r>
            <w:r>
              <w:rPr>
                <w:rFonts w:hint="eastAsia"/>
                <w:b w:val="0"/>
                <w:bCs w:val="0"/>
                <w:color w:val="auto"/>
                <w:szCs w:val="21"/>
              </w:rPr>
              <w:t>废气</w:t>
            </w:r>
            <w:r>
              <w:rPr>
                <w:b w:val="0"/>
                <w:bCs w:val="0"/>
                <w:color w:val="auto"/>
                <w:szCs w:val="21"/>
              </w:rPr>
              <w:t>通过经密闭设备顶部风管收集</w:t>
            </w:r>
            <w:r>
              <w:rPr>
                <w:rFonts w:hint="eastAsia"/>
                <w:b w:val="0"/>
                <w:bCs w:val="0"/>
                <w:color w:val="auto"/>
                <w:szCs w:val="21"/>
              </w:rPr>
              <w:t>后经两套“</w:t>
            </w:r>
            <w:r>
              <w:rPr>
                <w:rFonts w:hint="eastAsia"/>
                <w:b w:val="0"/>
                <w:bCs w:val="0"/>
                <w:color w:val="auto"/>
                <w:szCs w:val="21"/>
                <w:lang w:eastAsia="zh-CN"/>
              </w:rPr>
              <w:t>袋式除尘</w:t>
            </w:r>
            <w:r>
              <w:rPr>
                <w:rFonts w:hint="eastAsia"/>
                <w:b w:val="0"/>
                <w:bCs w:val="0"/>
                <w:color w:val="auto"/>
                <w:szCs w:val="21"/>
              </w:rPr>
              <w:t>+二级活性炭吸附”处理后</w:t>
            </w:r>
            <w:r>
              <w:rPr>
                <w:rFonts w:hint="eastAsia"/>
                <w:b w:val="0"/>
                <w:bCs w:val="0"/>
                <w:color w:val="auto"/>
                <w:szCs w:val="21"/>
                <w:lang w:eastAsia="zh-CN"/>
              </w:rPr>
              <w:t>分别</w:t>
            </w:r>
            <w:r>
              <w:rPr>
                <w:rFonts w:hint="eastAsia"/>
                <w:b w:val="0"/>
                <w:bCs w:val="0"/>
                <w:color w:val="auto"/>
                <w:szCs w:val="21"/>
              </w:rPr>
              <w:t>通过两根23m高排气筒（DA01</w:t>
            </w:r>
            <w:r>
              <w:rPr>
                <w:rFonts w:hint="eastAsia"/>
                <w:b w:val="0"/>
                <w:bCs w:val="0"/>
                <w:color w:val="auto"/>
                <w:szCs w:val="21"/>
                <w:lang w:val="en-US" w:eastAsia="zh-CN"/>
              </w:rPr>
              <w:t>3</w:t>
            </w:r>
            <w:r>
              <w:rPr>
                <w:rFonts w:hint="eastAsia"/>
                <w:b w:val="0"/>
                <w:bCs w:val="0"/>
                <w:color w:val="auto"/>
                <w:szCs w:val="21"/>
              </w:rPr>
              <w:t>、DA01</w:t>
            </w:r>
            <w:r>
              <w:rPr>
                <w:rFonts w:hint="eastAsia"/>
                <w:b w:val="0"/>
                <w:bCs w:val="0"/>
                <w:color w:val="auto"/>
                <w:szCs w:val="21"/>
                <w:lang w:val="en-US" w:eastAsia="zh-CN"/>
              </w:rPr>
              <w:t>4</w:t>
            </w:r>
            <w:r>
              <w:rPr>
                <w:rFonts w:hint="eastAsia"/>
                <w:b w:val="0"/>
                <w:bCs w:val="0"/>
                <w:color w:val="auto"/>
                <w:szCs w:val="21"/>
              </w:rPr>
              <w:t>）排放</w:t>
            </w:r>
            <w:r>
              <w:rPr>
                <w:rFonts w:hint="eastAsia"/>
                <w:b w:val="0"/>
                <w:bCs w:val="0"/>
                <w:color w:val="auto"/>
                <w:szCs w:val="21"/>
                <w:lang w:eastAsia="zh-CN"/>
              </w:rPr>
              <w:t>；</w:t>
            </w:r>
            <w:r>
              <w:rPr>
                <w:rFonts w:hint="eastAsia"/>
                <w:b w:val="0"/>
                <w:bCs w:val="0"/>
                <w:color w:val="auto"/>
                <w:szCs w:val="21"/>
              </w:rPr>
              <w:t>层压废气经设备风管收集后经一套“静电除油+二级活性炭吸附”处理后通过1根23m高排气筒（DA01</w:t>
            </w:r>
            <w:r>
              <w:rPr>
                <w:rFonts w:hint="eastAsia"/>
                <w:b w:val="0"/>
                <w:bCs w:val="0"/>
                <w:color w:val="auto"/>
                <w:szCs w:val="21"/>
                <w:lang w:val="en-US" w:eastAsia="zh-CN"/>
              </w:rPr>
              <w:t>5</w:t>
            </w:r>
            <w:r>
              <w:rPr>
                <w:rFonts w:hint="eastAsia"/>
                <w:b w:val="0"/>
                <w:bCs w:val="0"/>
                <w:color w:val="auto"/>
                <w:szCs w:val="21"/>
              </w:rPr>
              <w:t>）排放</w:t>
            </w:r>
            <w:r>
              <w:rPr>
                <w:rFonts w:hint="eastAsia"/>
                <w:b w:val="0"/>
                <w:bCs w:val="0"/>
                <w:color w:val="auto"/>
                <w:szCs w:val="21"/>
                <w:lang w:eastAsia="zh-CN"/>
              </w:rPr>
              <w:t>；</w:t>
            </w:r>
            <w:r>
              <w:rPr>
                <w:b w:val="0"/>
                <w:bCs w:val="0"/>
                <w:color w:val="auto"/>
                <w:szCs w:val="21"/>
              </w:rPr>
              <w:t>装框固化</w:t>
            </w:r>
            <w:r>
              <w:rPr>
                <w:rFonts w:hint="eastAsia"/>
                <w:b w:val="0"/>
                <w:bCs w:val="0"/>
                <w:color w:val="auto"/>
                <w:szCs w:val="21"/>
              </w:rPr>
              <w:t>、接线盒焊接及</w:t>
            </w:r>
            <w:r>
              <w:rPr>
                <w:rFonts w:hint="eastAsia"/>
                <w:b w:val="0"/>
                <w:bCs w:val="0"/>
                <w:color w:val="auto"/>
                <w:szCs w:val="21"/>
                <w:lang w:eastAsia="zh-CN"/>
              </w:rPr>
              <w:t>酒精擦拭清洗</w:t>
            </w:r>
            <w:r>
              <w:rPr>
                <w:b w:val="0"/>
                <w:bCs w:val="0"/>
                <w:color w:val="auto"/>
                <w:szCs w:val="21"/>
              </w:rPr>
              <w:t>过程产生的有机废气经密闭</w:t>
            </w:r>
            <w:r>
              <w:rPr>
                <w:rFonts w:hint="eastAsia"/>
                <w:b w:val="0"/>
                <w:bCs w:val="0"/>
                <w:color w:val="auto"/>
                <w:szCs w:val="21"/>
              </w:rPr>
              <w:t>设备/房间收集后</w:t>
            </w:r>
            <w:r>
              <w:rPr>
                <w:b w:val="0"/>
                <w:bCs w:val="0"/>
                <w:color w:val="auto"/>
                <w:szCs w:val="21"/>
              </w:rPr>
              <w:t>汇总经一套</w:t>
            </w:r>
            <w:r>
              <w:rPr>
                <w:rFonts w:hint="eastAsia"/>
                <w:b w:val="0"/>
                <w:bCs w:val="0"/>
                <w:color w:val="auto"/>
                <w:szCs w:val="21"/>
              </w:rPr>
              <w:t>“</w:t>
            </w:r>
            <w:r>
              <w:rPr>
                <w:rFonts w:hint="eastAsia"/>
                <w:b w:val="0"/>
                <w:bCs w:val="0"/>
                <w:color w:val="auto"/>
                <w:szCs w:val="21"/>
                <w:lang w:eastAsia="zh-CN"/>
              </w:rPr>
              <w:t>袋式除尘</w:t>
            </w:r>
            <w:r>
              <w:rPr>
                <w:rFonts w:hint="eastAsia"/>
                <w:b w:val="0"/>
                <w:bCs w:val="0"/>
                <w:color w:val="auto"/>
                <w:szCs w:val="21"/>
              </w:rPr>
              <w:t>+</w:t>
            </w:r>
            <w:r>
              <w:rPr>
                <w:b w:val="0"/>
                <w:bCs w:val="0"/>
                <w:color w:val="auto"/>
                <w:szCs w:val="21"/>
              </w:rPr>
              <w:t>二级活性炭吸附</w:t>
            </w:r>
            <w:r>
              <w:rPr>
                <w:rFonts w:hint="eastAsia"/>
                <w:b w:val="0"/>
                <w:bCs w:val="0"/>
                <w:color w:val="auto"/>
                <w:szCs w:val="21"/>
              </w:rPr>
              <w:t>”</w:t>
            </w:r>
            <w:r>
              <w:rPr>
                <w:b w:val="0"/>
                <w:bCs w:val="0"/>
                <w:color w:val="auto"/>
                <w:szCs w:val="21"/>
              </w:rPr>
              <w:t>处理后通过1根</w:t>
            </w:r>
            <w:r>
              <w:rPr>
                <w:rFonts w:hint="eastAsia"/>
                <w:b w:val="0"/>
                <w:bCs w:val="0"/>
                <w:color w:val="auto"/>
                <w:szCs w:val="21"/>
              </w:rPr>
              <w:t>2</w:t>
            </w:r>
            <w:r>
              <w:rPr>
                <w:rFonts w:hint="eastAsia"/>
                <w:b w:val="0"/>
                <w:bCs w:val="0"/>
                <w:color w:val="auto"/>
                <w:szCs w:val="21"/>
                <w:lang w:val="en-US" w:eastAsia="zh-CN"/>
              </w:rPr>
              <w:t>3</w:t>
            </w:r>
            <w:r>
              <w:rPr>
                <w:b w:val="0"/>
                <w:bCs w:val="0"/>
                <w:color w:val="auto"/>
                <w:szCs w:val="21"/>
              </w:rPr>
              <w:t>m高排气筒（DA0</w:t>
            </w:r>
            <w:r>
              <w:rPr>
                <w:rFonts w:hint="eastAsia"/>
                <w:b w:val="0"/>
                <w:bCs w:val="0"/>
                <w:color w:val="auto"/>
                <w:szCs w:val="21"/>
              </w:rPr>
              <w:t>1</w:t>
            </w:r>
            <w:r>
              <w:rPr>
                <w:rFonts w:hint="eastAsia"/>
                <w:b w:val="0"/>
                <w:bCs w:val="0"/>
                <w:color w:val="auto"/>
                <w:szCs w:val="21"/>
                <w:lang w:val="en-US" w:eastAsia="zh-CN"/>
              </w:rPr>
              <w:t>6</w:t>
            </w:r>
            <w:r>
              <w:rPr>
                <w:b w:val="0"/>
                <w:bCs w:val="0"/>
                <w:color w:val="auto"/>
                <w:szCs w:val="21"/>
              </w:rPr>
              <w:t>）</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rFonts w:hint="default"/>
                <w:b/>
                <w:bCs/>
                <w:color w:val="auto"/>
                <w:szCs w:val="21"/>
                <w:lang w:val="en-US" w:eastAsia="zh-CN"/>
              </w:rPr>
            </w:pPr>
            <w:r>
              <w:rPr>
                <w:rFonts w:hint="eastAsia"/>
                <w:b w:val="0"/>
                <w:bCs w:val="0"/>
                <w:color w:val="auto"/>
                <w:szCs w:val="21"/>
                <w:lang w:eastAsia="zh-CN"/>
              </w:rPr>
              <w:t>本次扩建不变，</w:t>
            </w:r>
            <w:r>
              <w:rPr>
                <w:rFonts w:hint="eastAsia"/>
                <w:b w:val="0"/>
                <w:bCs w:val="0"/>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rPr>
                <w:color w:val="auto"/>
                <w:szCs w:val="21"/>
              </w:rPr>
            </w:pPr>
            <w:r>
              <w:rPr>
                <w:color w:val="auto"/>
                <w:szCs w:val="21"/>
              </w:rPr>
              <w:t>组件厂房</w:t>
            </w:r>
            <w:r>
              <w:rPr>
                <w:rFonts w:hint="eastAsia"/>
                <w:color w:val="auto"/>
                <w:szCs w:val="21"/>
              </w:rPr>
              <w:t>一</w:t>
            </w:r>
            <w:r>
              <w:rPr>
                <w:color w:val="auto"/>
                <w:szCs w:val="21"/>
              </w:rPr>
              <w:t>（1</w:t>
            </w:r>
            <w:r>
              <w:rPr>
                <w:rFonts w:hint="eastAsia"/>
                <w:color w:val="auto"/>
                <w:szCs w:val="21"/>
              </w:rPr>
              <w:t>14</w:t>
            </w:r>
            <w:r>
              <w:rPr>
                <w:color w:val="auto"/>
                <w:szCs w:val="21"/>
              </w:rPr>
              <w:t>）划焊工序通过经密闭设备自带滤筒除尘器处理后经设备顶部风管收集，装框固化过程产生的有机废气经密闭房间收集，酒精擦拭过程有机废气经密闭房间收集，收集废气汇总经一套二级活性炭吸附装置处理后通过1根15m高排气筒（DA00</w:t>
            </w:r>
            <w:r>
              <w:rPr>
                <w:rFonts w:hint="eastAsia"/>
                <w:color w:val="auto"/>
                <w:szCs w:val="21"/>
              </w:rPr>
              <w:t>1</w:t>
            </w:r>
            <w:r>
              <w:rPr>
                <w:color w:val="auto"/>
                <w:szCs w:val="21"/>
              </w:rPr>
              <w:t>）</w:t>
            </w:r>
            <w:r>
              <w:rPr>
                <w:rFonts w:hint="eastAsia"/>
                <w:color w:val="auto"/>
                <w:szCs w:val="21"/>
              </w:rPr>
              <w:t>；</w:t>
            </w:r>
            <w:r>
              <w:rPr>
                <w:color w:val="auto"/>
                <w:szCs w:val="21"/>
              </w:rPr>
              <w:t>层压废气在密闭设备内经干式真空泵+风管收集经一套二级活性炭吸附装置处理后通过1根15m高排气筒（</w:t>
            </w:r>
            <w:r>
              <w:rPr>
                <w:rFonts w:hint="eastAsia"/>
                <w:color w:val="auto"/>
                <w:szCs w:val="21"/>
              </w:rPr>
              <w:t>DA009</w:t>
            </w:r>
            <w:r>
              <w:rPr>
                <w:color w:val="auto"/>
                <w:szCs w:val="21"/>
              </w:rPr>
              <w:t>）</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rPr>
                <w:color w:val="auto"/>
                <w:szCs w:val="21"/>
              </w:rPr>
            </w:pPr>
            <w:r>
              <w:rPr>
                <w:color w:val="auto"/>
                <w:szCs w:val="21"/>
              </w:rPr>
              <w:t>组件厂房</w:t>
            </w:r>
            <w:r>
              <w:rPr>
                <w:rFonts w:hint="eastAsia"/>
                <w:color w:val="auto"/>
                <w:szCs w:val="21"/>
              </w:rPr>
              <w:t>一</w:t>
            </w:r>
            <w:r>
              <w:rPr>
                <w:color w:val="auto"/>
                <w:szCs w:val="21"/>
              </w:rPr>
              <w:t>（1</w:t>
            </w:r>
            <w:r>
              <w:rPr>
                <w:rFonts w:hint="eastAsia"/>
                <w:color w:val="auto"/>
                <w:szCs w:val="21"/>
              </w:rPr>
              <w:t>14</w:t>
            </w:r>
            <w:r>
              <w:rPr>
                <w:color w:val="auto"/>
                <w:szCs w:val="21"/>
              </w:rPr>
              <w:t>）划焊工序通过经密闭设备自带滤筒除尘器处理后经设备顶部风管收集，装框固化过程产生的有机废气经密闭房间收集，酒精擦拭过程有机废气经密闭房间收集，收集废气汇总经一套二级活性炭吸附装置处理后通过1根15m高排气筒（DA00</w:t>
            </w:r>
            <w:r>
              <w:rPr>
                <w:rFonts w:hint="eastAsia"/>
                <w:color w:val="auto"/>
                <w:szCs w:val="21"/>
              </w:rPr>
              <w:t>1</w:t>
            </w:r>
            <w:r>
              <w:rPr>
                <w:color w:val="auto"/>
                <w:szCs w:val="21"/>
              </w:rPr>
              <w:t>）</w:t>
            </w:r>
            <w:r>
              <w:rPr>
                <w:rFonts w:hint="eastAsia"/>
                <w:color w:val="auto"/>
                <w:szCs w:val="21"/>
              </w:rPr>
              <w:t>；</w:t>
            </w:r>
            <w:r>
              <w:rPr>
                <w:color w:val="auto"/>
                <w:szCs w:val="21"/>
              </w:rPr>
              <w:t>层压废气在密闭设备内经干式真空泵+风管收集经一套二级活性炭吸附装置处理后通过1根15m高排气筒（</w:t>
            </w:r>
            <w:r>
              <w:rPr>
                <w:rFonts w:hint="eastAsia"/>
                <w:color w:val="auto"/>
                <w:szCs w:val="21"/>
              </w:rPr>
              <w:t>DA009</w:t>
            </w:r>
            <w:r>
              <w:rPr>
                <w:color w:val="auto"/>
                <w:szCs w:val="21"/>
              </w:rPr>
              <w:t>）</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rFonts w:hint="default" w:eastAsia="宋体"/>
                <w:color w:val="auto"/>
                <w:szCs w:val="21"/>
                <w:lang w:val="en-US" w:eastAsia="zh-CN"/>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rPr>
                <w:color w:val="auto"/>
                <w:szCs w:val="21"/>
              </w:rPr>
            </w:pPr>
            <w:r>
              <w:rPr>
                <w:color w:val="auto"/>
                <w:szCs w:val="21"/>
              </w:rPr>
              <w:t>组件厂房二（116）焊接废气经设备自带除尘器预处理后通过串焊机顶部风管进行收集，，层压废气经设备顶部风管进行收集，装框过程产生的有机废气通过操作台上方集气管进行收集，汇总通过一套UV光解+活性炭纤维毡吸附装置处理后经1根15m高排气筒排放（DA002）</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rPr>
                <w:color w:val="auto"/>
                <w:szCs w:val="21"/>
              </w:rPr>
            </w:pPr>
            <w:r>
              <w:rPr>
                <w:color w:val="auto"/>
                <w:szCs w:val="21"/>
              </w:rPr>
              <w:t>组件厂房二（116）焊接废气经设备自带除尘器预处理后通过串焊机顶部风管进行收集，，层压废气经设备顶部风管进行收集，装框过程产生的有机废气通过操作台上方集气管进行收集，汇总通过一套UV光解+活性炭纤维毡吸附装置处理后经1根15m高排气筒排放（DA002）</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rFonts w:hint="eastAsia"/>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20" w:lineRule="exact"/>
              <w:jc w:val="left"/>
              <w:rPr>
                <w:color w:val="auto"/>
                <w:szCs w:val="21"/>
              </w:rPr>
            </w:pPr>
            <w:r>
              <w:rPr>
                <w:color w:val="auto"/>
                <w:szCs w:val="21"/>
              </w:rPr>
              <w:t>组件厂房三（104）焊接废气经设备自带焊接除尘器预处理后通过串焊机顶部风管进行收集，层压废气经设备顶部风管进行收集，装框过程产生的有机废气通过操作台上方集气管进行收集，汇总后通过两套UV光解+活性炭纤维毡吸附装置处理后经2根15m高排气筒排放（DA003、DA004）</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color w:val="auto"/>
                <w:szCs w:val="21"/>
              </w:rPr>
            </w:pPr>
            <w:r>
              <w:rPr>
                <w:color w:val="auto"/>
                <w:szCs w:val="21"/>
              </w:rPr>
              <w:t>组件厂房三（104）焊接废气经设备自带焊接除尘器预处理后通过串焊机顶部风管进行收集，层压废气经设备顶部风管进行收集，装框过程产生的有机废气通过操作台上方集气管进行收集，汇总后通过两套UV光解+活性炭纤维毡吸附装置处理后经2根15m高排气筒排放（DA003、DA004）</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20" w:lineRule="exact"/>
              <w:jc w:val="left"/>
              <w:rPr>
                <w:color w:val="auto"/>
                <w:szCs w:val="21"/>
              </w:rPr>
            </w:pPr>
            <w:r>
              <w:rPr>
                <w:color w:val="auto"/>
                <w:szCs w:val="21"/>
              </w:rPr>
              <w:t>组件厂房四（110）焊接废气经设备自带焊接除尘器预处理后通过串焊机顶部风管进行收集，层压废气经设备顶部风管进行收集，装框过程产生的有机废气通过操作台上方集气管进行收集，汇总通过两套UV光解+活性炭吸附装置处理后经2根15m高排气筒排放（DA005、DA006）</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rPr>
                <w:color w:val="auto"/>
                <w:szCs w:val="21"/>
              </w:rPr>
            </w:pPr>
            <w:r>
              <w:rPr>
                <w:color w:val="auto"/>
                <w:szCs w:val="21"/>
              </w:rPr>
              <w:t>组件厂房四（110）焊接废气经设备自带焊接除尘器预处理后通过串焊机顶部风管进行收集，层压废气经设备顶部风管进行收集，装框过程产生的有机废气通过操作台上方集气管进行收集，汇总通过两套UV光解+活性炭吸附装置处理后经2根15m高排气筒排放（DA005、DA006）</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7"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pStyle w:val="58"/>
              <w:spacing w:line="320" w:lineRule="exact"/>
              <w:ind w:left="-105" w:leftChars="-50" w:right="-105" w:rightChars="-50"/>
              <w:jc w:val="left"/>
              <w:rPr>
                <w:color w:val="auto"/>
                <w:sz w:val="21"/>
              </w:rPr>
            </w:pPr>
            <w:r>
              <w:rPr>
                <w:color w:val="auto"/>
                <w:sz w:val="21"/>
              </w:rPr>
              <w:t>组件厂房五（106）划焊工序通过经密闭设备自带滤筒除尘器处理后经设备顶部风管收集，层压废气在密闭设备内经干式真空泵+风管收集，装框固化过程产生的有机废气经密闭房间收集，酒精擦拭过程有机废气经密闭房间收集，收集废气汇总经一套二级活性炭吸附装置处理后通过1根15m高排气筒（DA007）</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pStyle w:val="58"/>
              <w:spacing w:line="320" w:lineRule="exact"/>
              <w:ind w:left="-105" w:leftChars="-50" w:right="-105" w:rightChars="-50"/>
              <w:jc w:val="left"/>
              <w:rPr>
                <w:color w:val="auto"/>
                <w:sz w:val="21"/>
              </w:rPr>
            </w:pPr>
            <w:r>
              <w:rPr>
                <w:color w:val="auto"/>
                <w:sz w:val="21"/>
              </w:rPr>
              <w:t>组件厂房五（106）划焊工序通过经密闭设备自带滤筒除尘器处理后经设备顶部风管收集，层压废气在密闭设备内经干式真空泵+风管收集，装框固化过程产生的有机废气经密闭房间收集，酒精擦拭过程有机废气经密闭房间收集，收集废气汇总经一套二级活性炭吸附装置处理后通过1根15m高排气筒（DA007）</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center"/>
              <w:rPr>
                <w:color w:val="auto"/>
                <w:szCs w:val="21"/>
              </w:rPr>
            </w:pPr>
            <w:r>
              <w:rPr>
                <w:rFonts w:hint="eastAsia"/>
                <w:color w:val="auto"/>
                <w:szCs w:val="21"/>
              </w:rPr>
              <w:t>本次扩建不变</w:t>
            </w:r>
            <w:r>
              <w:rPr>
                <w:rFonts w:hint="eastAsia"/>
                <w:color w:val="auto"/>
                <w:szCs w:val="21"/>
                <w:lang w:eastAsia="zh-CN"/>
              </w:rPr>
              <w:t>，</w:t>
            </w:r>
            <w:r>
              <w:rPr>
                <w:rFonts w:hint="eastAsia"/>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spacing w:line="320" w:lineRule="exact"/>
              <w:jc w:val="left"/>
              <w:rPr>
                <w:b/>
                <w:bCs/>
                <w:color w:val="auto"/>
                <w:szCs w:val="21"/>
              </w:rPr>
            </w:pPr>
            <w:r>
              <w:rPr>
                <w:b/>
                <w:bCs/>
                <w:color w:val="auto"/>
                <w:szCs w:val="21"/>
              </w:rPr>
              <w:t>实验室（位于</w:t>
            </w:r>
            <w:r>
              <w:rPr>
                <w:rFonts w:hint="eastAsia"/>
                <w:b/>
                <w:bCs/>
                <w:color w:val="auto"/>
                <w:szCs w:val="21"/>
              </w:rPr>
              <w:t>115组件仓库二层</w:t>
            </w:r>
            <w:r>
              <w:rPr>
                <w:b/>
                <w:bCs/>
                <w:color w:val="auto"/>
                <w:szCs w:val="21"/>
              </w:rPr>
              <w:t>）EVA测试废气通过通风橱收集后经</w:t>
            </w:r>
            <w:r>
              <w:rPr>
                <w:rFonts w:hint="eastAsia"/>
                <w:b/>
                <w:bCs/>
                <w:color w:val="auto"/>
                <w:szCs w:val="21"/>
              </w:rPr>
              <w:t>1</w:t>
            </w:r>
            <w:r>
              <w:rPr>
                <w:b/>
                <w:bCs/>
                <w:color w:val="auto"/>
                <w:szCs w:val="21"/>
              </w:rPr>
              <w:t>套</w:t>
            </w:r>
            <w:r>
              <w:rPr>
                <w:rFonts w:hint="eastAsia"/>
                <w:b/>
                <w:bCs/>
                <w:color w:val="auto"/>
                <w:szCs w:val="21"/>
              </w:rPr>
              <w:t>二</w:t>
            </w:r>
            <w:r>
              <w:rPr>
                <w:b/>
                <w:bCs/>
                <w:color w:val="auto"/>
                <w:szCs w:val="21"/>
              </w:rPr>
              <w:t>级活性炭吸附装置处理后通过</w:t>
            </w:r>
            <w:r>
              <w:rPr>
                <w:rFonts w:hint="eastAsia"/>
                <w:b/>
                <w:bCs/>
                <w:color w:val="auto"/>
                <w:szCs w:val="21"/>
              </w:rPr>
              <w:t>1</w:t>
            </w:r>
            <w:r>
              <w:rPr>
                <w:b/>
                <w:bCs/>
                <w:color w:val="auto"/>
                <w:szCs w:val="21"/>
              </w:rPr>
              <w:t>根15m高排气筒（DA0</w:t>
            </w:r>
            <w:r>
              <w:rPr>
                <w:rFonts w:hint="eastAsia"/>
                <w:b/>
                <w:bCs/>
                <w:color w:val="auto"/>
                <w:szCs w:val="21"/>
                <w:lang w:val="en-US" w:eastAsia="zh-CN"/>
              </w:rPr>
              <w:t>10</w:t>
            </w:r>
            <w:r>
              <w:rPr>
                <w:b/>
                <w:bCs/>
                <w:color w:val="auto"/>
                <w:szCs w:val="21"/>
              </w:rPr>
              <w:t>）排放</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left"/>
              <w:rPr>
                <w:b/>
                <w:bCs/>
                <w:color w:val="auto"/>
                <w:szCs w:val="21"/>
              </w:rPr>
            </w:pPr>
            <w:r>
              <w:rPr>
                <w:b/>
                <w:bCs/>
                <w:color w:val="auto"/>
                <w:szCs w:val="21"/>
              </w:rPr>
              <w:t>实验室（位于</w:t>
            </w:r>
            <w:r>
              <w:rPr>
                <w:rFonts w:hint="eastAsia"/>
                <w:b/>
                <w:bCs/>
                <w:color w:val="auto"/>
                <w:szCs w:val="21"/>
              </w:rPr>
              <w:t>115组件仓库二层</w:t>
            </w:r>
            <w:r>
              <w:rPr>
                <w:b/>
                <w:bCs/>
                <w:color w:val="auto"/>
                <w:szCs w:val="21"/>
              </w:rPr>
              <w:t>）EVA测试废气通过通风橱收集后经</w:t>
            </w:r>
            <w:r>
              <w:rPr>
                <w:rFonts w:hint="eastAsia"/>
                <w:b/>
                <w:bCs/>
                <w:color w:val="auto"/>
                <w:szCs w:val="21"/>
              </w:rPr>
              <w:t>1</w:t>
            </w:r>
            <w:r>
              <w:rPr>
                <w:b/>
                <w:bCs/>
                <w:color w:val="auto"/>
                <w:szCs w:val="21"/>
              </w:rPr>
              <w:t>套</w:t>
            </w:r>
            <w:r>
              <w:rPr>
                <w:rFonts w:hint="eastAsia"/>
                <w:b/>
                <w:bCs/>
                <w:color w:val="auto"/>
                <w:szCs w:val="21"/>
              </w:rPr>
              <w:t>二级</w:t>
            </w:r>
            <w:r>
              <w:rPr>
                <w:b/>
                <w:bCs/>
                <w:color w:val="auto"/>
                <w:szCs w:val="21"/>
              </w:rPr>
              <w:t>活性炭吸附装置处理后通过</w:t>
            </w:r>
            <w:r>
              <w:rPr>
                <w:rFonts w:hint="eastAsia"/>
                <w:b/>
                <w:bCs/>
                <w:color w:val="auto"/>
                <w:szCs w:val="21"/>
              </w:rPr>
              <w:t>1</w:t>
            </w:r>
            <w:r>
              <w:rPr>
                <w:b/>
                <w:bCs/>
                <w:color w:val="auto"/>
                <w:szCs w:val="21"/>
              </w:rPr>
              <w:t>根15m高排气筒（DA0</w:t>
            </w:r>
            <w:r>
              <w:rPr>
                <w:rFonts w:hint="eastAsia"/>
                <w:b/>
                <w:bCs/>
                <w:color w:val="auto"/>
                <w:szCs w:val="21"/>
                <w:lang w:val="en-US" w:eastAsia="zh-CN"/>
              </w:rPr>
              <w:t>10</w:t>
            </w:r>
            <w:r>
              <w:rPr>
                <w:b/>
                <w:bCs/>
                <w:color w:val="auto"/>
                <w:szCs w:val="21"/>
              </w:rPr>
              <w:t>）排放</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105" w:leftChars="-50" w:right="-105" w:rightChars="-50"/>
              <w:jc w:val="both"/>
              <w:rPr>
                <w:b/>
                <w:bCs/>
                <w:color w:val="auto"/>
                <w:szCs w:val="21"/>
              </w:rPr>
            </w:pPr>
            <w:r>
              <w:rPr>
                <w:rFonts w:hint="eastAsia"/>
                <w:b/>
                <w:bCs/>
                <w:color w:val="auto"/>
                <w:szCs w:val="21"/>
                <w:lang w:eastAsia="zh-CN"/>
              </w:rPr>
              <w:t>依托现有，</w:t>
            </w:r>
            <w:r>
              <w:rPr>
                <w:rFonts w:hint="eastAsia"/>
                <w:b/>
                <w:bCs/>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 w:hRule="atLeast"/>
          <w:jc w:val="center"/>
        </w:trPr>
        <w:tc>
          <w:tcPr>
            <w:tcW w:w="818" w:type="dxa"/>
            <w:vMerge w:val="continue"/>
            <w:tcBorders>
              <w:left w:val="single" w:color="000000" w:sz="4" w:space="0"/>
              <w:right w:val="single" w:color="auto" w:sz="4" w:space="0"/>
            </w:tcBorders>
            <w:noWrap w:val="0"/>
            <w:vAlign w:val="center"/>
          </w:tcPr>
          <w:p>
            <w:pPr>
              <w:tabs>
                <w:tab w:val="left" w:pos="3255"/>
              </w:tabs>
              <w:adjustRightInd w:val="0"/>
              <w:spacing w:line="320" w:lineRule="exact"/>
              <w:jc w:val="center"/>
              <w:rPr>
                <w:color w:val="auto"/>
                <w:szCs w:val="21"/>
              </w:rPr>
            </w:pPr>
          </w:p>
        </w:tc>
        <w:tc>
          <w:tcPr>
            <w:tcW w:w="1302" w:type="dxa"/>
            <w:vMerge w:val="continue"/>
            <w:tcBorders>
              <w:left w:val="single" w:color="auto" w:sz="4" w:space="0"/>
              <w:right w:val="single" w:color="000000" w:sz="4" w:space="0"/>
            </w:tcBorders>
            <w:noWrap w:val="0"/>
            <w:vAlign w:val="center"/>
          </w:tcPr>
          <w:p>
            <w:pPr>
              <w:tabs>
                <w:tab w:val="left" w:pos="3255"/>
              </w:tabs>
              <w:adjustRightInd w:val="0"/>
              <w:spacing w:line="320" w:lineRule="exact"/>
              <w:jc w:val="center"/>
              <w:rPr>
                <w:color w:val="auto"/>
                <w:szCs w:val="21"/>
              </w:rPr>
            </w:pPr>
          </w:p>
        </w:tc>
        <w:tc>
          <w:tcPr>
            <w:tcW w:w="5154" w:type="dxa"/>
            <w:tcBorders>
              <w:top w:val="single" w:color="000000" w:sz="4" w:space="0"/>
              <w:left w:val="single" w:color="000000" w:sz="4" w:space="0"/>
              <w:right w:val="single" w:color="auto" w:sz="4" w:space="0"/>
            </w:tcBorders>
            <w:noWrap w:val="0"/>
            <w:vAlign w:val="center"/>
          </w:tcPr>
          <w:p>
            <w:pPr>
              <w:widowControl/>
              <w:spacing w:line="320" w:lineRule="exact"/>
              <w:rPr>
                <w:color w:val="auto"/>
                <w:szCs w:val="21"/>
              </w:rPr>
            </w:pPr>
            <w:r>
              <w:rPr>
                <w:color w:val="auto"/>
                <w:szCs w:val="21"/>
              </w:rPr>
              <w:t>锅炉采用低氮燃烧后燃烧废气由1根12m高排气筒排放</w:t>
            </w:r>
          </w:p>
        </w:tc>
        <w:tc>
          <w:tcPr>
            <w:tcW w:w="5154" w:type="dxa"/>
            <w:tcBorders>
              <w:top w:val="single" w:color="000000" w:sz="4" w:space="0"/>
              <w:left w:val="single" w:color="000000" w:sz="4" w:space="0"/>
              <w:right w:val="single" w:color="000000" w:sz="4" w:space="0"/>
            </w:tcBorders>
            <w:noWrap w:val="0"/>
            <w:vAlign w:val="center"/>
          </w:tcPr>
          <w:p>
            <w:pPr>
              <w:widowControl/>
              <w:spacing w:line="320" w:lineRule="exact"/>
              <w:rPr>
                <w:rFonts w:hint="eastAsia"/>
                <w:color w:val="auto"/>
                <w:szCs w:val="21"/>
              </w:rPr>
            </w:pPr>
            <w:r>
              <w:rPr>
                <w:rFonts w:hint="eastAsia"/>
                <w:color w:val="auto"/>
                <w:szCs w:val="21"/>
              </w:rPr>
              <w:t>本项目不依托现有锅炉</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63" w:leftChars="-30" w:right="-63" w:rightChars="-30"/>
              <w:jc w:val="center"/>
              <w:rPr>
                <w:color w:val="auto"/>
                <w:szCs w:val="21"/>
              </w:rPr>
            </w:pPr>
            <w:r>
              <w:rPr>
                <w:rFonts w:hint="eastAsia"/>
                <w:color w:val="auto"/>
                <w:szCs w:val="21"/>
              </w:rPr>
              <w:t>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1" w:hRule="atLeast"/>
          <w:jc w:val="center"/>
        </w:trPr>
        <w:tc>
          <w:tcPr>
            <w:tcW w:w="818" w:type="dxa"/>
            <w:vMerge w:val="continue"/>
            <w:tcBorders>
              <w:left w:val="single" w:color="000000" w:sz="4" w:space="0"/>
              <w:right w:val="single" w:color="auto" w:sz="4" w:space="0"/>
            </w:tcBorders>
            <w:noWrap w:val="0"/>
            <w:vAlign w:val="center"/>
          </w:tcPr>
          <w:p>
            <w:pPr>
              <w:widowControl/>
              <w:adjustRightInd w:val="0"/>
              <w:spacing w:line="320" w:lineRule="exact"/>
              <w:jc w:val="left"/>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adjustRightInd w:val="0"/>
              <w:spacing w:line="320" w:lineRule="exact"/>
              <w:jc w:val="center"/>
              <w:rPr>
                <w:color w:val="auto"/>
                <w:szCs w:val="21"/>
              </w:rPr>
            </w:pPr>
            <w:r>
              <w:rPr>
                <w:color w:val="auto"/>
                <w:szCs w:val="21"/>
              </w:rPr>
              <w:t>噪声</w:t>
            </w:r>
          </w:p>
          <w:p>
            <w:pPr>
              <w:adjustRightInd w:val="0"/>
              <w:spacing w:line="320" w:lineRule="exact"/>
              <w:jc w:val="center"/>
              <w:rPr>
                <w:color w:val="auto"/>
                <w:szCs w:val="21"/>
              </w:rPr>
            </w:pPr>
            <w:r>
              <w:rPr>
                <w:color w:val="auto"/>
                <w:szCs w:val="21"/>
              </w:rPr>
              <w:t>治理</w:t>
            </w:r>
          </w:p>
        </w:tc>
        <w:tc>
          <w:tcPr>
            <w:tcW w:w="5154" w:type="dxa"/>
            <w:tcBorders>
              <w:top w:val="single" w:color="000000" w:sz="4" w:space="0"/>
              <w:left w:val="single" w:color="000000" w:sz="4" w:space="0"/>
              <w:bottom w:val="single" w:color="auto" w:sz="4" w:space="0"/>
              <w:right w:val="single" w:color="auto" w:sz="4" w:space="0"/>
            </w:tcBorders>
            <w:noWrap w:val="0"/>
            <w:vAlign w:val="center"/>
          </w:tcPr>
          <w:p>
            <w:pPr>
              <w:widowControl/>
              <w:spacing w:line="320" w:lineRule="exact"/>
              <w:jc w:val="both"/>
              <w:rPr>
                <w:color w:val="auto"/>
                <w:szCs w:val="21"/>
              </w:rPr>
            </w:pPr>
            <w:r>
              <w:rPr>
                <w:color w:val="auto"/>
                <w:szCs w:val="21"/>
              </w:rPr>
              <w:t>针对主要噪声源采取</w:t>
            </w:r>
            <w:r>
              <w:rPr>
                <w:rFonts w:hint="eastAsia"/>
                <w:color w:val="auto"/>
                <w:szCs w:val="21"/>
              </w:rPr>
              <w:t>选用低噪声设备</w:t>
            </w:r>
            <w:r>
              <w:rPr>
                <w:color w:val="auto"/>
                <w:szCs w:val="21"/>
              </w:rPr>
              <w:t>、消音、</w:t>
            </w:r>
            <w:r>
              <w:rPr>
                <w:rFonts w:hint="eastAsia"/>
                <w:color w:val="auto"/>
                <w:szCs w:val="21"/>
              </w:rPr>
              <w:t>基础</w:t>
            </w:r>
            <w:r>
              <w:rPr>
                <w:color w:val="auto"/>
                <w:szCs w:val="21"/>
              </w:rPr>
              <w:t>减振</w:t>
            </w:r>
            <w:r>
              <w:rPr>
                <w:rFonts w:hint="eastAsia"/>
                <w:color w:val="auto"/>
                <w:szCs w:val="21"/>
              </w:rPr>
              <w:t>、合理布局</w:t>
            </w:r>
            <w:r>
              <w:rPr>
                <w:color w:val="auto"/>
                <w:szCs w:val="21"/>
              </w:rPr>
              <w:t>等</w:t>
            </w:r>
            <w:r>
              <w:rPr>
                <w:rFonts w:hint="eastAsia"/>
                <w:color w:val="auto"/>
                <w:szCs w:val="21"/>
              </w:rPr>
              <w:t>降噪</w:t>
            </w:r>
            <w:r>
              <w:rPr>
                <w:color w:val="auto"/>
                <w:szCs w:val="21"/>
              </w:rPr>
              <w:t>措施</w:t>
            </w:r>
          </w:p>
        </w:tc>
        <w:tc>
          <w:tcPr>
            <w:tcW w:w="5154" w:type="dxa"/>
            <w:tcBorders>
              <w:top w:val="single" w:color="000000" w:sz="4" w:space="0"/>
              <w:left w:val="single" w:color="000000" w:sz="4" w:space="0"/>
              <w:bottom w:val="single" w:color="auto" w:sz="4" w:space="0"/>
              <w:right w:val="single" w:color="000000" w:sz="4" w:space="0"/>
            </w:tcBorders>
            <w:noWrap w:val="0"/>
            <w:vAlign w:val="center"/>
          </w:tcPr>
          <w:p>
            <w:pPr>
              <w:widowControl/>
              <w:spacing w:line="320" w:lineRule="exact"/>
              <w:jc w:val="both"/>
              <w:rPr>
                <w:color w:val="auto"/>
                <w:szCs w:val="21"/>
              </w:rPr>
            </w:pPr>
            <w:r>
              <w:rPr>
                <w:color w:val="auto"/>
                <w:szCs w:val="21"/>
              </w:rPr>
              <w:t>针对主要噪声源采取</w:t>
            </w:r>
            <w:r>
              <w:rPr>
                <w:rFonts w:hint="eastAsia"/>
                <w:color w:val="auto"/>
                <w:szCs w:val="21"/>
              </w:rPr>
              <w:t>选用低噪声设备</w:t>
            </w:r>
            <w:r>
              <w:rPr>
                <w:color w:val="auto"/>
                <w:szCs w:val="21"/>
              </w:rPr>
              <w:t>、消音、</w:t>
            </w:r>
            <w:r>
              <w:rPr>
                <w:rFonts w:hint="eastAsia"/>
                <w:color w:val="auto"/>
                <w:szCs w:val="21"/>
              </w:rPr>
              <w:t>基础</w:t>
            </w:r>
            <w:r>
              <w:rPr>
                <w:color w:val="auto"/>
                <w:szCs w:val="21"/>
              </w:rPr>
              <w:t>减振</w:t>
            </w:r>
            <w:r>
              <w:rPr>
                <w:rFonts w:hint="eastAsia"/>
                <w:color w:val="auto"/>
                <w:szCs w:val="21"/>
              </w:rPr>
              <w:t>、合理布局</w:t>
            </w:r>
            <w:r>
              <w:rPr>
                <w:color w:val="auto"/>
                <w:szCs w:val="21"/>
              </w:rPr>
              <w:t>等</w:t>
            </w:r>
            <w:r>
              <w:rPr>
                <w:rFonts w:hint="eastAsia"/>
                <w:color w:val="auto"/>
                <w:szCs w:val="21"/>
              </w:rPr>
              <w:t>降噪</w:t>
            </w:r>
            <w:r>
              <w:rPr>
                <w:color w:val="auto"/>
                <w:szCs w:val="21"/>
              </w:rPr>
              <w:t>措施</w:t>
            </w:r>
          </w:p>
        </w:tc>
        <w:tc>
          <w:tcPr>
            <w:tcW w:w="1779" w:type="dxa"/>
            <w:tcBorders>
              <w:top w:val="single" w:color="000000" w:sz="4" w:space="0"/>
              <w:left w:val="single" w:color="000000" w:sz="4" w:space="0"/>
              <w:bottom w:val="single" w:color="auto" w:sz="4" w:space="0"/>
              <w:right w:val="single" w:color="000000" w:sz="4" w:space="0"/>
            </w:tcBorders>
            <w:noWrap w:val="0"/>
            <w:vAlign w:val="center"/>
          </w:tcPr>
          <w:p>
            <w:pPr>
              <w:spacing w:line="320" w:lineRule="exact"/>
              <w:ind w:left="-63" w:leftChars="-30" w:right="-63" w:rightChars="-30"/>
              <w:jc w:val="center"/>
              <w:rPr>
                <w:rFonts w:hint="eastAsia"/>
                <w:color w:val="auto"/>
                <w:szCs w:val="21"/>
              </w:rPr>
            </w:pPr>
            <w:r>
              <w:rPr>
                <w:color w:val="auto"/>
                <w:szCs w:val="21"/>
              </w:rPr>
              <w:t>本次</w:t>
            </w:r>
            <w:r>
              <w:rPr>
                <w:rFonts w:hint="eastAsia"/>
                <w:color w:val="auto"/>
                <w:szCs w:val="21"/>
              </w:rPr>
              <w:t>扩建部分</w:t>
            </w:r>
          </w:p>
          <w:p>
            <w:pPr>
              <w:spacing w:line="320" w:lineRule="exact"/>
              <w:ind w:left="-63" w:leftChars="-30" w:right="-63" w:rightChars="-30"/>
              <w:jc w:val="center"/>
              <w:rPr>
                <w:color w:val="auto"/>
                <w:szCs w:val="21"/>
              </w:rPr>
            </w:pPr>
            <w:r>
              <w:rPr>
                <w:color w:val="auto"/>
                <w:szCs w:val="21"/>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98" w:hRule="atLeast"/>
          <w:jc w:val="center"/>
        </w:trPr>
        <w:tc>
          <w:tcPr>
            <w:tcW w:w="818" w:type="dxa"/>
            <w:vMerge w:val="continue"/>
            <w:tcBorders>
              <w:left w:val="single" w:color="000000" w:sz="4" w:space="0"/>
              <w:right w:val="single" w:color="auto" w:sz="4" w:space="0"/>
            </w:tcBorders>
            <w:noWrap w:val="0"/>
            <w:vAlign w:val="center"/>
          </w:tcPr>
          <w:p>
            <w:pPr>
              <w:widowControl/>
              <w:adjustRightInd w:val="0"/>
              <w:spacing w:line="320" w:lineRule="exact"/>
              <w:jc w:val="left"/>
              <w:rPr>
                <w:color w:val="auto"/>
                <w:szCs w:val="21"/>
              </w:rPr>
            </w:pPr>
          </w:p>
        </w:tc>
        <w:tc>
          <w:tcPr>
            <w:tcW w:w="1302" w:type="dxa"/>
            <w:vMerge w:val="restart"/>
            <w:tcBorders>
              <w:top w:val="single" w:color="000000" w:sz="4" w:space="0"/>
              <w:left w:val="single" w:color="auto" w:sz="4" w:space="0"/>
              <w:right w:val="single" w:color="000000" w:sz="4" w:space="0"/>
            </w:tcBorders>
            <w:noWrap w:val="0"/>
            <w:vAlign w:val="center"/>
          </w:tcPr>
          <w:p>
            <w:pPr>
              <w:pStyle w:val="57"/>
              <w:tabs>
                <w:tab w:val="left" w:pos="3255"/>
              </w:tabs>
              <w:adjustRightInd w:val="0"/>
              <w:snapToGrid/>
              <w:spacing w:line="320" w:lineRule="exact"/>
              <w:rPr>
                <w:b/>
                <w:bCs/>
                <w:color w:val="auto"/>
                <w:sz w:val="21"/>
                <w:szCs w:val="21"/>
              </w:rPr>
            </w:pPr>
            <w:r>
              <w:rPr>
                <w:b/>
                <w:bCs/>
                <w:color w:val="auto"/>
                <w:sz w:val="21"/>
                <w:szCs w:val="21"/>
              </w:rPr>
              <w:t>固废</w:t>
            </w:r>
          </w:p>
          <w:p>
            <w:pPr>
              <w:pStyle w:val="57"/>
              <w:tabs>
                <w:tab w:val="left" w:pos="3255"/>
              </w:tabs>
              <w:adjustRightInd w:val="0"/>
              <w:snapToGrid/>
              <w:spacing w:line="320" w:lineRule="exact"/>
              <w:rPr>
                <w:b/>
                <w:bCs/>
                <w:color w:val="auto"/>
                <w:sz w:val="21"/>
                <w:szCs w:val="21"/>
              </w:rPr>
            </w:pPr>
            <w:r>
              <w:rPr>
                <w:b/>
                <w:bCs/>
                <w:color w:val="auto"/>
                <w:sz w:val="21"/>
                <w:szCs w:val="21"/>
              </w:rPr>
              <w:t>处理</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rPr>
                <w:rFonts w:hint="eastAsia" w:eastAsia="宋体"/>
                <w:b w:val="0"/>
                <w:bCs w:val="0"/>
                <w:color w:val="auto"/>
                <w:szCs w:val="21"/>
                <w:lang w:eastAsia="zh-CN"/>
              </w:rPr>
            </w:pPr>
            <w:r>
              <w:rPr>
                <w:rFonts w:hint="eastAsia"/>
                <w:b w:val="0"/>
                <w:bCs w:val="0"/>
                <w:color w:val="auto"/>
                <w:szCs w:val="21"/>
                <w:lang w:eastAsia="zh-CN"/>
              </w:rPr>
              <w:t>已建</w:t>
            </w:r>
            <w:r>
              <w:rPr>
                <w:rFonts w:hint="eastAsia"/>
                <w:b w:val="0"/>
                <w:bCs w:val="0"/>
                <w:color w:val="auto"/>
                <w:szCs w:val="21"/>
              </w:rPr>
              <w:t>危废暂存间</w:t>
            </w:r>
            <w:r>
              <w:rPr>
                <w:b w:val="0"/>
                <w:bCs w:val="0"/>
                <w:color w:val="auto"/>
                <w:szCs w:val="21"/>
              </w:rPr>
              <w:t>位于组件成品库二（109）东侧，建筑面积约100m</w:t>
            </w:r>
            <w:r>
              <w:rPr>
                <w:b w:val="0"/>
                <w:bCs w:val="0"/>
                <w:color w:val="auto"/>
                <w:szCs w:val="21"/>
                <w:vertAlign w:val="superscript"/>
              </w:rPr>
              <w:t>2</w:t>
            </w:r>
            <w:r>
              <w:rPr>
                <w:b w:val="0"/>
                <w:bCs w:val="0"/>
                <w:color w:val="auto"/>
                <w:szCs w:val="21"/>
              </w:rPr>
              <w:t>；废活性炭、废二甲苯</w:t>
            </w:r>
            <w:r>
              <w:rPr>
                <w:rFonts w:hint="eastAsia"/>
                <w:b w:val="0"/>
                <w:bCs w:val="0"/>
                <w:color w:val="auto"/>
                <w:szCs w:val="21"/>
              </w:rPr>
              <w:t>、</w:t>
            </w:r>
            <w:r>
              <w:rPr>
                <w:b w:val="0"/>
                <w:bCs w:val="0"/>
                <w:color w:val="auto"/>
                <w:szCs w:val="21"/>
              </w:rPr>
              <w:t>废矿物油</w:t>
            </w:r>
            <w:r>
              <w:rPr>
                <w:rFonts w:hint="eastAsia"/>
                <w:b w:val="0"/>
                <w:bCs w:val="0"/>
                <w:color w:val="auto"/>
                <w:szCs w:val="21"/>
              </w:rPr>
              <w:t>、</w:t>
            </w:r>
            <w:r>
              <w:rPr>
                <w:b w:val="0"/>
                <w:bCs w:val="0"/>
                <w:color w:val="auto"/>
                <w:szCs w:val="21"/>
              </w:rPr>
              <w:t>废助焊剂</w:t>
            </w:r>
            <w:r>
              <w:rPr>
                <w:rFonts w:hint="eastAsia"/>
                <w:b w:val="0"/>
                <w:bCs w:val="0"/>
                <w:color w:val="auto"/>
                <w:szCs w:val="21"/>
              </w:rPr>
              <w:t>、</w:t>
            </w:r>
            <w:r>
              <w:rPr>
                <w:b w:val="0"/>
                <w:bCs w:val="0"/>
                <w:color w:val="auto"/>
                <w:szCs w:val="21"/>
              </w:rPr>
              <w:t>废UV灯管</w:t>
            </w:r>
            <w:r>
              <w:rPr>
                <w:rFonts w:hint="eastAsia"/>
                <w:b w:val="0"/>
                <w:bCs w:val="0"/>
                <w:color w:val="auto"/>
                <w:szCs w:val="21"/>
              </w:rPr>
              <w:t>等在危废暂存间暂存后</w:t>
            </w:r>
            <w:r>
              <w:rPr>
                <w:b w:val="0"/>
                <w:bCs w:val="0"/>
                <w:color w:val="auto"/>
                <w:szCs w:val="21"/>
              </w:rPr>
              <w:t>交有资质单位处置；废边角料、布袋除尘器收集粉尘、</w:t>
            </w:r>
            <w:r>
              <w:rPr>
                <w:rFonts w:hint="eastAsia"/>
                <w:b w:val="0"/>
                <w:bCs w:val="0"/>
                <w:color w:val="auto"/>
                <w:szCs w:val="21"/>
                <w:lang w:eastAsia="zh-CN"/>
              </w:rPr>
              <w:t>不合格品、</w:t>
            </w:r>
            <w:r>
              <w:rPr>
                <w:b w:val="0"/>
                <w:bCs w:val="0"/>
                <w:color w:val="auto"/>
                <w:szCs w:val="21"/>
              </w:rPr>
              <w:t>废包装材料分别由</w:t>
            </w:r>
            <w:r>
              <w:rPr>
                <w:rFonts w:hint="eastAsia"/>
                <w:b w:val="0"/>
                <w:bCs w:val="0"/>
                <w:color w:val="auto"/>
                <w:szCs w:val="21"/>
                <w:lang w:eastAsia="zh-CN"/>
              </w:rPr>
              <w:t>物资</w:t>
            </w:r>
            <w:r>
              <w:rPr>
                <w:b w:val="0"/>
                <w:bCs w:val="0"/>
                <w:color w:val="auto"/>
                <w:szCs w:val="21"/>
              </w:rPr>
              <w:t>公司回收再利用；生活垃圾由环卫部门统一清运</w:t>
            </w:r>
            <w:r>
              <w:rPr>
                <w:rFonts w:hint="eastAsia"/>
                <w:b w:val="0"/>
                <w:bCs w:val="0"/>
                <w:color w:val="auto"/>
                <w:szCs w:val="21"/>
                <w:lang w:eastAsia="zh-CN"/>
              </w:rPr>
              <w:t>；</w:t>
            </w:r>
          </w:p>
        </w:tc>
        <w:tc>
          <w:tcPr>
            <w:tcW w:w="5154" w:type="dxa"/>
            <w:tcBorders>
              <w:top w:val="single" w:color="000000" w:sz="4" w:space="0"/>
              <w:left w:val="single" w:color="000000" w:sz="4" w:space="0"/>
              <w:right w:val="single" w:color="000000" w:sz="4" w:space="0"/>
            </w:tcBorders>
            <w:noWrap w:val="0"/>
            <w:vAlign w:val="center"/>
          </w:tcPr>
          <w:p>
            <w:pPr>
              <w:widowControl/>
              <w:rPr>
                <w:b w:val="0"/>
                <w:bCs w:val="0"/>
                <w:color w:val="auto"/>
                <w:szCs w:val="21"/>
              </w:rPr>
            </w:pPr>
            <w:r>
              <w:rPr>
                <w:rFonts w:hint="eastAsia"/>
                <w:b w:val="0"/>
                <w:bCs w:val="0"/>
                <w:color w:val="auto"/>
                <w:szCs w:val="21"/>
                <w:lang w:eastAsia="zh-CN"/>
              </w:rPr>
              <w:t>已建</w:t>
            </w:r>
            <w:r>
              <w:rPr>
                <w:rFonts w:hint="eastAsia"/>
                <w:b w:val="0"/>
                <w:bCs w:val="0"/>
                <w:color w:val="auto"/>
                <w:szCs w:val="21"/>
              </w:rPr>
              <w:t>危废暂存间</w:t>
            </w:r>
            <w:r>
              <w:rPr>
                <w:b w:val="0"/>
                <w:bCs w:val="0"/>
                <w:color w:val="auto"/>
                <w:szCs w:val="21"/>
              </w:rPr>
              <w:t>位于组件成品库二（109）东侧，建筑面积约100m</w:t>
            </w:r>
            <w:r>
              <w:rPr>
                <w:b w:val="0"/>
                <w:bCs w:val="0"/>
                <w:color w:val="auto"/>
                <w:szCs w:val="21"/>
                <w:vertAlign w:val="superscript"/>
              </w:rPr>
              <w:t>2</w:t>
            </w:r>
            <w:r>
              <w:rPr>
                <w:b w:val="0"/>
                <w:bCs w:val="0"/>
                <w:color w:val="auto"/>
                <w:szCs w:val="21"/>
              </w:rPr>
              <w:t>；废活性炭、废二甲苯</w:t>
            </w:r>
            <w:r>
              <w:rPr>
                <w:rFonts w:hint="eastAsia"/>
                <w:b w:val="0"/>
                <w:bCs w:val="0"/>
                <w:color w:val="auto"/>
                <w:szCs w:val="21"/>
              </w:rPr>
              <w:t>、</w:t>
            </w:r>
            <w:r>
              <w:rPr>
                <w:b w:val="0"/>
                <w:bCs w:val="0"/>
                <w:color w:val="auto"/>
                <w:szCs w:val="21"/>
              </w:rPr>
              <w:t>废矿物油</w:t>
            </w:r>
            <w:r>
              <w:rPr>
                <w:rFonts w:hint="eastAsia"/>
                <w:b w:val="0"/>
                <w:bCs w:val="0"/>
                <w:color w:val="auto"/>
                <w:szCs w:val="21"/>
              </w:rPr>
              <w:t>、</w:t>
            </w:r>
            <w:r>
              <w:rPr>
                <w:b w:val="0"/>
                <w:bCs w:val="0"/>
                <w:color w:val="auto"/>
                <w:szCs w:val="21"/>
              </w:rPr>
              <w:t>废助焊剂</w:t>
            </w:r>
            <w:r>
              <w:rPr>
                <w:rFonts w:hint="eastAsia"/>
                <w:b w:val="0"/>
                <w:bCs w:val="0"/>
                <w:color w:val="auto"/>
                <w:szCs w:val="21"/>
              </w:rPr>
              <w:t>、</w:t>
            </w:r>
            <w:r>
              <w:rPr>
                <w:b w:val="0"/>
                <w:bCs w:val="0"/>
                <w:color w:val="auto"/>
                <w:szCs w:val="21"/>
              </w:rPr>
              <w:t>废UV灯管</w:t>
            </w:r>
            <w:r>
              <w:rPr>
                <w:rFonts w:hint="eastAsia"/>
                <w:b w:val="0"/>
                <w:bCs w:val="0"/>
                <w:color w:val="auto"/>
                <w:szCs w:val="21"/>
              </w:rPr>
              <w:t>等在危废暂存间暂存后</w:t>
            </w:r>
            <w:r>
              <w:rPr>
                <w:b w:val="0"/>
                <w:bCs w:val="0"/>
                <w:color w:val="auto"/>
                <w:szCs w:val="21"/>
              </w:rPr>
              <w:t>交有资质单位处置；废边角料、布袋除尘器收集粉尘、</w:t>
            </w:r>
            <w:r>
              <w:rPr>
                <w:rFonts w:hint="eastAsia"/>
                <w:b w:val="0"/>
                <w:bCs w:val="0"/>
                <w:color w:val="auto"/>
                <w:szCs w:val="21"/>
                <w:lang w:eastAsia="zh-CN"/>
              </w:rPr>
              <w:t>不合格品、</w:t>
            </w:r>
            <w:r>
              <w:rPr>
                <w:b w:val="0"/>
                <w:bCs w:val="0"/>
                <w:color w:val="auto"/>
                <w:szCs w:val="21"/>
              </w:rPr>
              <w:t>废包装材料分别由</w:t>
            </w:r>
            <w:r>
              <w:rPr>
                <w:rFonts w:hint="eastAsia"/>
                <w:b w:val="0"/>
                <w:bCs w:val="0"/>
                <w:color w:val="auto"/>
                <w:szCs w:val="21"/>
                <w:lang w:eastAsia="zh-CN"/>
              </w:rPr>
              <w:t>物资</w:t>
            </w:r>
            <w:r>
              <w:rPr>
                <w:b w:val="0"/>
                <w:bCs w:val="0"/>
                <w:color w:val="auto"/>
                <w:szCs w:val="21"/>
              </w:rPr>
              <w:t>公司回收再利用；生活垃圾由环卫部门统一清运</w:t>
            </w:r>
            <w:r>
              <w:rPr>
                <w:rFonts w:hint="eastAsia"/>
                <w:b w:val="0"/>
                <w:bCs w:val="0"/>
                <w:color w:val="auto"/>
                <w:szCs w:val="21"/>
                <w:lang w:eastAsia="zh-CN"/>
              </w:rPr>
              <w:t>；</w:t>
            </w:r>
          </w:p>
        </w:tc>
        <w:tc>
          <w:tcPr>
            <w:tcW w:w="1779" w:type="dxa"/>
            <w:tcBorders>
              <w:top w:val="single" w:color="000000" w:sz="4" w:space="0"/>
              <w:left w:val="single" w:color="000000" w:sz="4" w:space="0"/>
              <w:right w:val="single" w:color="000000" w:sz="4" w:space="0"/>
            </w:tcBorders>
            <w:noWrap w:val="0"/>
            <w:vAlign w:val="center"/>
          </w:tcPr>
          <w:p>
            <w:pPr>
              <w:spacing w:line="320" w:lineRule="exact"/>
              <w:ind w:left="-63" w:leftChars="-30" w:right="-63" w:rightChars="-30"/>
              <w:jc w:val="center"/>
              <w:rPr>
                <w:rFonts w:hint="default"/>
                <w:b w:val="0"/>
                <w:bCs w:val="0"/>
                <w:color w:val="auto"/>
                <w:szCs w:val="21"/>
                <w:lang w:val="en-US"/>
              </w:rPr>
            </w:pPr>
            <w:r>
              <w:rPr>
                <w:rFonts w:hint="eastAsia"/>
                <w:b w:val="0"/>
                <w:bCs w:val="0"/>
                <w:color w:val="auto"/>
                <w:szCs w:val="21"/>
                <w:lang w:eastAsia="zh-CN"/>
              </w:rPr>
              <w:t>本次扩建不变，</w:t>
            </w:r>
            <w:r>
              <w:rPr>
                <w:rFonts w:hint="eastAsia"/>
                <w:b w:val="0"/>
                <w:bCs w:val="0"/>
                <w:color w:val="auto"/>
                <w:szCs w:val="21"/>
                <w:lang w:val="en-US" w:eastAsia="zh-CN"/>
              </w:rPr>
              <w:t>本项目不涉及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65" w:hRule="atLeast"/>
          <w:jc w:val="center"/>
        </w:trPr>
        <w:tc>
          <w:tcPr>
            <w:tcW w:w="818" w:type="dxa"/>
            <w:vMerge w:val="continue"/>
            <w:tcBorders>
              <w:left w:val="single" w:color="000000" w:sz="4" w:space="0"/>
              <w:right w:val="single" w:color="auto" w:sz="4" w:space="0"/>
            </w:tcBorders>
            <w:noWrap w:val="0"/>
            <w:vAlign w:val="center"/>
          </w:tcPr>
          <w:p>
            <w:pPr>
              <w:widowControl/>
              <w:ind w:left="-42" w:leftChars="-20" w:right="-42" w:rightChars="-20"/>
            </w:pPr>
          </w:p>
        </w:tc>
        <w:tc>
          <w:tcPr>
            <w:tcW w:w="1302" w:type="dxa"/>
            <w:vMerge w:val="continue"/>
            <w:tcBorders>
              <w:left w:val="single" w:color="auto" w:sz="4" w:space="0"/>
              <w:bottom w:val="single" w:color="000000" w:sz="4" w:space="0"/>
              <w:right w:val="single" w:color="000000" w:sz="4" w:space="0"/>
            </w:tcBorders>
            <w:noWrap w:val="0"/>
            <w:vAlign w:val="center"/>
          </w:tcPr>
          <w:p>
            <w:pPr>
              <w:widowControl/>
              <w:ind w:left="-42" w:leftChars="-20" w:right="-42" w:rightChars="-20"/>
            </w:pP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rPr>
                <w:b/>
                <w:bCs/>
                <w:color w:val="auto"/>
                <w:szCs w:val="21"/>
              </w:rPr>
            </w:pPr>
            <w:r>
              <w:rPr>
                <w:rFonts w:hint="eastAsia"/>
                <w:b/>
                <w:bCs/>
                <w:color w:val="auto"/>
                <w:szCs w:val="21"/>
                <w:lang w:val="en-US" w:eastAsia="zh-CN"/>
              </w:rPr>
              <w:t>在</w:t>
            </w:r>
            <w:r>
              <w:rPr>
                <w:rFonts w:hint="eastAsia"/>
                <w:b/>
                <w:bCs/>
                <w:color w:val="auto"/>
                <w:szCs w:val="21"/>
              </w:rPr>
              <w:t>建危废仓库一座，</w:t>
            </w:r>
            <w:r>
              <w:rPr>
                <w:b/>
                <w:bCs/>
                <w:color w:val="auto"/>
                <w:szCs w:val="21"/>
              </w:rPr>
              <w:t>面积</w:t>
            </w:r>
            <w:r>
              <w:rPr>
                <w:rFonts w:hint="eastAsia"/>
                <w:b/>
                <w:bCs/>
                <w:color w:val="auto"/>
                <w:szCs w:val="21"/>
              </w:rPr>
              <w:t>为639.18</w:t>
            </w:r>
            <w:r>
              <w:rPr>
                <w:b/>
                <w:bCs/>
                <w:color w:val="auto"/>
                <w:szCs w:val="21"/>
              </w:rPr>
              <w:t>m</w:t>
            </w:r>
            <w:r>
              <w:rPr>
                <w:b/>
                <w:bCs/>
                <w:color w:val="auto"/>
                <w:szCs w:val="21"/>
                <w:vertAlign w:val="superscript"/>
              </w:rPr>
              <w:t>2</w:t>
            </w:r>
            <w:r>
              <w:rPr>
                <w:rFonts w:hint="eastAsia"/>
                <w:b/>
                <w:bCs/>
                <w:color w:val="auto"/>
                <w:szCs w:val="21"/>
              </w:rPr>
              <w:t>，项目</w:t>
            </w:r>
            <w:r>
              <w:rPr>
                <w:b/>
                <w:bCs/>
                <w:color w:val="auto"/>
              </w:rPr>
              <w:t>废活性炭、废二甲苯、废助焊剂、废矿物油</w:t>
            </w:r>
            <w:r>
              <w:rPr>
                <w:rFonts w:hint="eastAsia"/>
                <w:b/>
                <w:bCs/>
                <w:color w:val="auto"/>
                <w:lang w:eastAsia="zh-CN"/>
              </w:rPr>
              <w:t>、废矿物油桶</w:t>
            </w:r>
            <w:r>
              <w:rPr>
                <w:b/>
                <w:bCs/>
                <w:color w:val="auto"/>
              </w:rPr>
              <w:t>及</w:t>
            </w:r>
            <w:r>
              <w:rPr>
                <w:rFonts w:hint="eastAsia"/>
                <w:b/>
                <w:bCs/>
                <w:color w:val="auto"/>
                <w:lang w:eastAsia="zh-CN"/>
              </w:rPr>
              <w:t>废包装桶（助焊剂、二甲苯）</w:t>
            </w:r>
            <w:r>
              <w:rPr>
                <w:rFonts w:hint="eastAsia"/>
                <w:b/>
                <w:bCs/>
                <w:color w:val="auto"/>
                <w:szCs w:val="21"/>
              </w:rPr>
              <w:t>在危废仓库暂存后</w:t>
            </w:r>
            <w:r>
              <w:rPr>
                <w:b/>
                <w:bCs/>
                <w:color w:val="auto"/>
                <w:szCs w:val="21"/>
              </w:rPr>
              <w:t>交有资质单位处置；</w:t>
            </w:r>
          </w:p>
          <w:p>
            <w:pPr>
              <w:widowControl/>
              <w:ind w:left="-42" w:leftChars="-20" w:right="-42" w:rightChars="-20"/>
              <w:rPr>
                <w:rFonts w:hint="eastAsia"/>
                <w:b/>
                <w:bCs/>
                <w:color w:val="auto"/>
                <w:szCs w:val="21"/>
                <w:lang w:eastAsia="zh-CN"/>
              </w:rPr>
            </w:pPr>
            <w:r>
              <w:rPr>
                <w:rFonts w:hint="eastAsia"/>
                <w:b/>
                <w:bCs/>
                <w:color w:val="auto"/>
                <w:szCs w:val="21"/>
                <w:lang w:eastAsia="zh-CN"/>
              </w:rPr>
              <w:t>在</w:t>
            </w:r>
            <w:r>
              <w:rPr>
                <w:rFonts w:hint="eastAsia"/>
                <w:b/>
                <w:bCs/>
                <w:color w:val="auto"/>
                <w:szCs w:val="21"/>
              </w:rPr>
              <w:t>建固废仓库一座，</w:t>
            </w:r>
            <w:r>
              <w:rPr>
                <w:b/>
                <w:bCs/>
                <w:color w:val="auto"/>
                <w:szCs w:val="21"/>
              </w:rPr>
              <w:t>面积</w:t>
            </w:r>
            <w:r>
              <w:rPr>
                <w:rFonts w:hint="eastAsia"/>
                <w:b/>
                <w:bCs/>
                <w:color w:val="auto"/>
                <w:szCs w:val="21"/>
              </w:rPr>
              <w:t>为1494.72</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废边角料、布袋除尘器收集粉尘、</w:t>
            </w:r>
            <w:r>
              <w:rPr>
                <w:rFonts w:hint="eastAsia"/>
                <w:b/>
                <w:bCs/>
                <w:color w:val="auto"/>
                <w:szCs w:val="21"/>
                <w:lang w:eastAsia="zh-CN"/>
              </w:rPr>
              <w:t>废无尘布、</w:t>
            </w:r>
            <w:r>
              <w:rPr>
                <w:b/>
                <w:bCs/>
                <w:color w:val="auto"/>
                <w:szCs w:val="21"/>
              </w:rPr>
              <w:t>废包装材料</w:t>
            </w:r>
            <w:r>
              <w:rPr>
                <w:rFonts w:hint="eastAsia"/>
                <w:b/>
                <w:bCs/>
                <w:color w:val="auto"/>
                <w:szCs w:val="21"/>
                <w:lang w:eastAsia="zh-CN"/>
              </w:rPr>
              <w:t>、不合格品、污泥</w:t>
            </w:r>
            <w:r>
              <w:rPr>
                <w:rFonts w:hint="eastAsia"/>
                <w:b/>
                <w:bCs/>
                <w:color w:val="auto"/>
                <w:szCs w:val="21"/>
              </w:rPr>
              <w:t>等一般固废在仓库暂时后</w:t>
            </w:r>
            <w:r>
              <w:rPr>
                <w:b/>
                <w:bCs/>
                <w:color w:val="auto"/>
                <w:szCs w:val="21"/>
              </w:rPr>
              <w:t>由</w:t>
            </w:r>
            <w:r>
              <w:rPr>
                <w:rFonts w:hint="eastAsia"/>
                <w:b/>
                <w:bCs/>
                <w:color w:val="auto"/>
                <w:szCs w:val="21"/>
                <w:lang w:eastAsia="zh-CN"/>
              </w:rPr>
              <w:t>物资</w:t>
            </w:r>
            <w:r>
              <w:rPr>
                <w:b/>
                <w:bCs/>
                <w:color w:val="auto"/>
                <w:szCs w:val="21"/>
              </w:rPr>
              <w:t>公司回收</w:t>
            </w:r>
            <w:r>
              <w:rPr>
                <w:rFonts w:hint="eastAsia"/>
                <w:b/>
                <w:bCs/>
                <w:color w:val="auto"/>
                <w:szCs w:val="21"/>
                <w:lang w:eastAsia="zh-CN"/>
              </w:rPr>
              <w:t>利用</w:t>
            </w:r>
            <w:r>
              <w:rPr>
                <w:b/>
                <w:bCs/>
                <w:color w:val="auto"/>
                <w:szCs w:val="21"/>
              </w:rPr>
              <w:t>；生活垃圾由环卫部门统一清运</w:t>
            </w:r>
          </w:p>
        </w:tc>
        <w:tc>
          <w:tcPr>
            <w:tcW w:w="5154" w:type="dxa"/>
            <w:tcBorders>
              <w:left w:val="single" w:color="000000" w:sz="4" w:space="0"/>
              <w:bottom w:val="single" w:color="000000" w:sz="4" w:space="0"/>
              <w:right w:val="single" w:color="000000" w:sz="4" w:space="0"/>
            </w:tcBorders>
            <w:noWrap w:val="0"/>
            <w:vAlign w:val="center"/>
          </w:tcPr>
          <w:p>
            <w:pPr>
              <w:widowControl/>
              <w:rPr>
                <w:b/>
                <w:bCs/>
                <w:color w:val="auto"/>
                <w:szCs w:val="21"/>
              </w:rPr>
            </w:pPr>
            <w:r>
              <w:rPr>
                <w:rFonts w:hint="eastAsia"/>
                <w:b/>
                <w:bCs/>
                <w:color w:val="auto"/>
                <w:szCs w:val="21"/>
                <w:lang w:val="en-US" w:eastAsia="zh-CN"/>
              </w:rPr>
              <w:t>在</w:t>
            </w:r>
            <w:r>
              <w:rPr>
                <w:rFonts w:hint="eastAsia"/>
                <w:b/>
                <w:bCs/>
                <w:color w:val="auto"/>
                <w:szCs w:val="21"/>
              </w:rPr>
              <w:t>建危废仓库一座，</w:t>
            </w:r>
            <w:r>
              <w:rPr>
                <w:b/>
                <w:bCs/>
                <w:color w:val="auto"/>
                <w:szCs w:val="21"/>
              </w:rPr>
              <w:t>面积</w:t>
            </w:r>
            <w:r>
              <w:rPr>
                <w:rFonts w:hint="eastAsia"/>
                <w:b/>
                <w:bCs/>
                <w:color w:val="auto"/>
                <w:szCs w:val="21"/>
              </w:rPr>
              <w:t>为639.18</w:t>
            </w:r>
            <w:r>
              <w:rPr>
                <w:b/>
                <w:bCs/>
                <w:color w:val="auto"/>
                <w:szCs w:val="21"/>
              </w:rPr>
              <w:t>m</w:t>
            </w:r>
            <w:r>
              <w:rPr>
                <w:b/>
                <w:bCs/>
                <w:color w:val="auto"/>
                <w:szCs w:val="21"/>
                <w:vertAlign w:val="superscript"/>
              </w:rPr>
              <w:t>2</w:t>
            </w:r>
            <w:r>
              <w:rPr>
                <w:rFonts w:hint="eastAsia"/>
                <w:b/>
                <w:bCs/>
                <w:color w:val="auto"/>
                <w:szCs w:val="21"/>
              </w:rPr>
              <w:t>，项目</w:t>
            </w:r>
            <w:r>
              <w:rPr>
                <w:b/>
                <w:bCs/>
                <w:color w:val="auto"/>
              </w:rPr>
              <w:t>废活性炭、废二甲苯、废助焊剂、废矿物油</w:t>
            </w:r>
            <w:r>
              <w:rPr>
                <w:rFonts w:hint="eastAsia"/>
                <w:b/>
                <w:bCs/>
                <w:color w:val="auto"/>
                <w:lang w:eastAsia="zh-CN"/>
              </w:rPr>
              <w:t>、废矿物油桶</w:t>
            </w:r>
            <w:r>
              <w:rPr>
                <w:b/>
                <w:bCs/>
                <w:color w:val="auto"/>
              </w:rPr>
              <w:t>及</w:t>
            </w:r>
            <w:r>
              <w:rPr>
                <w:rFonts w:hint="eastAsia"/>
                <w:b/>
                <w:bCs/>
                <w:color w:val="auto"/>
                <w:lang w:eastAsia="zh-CN"/>
              </w:rPr>
              <w:t>废包装桶（助焊剂、二甲苯）</w:t>
            </w:r>
            <w:r>
              <w:rPr>
                <w:rFonts w:hint="eastAsia"/>
                <w:b/>
                <w:bCs/>
                <w:color w:val="auto"/>
                <w:szCs w:val="21"/>
              </w:rPr>
              <w:t>在危废仓库暂存后</w:t>
            </w:r>
            <w:r>
              <w:rPr>
                <w:b/>
                <w:bCs/>
                <w:color w:val="auto"/>
                <w:szCs w:val="21"/>
              </w:rPr>
              <w:t>交有资质单位处置；</w:t>
            </w:r>
          </w:p>
          <w:p>
            <w:pPr>
              <w:widowControl/>
              <w:ind w:left="-42" w:leftChars="-20" w:right="-42" w:rightChars="-20"/>
              <w:rPr>
                <w:rFonts w:hint="eastAsia"/>
                <w:b/>
                <w:bCs/>
                <w:color w:val="auto"/>
                <w:szCs w:val="21"/>
                <w:lang w:eastAsia="zh-CN"/>
              </w:rPr>
            </w:pPr>
            <w:r>
              <w:rPr>
                <w:rFonts w:hint="eastAsia"/>
                <w:b/>
                <w:bCs/>
                <w:color w:val="auto"/>
                <w:szCs w:val="21"/>
                <w:lang w:eastAsia="zh-CN"/>
              </w:rPr>
              <w:t>在</w:t>
            </w:r>
            <w:r>
              <w:rPr>
                <w:rFonts w:hint="eastAsia"/>
                <w:b/>
                <w:bCs/>
                <w:color w:val="auto"/>
                <w:szCs w:val="21"/>
              </w:rPr>
              <w:t>建固废仓库一座，</w:t>
            </w:r>
            <w:r>
              <w:rPr>
                <w:b/>
                <w:bCs/>
                <w:color w:val="auto"/>
                <w:szCs w:val="21"/>
              </w:rPr>
              <w:t>面积</w:t>
            </w:r>
            <w:r>
              <w:rPr>
                <w:rFonts w:hint="eastAsia"/>
                <w:b/>
                <w:bCs/>
                <w:color w:val="auto"/>
                <w:szCs w:val="21"/>
              </w:rPr>
              <w:t>为1494.72</w:t>
            </w:r>
            <w:r>
              <w:rPr>
                <w:b/>
                <w:bCs/>
                <w:color w:val="auto"/>
                <w:szCs w:val="21"/>
              </w:rPr>
              <w:t>m</w:t>
            </w:r>
            <w:r>
              <w:rPr>
                <w:b/>
                <w:bCs/>
                <w:color w:val="auto"/>
                <w:szCs w:val="21"/>
                <w:vertAlign w:val="superscript"/>
              </w:rPr>
              <w:t>2</w:t>
            </w:r>
            <w:r>
              <w:rPr>
                <w:rFonts w:hint="eastAsia"/>
                <w:b/>
                <w:bCs/>
                <w:color w:val="auto"/>
                <w:szCs w:val="21"/>
              </w:rPr>
              <w:t>，</w:t>
            </w:r>
            <w:r>
              <w:rPr>
                <w:b/>
                <w:bCs/>
                <w:color w:val="auto"/>
                <w:szCs w:val="21"/>
              </w:rPr>
              <w:t>废边角料、布袋除尘器收集粉尘、</w:t>
            </w:r>
            <w:r>
              <w:rPr>
                <w:rFonts w:hint="eastAsia"/>
                <w:b/>
                <w:bCs/>
                <w:color w:val="auto"/>
                <w:szCs w:val="21"/>
                <w:lang w:eastAsia="zh-CN"/>
              </w:rPr>
              <w:t>废无尘布、</w:t>
            </w:r>
            <w:r>
              <w:rPr>
                <w:b/>
                <w:bCs/>
                <w:color w:val="auto"/>
                <w:szCs w:val="21"/>
              </w:rPr>
              <w:t>废包装材料</w:t>
            </w:r>
            <w:r>
              <w:rPr>
                <w:rFonts w:hint="eastAsia"/>
                <w:b/>
                <w:bCs/>
                <w:color w:val="auto"/>
                <w:szCs w:val="21"/>
                <w:lang w:eastAsia="zh-CN"/>
              </w:rPr>
              <w:t>、不合格品、污泥</w:t>
            </w:r>
            <w:r>
              <w:rPr>
                <w:rFonts w:hint="eastAsia"/>
                <w:b/>
                <w:bCs/>
                <w:color w:val="auto"/>
                <w:szCs w:val="21"/>
              </w:rPr>
              <w:t>等一般固废在仓库暂时后</w:t>
            </w:r>
            <w:r>
              <w:rPr>
                <w:b/>
                <w:bCs/>
                <w:color w:val="auto"/>
                <w:szCs w:val="21"/>
              </w:rPr>
              <w:t>由</w:t>
            </w:r>
            <w:r>
              <w:rPr>
                <w:rFonts w:hint="eastAsia"/>
                <w:b/>
                <w:bCs/>
                <w:color w:val="auto"/>
                <w:szCs w:val="21"/>
                <w:lang w:eastAsia="zh-CN"/>
              </w:rPr>
              <w:t>物资</w:t>
            </w:r>
            <w:r>
              <w:rPr>
                <w:b/>
                <w:bCs/>
                <w:color w:val="auto"/>
                <w:szCs w:val="21"/>
              </w:rPr>
              <w:t>公司回收</w:t>
            </w:r>
            <w:r>
              <w:rPr>
                <w:rFonts w:hint="eastAsia"/>
                <w:b/>
                <w:bCs/>
                <w:color w:val="auto"/>
                <w:szCs w:val="21"/>
                <w:lang w:eastAsia="zh-CN"/>
              </w:rPr>
              <w:t>利用</w:t>
            </w:r>
            <w:r>
              <w:rPr>
                <w:b/>
                <w:bCs/>
                <w:color w:val="auto"/>
                <w:szCs w:val="21"/>
              </w:rPr>
              <w:t>；生活垃圾由环卫部门统一清运</w:t>
            </w:r>
            <w:bookmarkStart w:id="5" w:name="_GoBack"/>
            <w:bookmarkEnd w:id="5"/>
          </w:p>
        </w:tc>
        <w:tc>
          <w:tcPr>
            <w:tcW w:w="1779" w:type="dxa"/>
            <w:tcBorders>
              <w:left w:val="single" w:color="000000" w:sz="4" w:space="0"/>
              <w:bottom w:val="single" w:color="000000" w:sz="4" w:space="0"/>
              <w:right w:val="single" w:color="000000" w:sz="4" w:space="0"/>
            </w:tcBorders>
            <w:noWrap w:val="0"/>
            <w:vAlign w:val="center"/>
          </w:tcPr>
          <w:p>
            <w:pPr>
              <w:widowControl/>
              <w:ind w:left="-42" w:leftChars="-20" w:right="-42" w:rightChars="-20"/>
              <w:jc w:val="center"/>
              <w:rPr>
                <w:rFonts w:hint="default"/>
                <w:b/>
                <w:bCs/>
                <w:color w:val="auto"/>
                <w:szCs w:val="21"/>
                <w:lang w:val="en-US" w:eastAsia="zh-CN"/>
              </w:rPr>
            </w:pPr>
            <w:r>
              <w:rPr>
                <w:rFonts w:hint="eastAsia"/>
                <w:b/>
                <w:bCs/>
                <w:color w:val="auto"/>
                <w:szCs w:val="21"/>
                <w:lang w:val="en-US" w:eastAsia="zh-CN"/>
              </w:rPr>
              <w:t>依托，本次扩建不变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18" w:type="dxa"/>
            <w:vMerge w:val="continue"/>
            <w:tcBorders>
              <w:left w:val="single" w:color="000000" w:sz="4" w:space="0"/>
              <w:right w:val="single" w:color="auto" w:sz="4" w:space="0"/>
            </w:tcBorders>
            <w:noWrap w:val="0"/>
            <w:vAlign w:val="center"/>
          </w:tcPr>
          <w:p>
            <w:pPr>
              <w:widowControl/>
              <w:adjustRightInd w:val="0"/>
              <w:spacing w:line="320" w:lineRule="exact"/>
              <w:jc w:val="left"/>
              <w:rPr>
                <w:color w:val="auto"/>
                <w:szCs w:val="21"/>
              </w:rPr>
            </w:pPr>
          </w:p>
        </w:tc>
        <w:tc>
          <w:tcPr>
            <w:tcW w:w="1302" w:type="dxa"/>
            <w:tcBorders>
              <w:top w:val="single" w:color="000000" w:sz="4" w:space="0"/>
              <w:left w:val="single" w:color="auto" w:sz="4" w:space="0"/>
              <w:bottom w:val="single" w:color="000000" w:sz="4" w:space="0"/>
              <w:right w:val="single" w:color="000000" w:sz="4" w:space="0"/>
            </w:tcBorders>
            <w:noWrap w:val="0"/>
            <w:vAlign w:val="center"/>
          </w:tcPr>
          <w:p>
            <w:pPr>
              <w:pStyle w:val="57"/>
              <w:tabs>
                <w:tab w:val="left" w:pos="3255"/>
              </w:tabs>
              <w:adjustRightInd w:val="0"/>
              <w:snapToGrid/>
              <w:spacing w:line="320" w:lineRule="exact"/>
              <w:rPr>
                <w:b/>
                <w:bCs/>
                <w:color w:val="auto"/>
                <w:sz w:val="21"/>
                <w:szCs w:val="21"/>
              </w:rPr>
            </w:pPr>
            <w:r>
              <w:rPr>
                <w:b/>
                <w:bCs/>
                <w:color w:val="auto"/>
                <w:sz w:val="21"/>
                <w:szCs w:val="21"/>
              </w:rPr>
              <w:t>环境</w:t>
            </w:r>
          </w:p>
          <w:p>
            <w:pPr>
              <w:pStyle w:val="57"/>
              <w:tabs>
                <w:tab w:val="left" w:pos="3255"/>
              </w:tabs>
              <w:adjustRightInd w:val="0"/>
              <w:snapToGrid/>
              <w:spacing w:line="320" w:lineRule="exact"/>
              <w:rPr>
                <w:b/>
                <w:bCs/>
                <w:color w:val="auto"/>
                <w:sz w:val="21"/>
                <w:szCs w:val="21"/>
              </w:rPr>
            </w:pPr>
            <w:r>
              <w:rPr>
                <w:b/>
                <w:bCs/>
                <w:color w:val="auto"/>
                <w:sz w:val="21"/>
                <w:szCs w:val="21"/>
              </w:rPr>
              <w:t>风险</w:t>
            </w:r>
          </w:p>
        </w:tc>
        <w:tc>
          <w:tcPr>
            <w:tcW w:w="5154" w:type="dxa"/>
            <w:tcBorders>
              <w:top w:val="single" w:color="000000" w:sz="4" w:space="0"/>
              <w:left w:val="single" w:color="000000" w:sz="4" w:space="0"/>
              <w:bottom w:val="single" w:color="000000" w:sz="4" w:space="0"/>
              <w:right w:val="single" w:color="auto" w:sz="4" w:space="0"/>
            </w:tcBorders>
            <w:noWrap w:val="0"/>
            <w:vAlign w:val="center"/>
          </w:tcPr>
          <w:p>
            <w:pPr>
              <w:widowControl/>
              <w:ind w:right="-42" w:rightChars="-20"/>
              <w:rPr>
                <w:rFonts w:hint="eastAsia" w:eastAsia="宋体"/>
                <w:b/>
                <w:bCs/>
                <w:color w:val="auto"/>
                <w:szCs w:val="21"/>
                <w:lang w:eastAsia="zh-CN"/>
              </w:rPr>
            </w:pPr>
            <w:r>
              <w:rPr>
                <w:rFonts w:hint="eastAsia"/>
                <w:b/>
                <w:bCs/>
                <w:color w:val="auto"/>
                <w:szCs w:val="21"/>
                <w:lang w:eastAsia="zh-CN"/>
              </w:rPr>
              <w:t>在</w:t>
            </w:r>
            <w:r>
              <w:rPr>
                <w:rFonts w:hint="eastAsia"/>
                <w:b/>
                <w:bCs/>
                <w:color w:val="auto"/>
                <w:szCs w:val="21"/>
              </w:rPr>
              <w:t>建</w:t>
            </w:r>
            <w:r>
              <w:rPr>
                <w:b/>
                <w:bCs/>
                <w:color w:val="auto"/>
                <w:szCs w:val="21"/>
              </w:rPr>
              <w:t>一座</w:t>
            </w:r>
            <w:r>
              <w:rPr>
                <w:rFonts w:hint="eastAsia"/>
                <w:b/>
                <w:bCs/>
                <w:color w:val="auto"/>
                <w:szCs w:val="21"/>
              </w:rPr>
              <w:t>450</w:t>
            </w:r>
            <w:r>
              <w:rPr>
                <w:b/>
                <w:bCs/>
                <w:color w:val="auto"/>
                <w:szCs w:val="21"/>
              </w:rPr>
              <w:t>m</w:t>
            </w:r>
            <w:r>
              <w:rPr>
                <w:b/>
                <w:bCs/>
                <w:color w:val="auto"/>
                <w:szCs w:val="21"/>
                <w:vertAlign w:val="superscript"/>
              </w:rPr>
              <w:t>3</w:t>
            </w:r>
            <w:r>
              <w:rPr>
                <w:b/>
                <w:bCs/>
                <w:color w:val="auto"/>
                <w:szCs w:val="21"/>
              </w:rPr>
              <w:t>事故应急池</w:t>
            </w:r>
            <w:r>
              <w:rPr>
                <w:rFonts w:hint="eastAsia"/>
                <w:b/>
                <w:bCs/>
                <w:color w:val="auto"/>
                <w:szCs w:val="21"/>
              </w:rPr>
              <w:t>，位于厂区西南角，取消原有事故池；</w:t>
            </w:r>
            <w:r>
              <w:rPr>
                <w:rFonts w:hint="eastAsia"/>
                <w:b/>
                <w:bCs/>
                <w:color w:val="auto"/>
                <w:szCs w:val="21"/>
                <w:lang w:eastAsia="zh-CN"/>
              </w:rPr>
              <w:t>在</w:t>
            </w:r>
            <w:r>
              <w:rPr>
                <w:rFonts w:hint="eastAsia"/>
                <w:b/>
                <w:bCs/>
                <w:color w:val="auto"/>
                <w:szCs w:val="21"/>
              </w:rPr>
              <w:t>建危废仓库、甲类仓库、事故池、污水处理站</w:t>
            </w:r>
            <w:r>
              <w:rPr>
                <w:b/>
                <w:bCs/>
                <w:color w:val="auto"/>
                <w:szCs w:val="21"/>
              </w:rPr>
              <w:t>进行重点防渗，</w:t>
            </w:r>
            <w:r>
              <w:rPr>
                <w:rFonts w:hint="eastAsia"/>
                <w:b/>
                <w:bCs/>
                <w:color w:val="auto"/>
              </w:rPr>
              <w:t>危废暂存间要求1m厚黏土层（</w:t>
            </w:r>
            <w:r>
              <w:rPr>
                <w:b/>
                <w:bCs/>
                <w:color w:val="auto"/>
                <w:kern w:val="0"/>
                <w:szCs w:val="21"/>
              </w:rPr>
              <w:t>渗透系数K</w:t>
            </w:r>
            <w:r>
              <w:rPr>
                <w:b/>
                <w:bCs/>
                <w:color w:val="auto"/>
              </w:rPr>
              <w:t>≤10</w:t>
            </w:r>
            <w:r>
              <w:rPr>
                <w:b/>
                <w:bCs/>
                <w:color w:val="auto"/>
                <w:vertAlign w:val="superscript"/>
              </w:rPr>
              <w:t>-7</w:t>
            </w:r>
            <w:r>
              <w:rPr>
                <w:b/>
                <w:bCs/>
                <w:color w:val="auto"/>
              </w:rPr>
              <w:t>cm/s</w:t>
            </w:r>
            <w:r>
              <w:rPr>
                <w:rFonts w:hint="eastAsia"/>
                <w:b/>
                <w:bCs/>
                <w:color w:val="auto"/>
              </w:rPr>
              <w:t>），或2mm厚聚乙烯，或至少2mm厚的其他人工材料</w:t>
            </w:r>
            <w:r>
              <w:rPr>
                <w:b/>
                <w:bCs/>
                <w:color w:val="auto"/>
                <w:kern w:val="0"/>
                <w:szCs w:val="21"/>
              </w:rPr>
              <w:t>渗透系数K</w:t>
            </w:r>
            <w:r>
              <w:rPr>
                <w:b/>
                <w:bCs/>
                <w:color w:val="auto"/>
              </w:rPr>
              <w:t>≤10</w:t>
            </w:r>
            <w:r>
              <w:rPr>
                <w:b/>
                <w:bCs/>
                <w:color w:val="auto"/>
                <w:vertAlign w:val="superscript"/>
              </w:rPr>
              <w:t>-</w:t>
            </w:r>
            <w:r>
              <w:rPr>
                <w:rFonts w:hint="eastAsia"/>
                <w:b/>
                <w:bCs/>
                <w:color w:val="auto"/>
                <w:vertAlign w:val="superscript"/>
              </w:rPr>
              <w:t>10</w:t>
            </w:r>
            <w:r>
              <w:rPr>
                <w:b/>
                <w:bCs/>
                <w:color w:val="auto"/>
              </w:rPr>
              <w:t>cm/s</w:t>
            </w:r>
            <w:r>
              <w:rPr>
                <w:rFonts w:hint="eastAsia"/>
                <w:b/>
                <w:bCs/>
                <w:color w:val="auto"/>
                <w:lang w:eastAsia="zh-CN"/>
              </w:rPr>
              <w:t>；</w:t>
            </w:r>
            <w:r>
              <w:rPr>
                <w:rFonts w:hint="eastAsia"/>
                <w:b/>
                <w:bCs/>
                <w:color w:val="auto"/>
              </w:rPr>
              <w:t>其他区域要求</w:t>
            </w:r>
            <w:r>
              <w:rPr>
                <w:b/>
                <w:bCs/>
                <w:color w:val="auto"/>
                <w:kern w:val="0"/>
                <w:szCs w:val="21"/>
              </w:rPr>
              <w:t>等效黏土防渗层Mb≥6.0m，渗透系数K</w:t>
            </w:r>
            <w:r>
              <w:rPr>
                <w:b/>
                <w:bCs/>
                <w:color w:val="auto"/>
              </w:rPr>
              <w:t>≤10</w:t>
            </w:r>
            <w:r>
              <w:rPr>
                <w:b/>
                <w:bCs/>
                <w:color w:val="auto"/>
                <w:vertAlign w:val="superscript"/>
              </w:rPr>
              <w:t>-7</w:t>
            </w:r>
            <w:r>
              <w:rPr>
                <w:b/>
                <w:bCs/>
                <w:color w:val="auto"/>
              </w:rPr>
              <w:t>cm/s</w:t>
            </w:r>
            <w:r>
              <w:rPr>
                <w:rFonts w:hint="eastAsia"/>
                <w:b/>
                <w:bCs/>
                <w:color w:val="auto"/>
                <w:szCs w:val="21"/>
              </w:rPr>
              <w:t>；</w:t>
            </w:r>
            <w:r>
              <w:rPr>
                <w:rFonts w:hint="eastAsia"/>
                <w:b/>
                <w:bCs/>
                <w:color w:val="auto"/>
                <w:szCs w:val="21"/>
                <w:lang w:eastAsia="zh-CN"/>
              </w:rPr>
              <w:t>现有</w:t>
            </w:r>
            <w:r>
              <w:rPr>
                <w:rFonts w:hint="eastAsia"/>
                <w:b/>
                <w:bCs/>
                <w:color w:val="auto"/>
                <w:szCs w:val="21"/>
              </w:rPr>
              <w:t>工程</w:t>
            </w:r>
            <w:r>
              <w:rPr>
                <w:b/>
                <w:bCs/>
                <w:color w:val="auto"/>
                <w:szCs w:val="21"/>
              </w:rPr>
              <w:t>化学品中转库、事故应急池、</w:t>
            </w:r>
            <w:r>
              <w:rPr>
                <w:rFonts w:hint="eastAsia"/>
                <w:b/>
                <w:bCs/>
                <w:color w:val="auto"/>
                <w:szCs w:val="21"/>
              </w:rPr>
              <w:t>危废暂存间</w:t>
            </w:r>
            <w:r>
              <w:rPr>
                <w:b/>
                <w:bCs/>
                <w:color w:val="auto"/>
                <w:szCs w:val="21"/>
              </w:rPr>
              <w:t>、污水处理站重点防渗</w:t>
            </w:r>
            <w:r>
              <w:rPr>
                <w:rFonts w:hint="eastAsia"/>
                <w:b/>
                <w:bCs/>
                <w:color w:val="auto"/>
                <w:szCs w:val="21"/>
              </w:rPr>
              <w:t>措施不变</w:t>
            </w:r>
            <w:r>
              <w:rPr>
                <w:rFonts w:hint="eastAsia"/>
                <w:b/>
                <w:bCs/>
                <w:color w:val="auto"/>
                <w:szCs w:val="21"/>
                <w:lang w:eastAsia="zh-CN"/>
              </w:rPr>
              <w:t>，</w:t>
            </w:r>
            <w:r>
              <w:rPr>
                <w:b/>
                <w:bCs/>
                <w:color w:val="auto"/>
                <w:szCs w:val="21"/>
              </w:rPr>
              <w:t>渗透系数不大于1×10</w:t>
            </w:r>
            <w:r>
              <w:rPr>
                <w:b/>
                <w:bCs/>
                <w:color w:val="auto"/>
                <w:szCs w:val="21"/>
                <w:vertAlign w:val="superscript"/>
              </w:rPr>
              <w:t>-10</w:t>
            </w:r>
            <w:r>
              <w:rPr>
                <w:b/>
                <w:bCs/>
                <w:color w:val="auto"/>
                <w:szCs w:val="21"/>
              </w:rPr>
              <w:t>cm/s。</w:t>
            </w:r>
          </w:p>
        </w:tc>
        <w:tc>
          <w:tcPr>
            <w:tcW w:w="5154" w:type="dxa"/>
            <w:tcBorders>
              <w:top w:val="single" w:color="000000" w:sz="4" w:space="0"/>
              <w:left w:val="single" w:color="000000" w:sz="4" w:space="0"/>
              <w:bottom w:val="single" w:color="000000" w:sz="4" w:space="0"/>
              <w:right w:val="single" w:color="000000" w:sz="4" w:space="0"/>
            </w:tcBorders>
            <w:noWrap w:val="0"/>
            <w:vAlign w:val="center"/>
          </w:tcPr>
          <w:p>
            <w:pPr>
              <w:widowControl/>
              <w:rPr>
                <w:rFonts w:hint="eastAsia"/>
                <w:b/>
                <w:bCs/>
                <w:color w:val="auto"/>
                <w:szCs w:val="21"/>
              </w:rPr>
            </w:pPr>
            <w:r>
              <w:rPr>
                <w:rFonts w:hint="eastAsia"/>
                <w:b/>
                <w:bCs/>
                <w:color w:val="auto"/>
                <w:szCs w:val="21"/>
                <w:lang w:eastAsia="zh-CN"/>
              </w:rPr>
              <w:t>在</w:t>
            </w:r>
            <w:r>
              <w:rPr>
                <w:rFonts w:hint="eastAsia"/>
                <w:b/>
                <w:bCs/>
                <w:color w:val="auto"/>
                <w:szCs w:val="21"/>
              </w:rPr>
              <w:t>建</w:t>
            </w:r>
            <w:r>
              <w:rPr>
                <w:b/>
                <w:bCs/>
                <w:color w:val="auto"/>
                <w:szCs w:val="21"/>
              </w:rPr>
              <w:t>一座</w:t>
            </w:r>
            <w:r>
              <w:rPr>
                <w:rFonts w:hint="eastAsia"/>
                <w:b/>
                <w:bCs/>
                <w:color w:val="auto"/>
                <w:szCs w:val="21"/>
              </w:rPr>
              <w:t>450</w:t>
            </w:r>
            <w:r>
              <w:rPr>
                <w:b/>
                <w:bCs/>
                <w:color w:val="auto"/>
                <w:szCs w:val="21"/>
              </w:rPr>
              <w:t>m</w:t>
            </w:r>
            <w:r>
              <w:rPr>
                <w:b/>
                <w:bCs/>
                <w:color w:val="auto"/>
                <w:szCs w:val="21"/>
                <w:vertAlign w:val="superscript"/>
              </w:rPr>
              <w:t>3</w:t>
            </w:r>
            <w:r>
              <w:rPr>
                <w:b/>
                <w:bCs/>
                <w:color w:val="auto"/>
                <w:szCs w:val="21"/>
              </w:rPr>
              <w:t>事故应急池</w:t>
            </w:r>
            <w:r>
              <w:rPr>
                <w:rFonts w:hint="eastAsia"/>
                <w:b/>
                <w:bCs/>
                <w:color w:val="auto"/>
                <w:szCs w:val="21"/>
              </w:rPr>
              <w:t>，位于厂区西南角，取消原有事故池；</w:t>
            </w:r>
            <w:r>
              <w:rPr>
                <w:rFonts w:hint="eastAsia"/>
                <w:b/>
                <w:bCs/>
                <w:color w:val="auto"/>
                <w:szCs w:val="21"/>
                <w:lang w:eastAsia="zh-CN"/>
              </w:rPr>
              <w:t>在</w:t>
            </w:r>
            <w:r>
              <w:rPr>
                <w:rFonts w:hint="eastAsia"/>
                <w:b/>
                <w:bCs/>
                <w:color w:val="auto"/>
                <w:szCs w:val="21"/>
              </w:rPr>
              <w:t>建危废仓库、甲类仓库、事故池、污水处理站</w:t>
            </w:r>
            <w:r>
              <w:rPr>
                <w:b/>
                <w:bCs/>
                <w:color w:val="auto"/>
                <w:szCs w:val="21"/>
              </w:rPr>
              <w:t>进行重点防渗，</w:t>
            </w:r>
            <w:r>
              <w:rPr>
                <w:rFonts w:hint="eastAsia"/>
                <w:b/>
                <w:bCs/>
                <w:color w:val="auto"/>
              </w:rPr>
              <w:t>危废暂存间要求1m厚黏土层（</w:t>
            </w:r>
            <w:r>
              <w:rPr>
                <w:b/>
                <w:bCs/>
                <w:color w:val="auto"/>
                <w:kern w:val="0"/>
                <w:szCs w:val="21"/>
              </w:rPr>
              <w:t>渗透系数K</w:t>
            </w:r>
            <w:r>
              <w:rPr>
                <w:b/>
                <w:bCs/>
                <w:color w:val="auto"/>
              </w:rPr>
              <w:t>≤10</w:t>
            </w:r>
            <w:r>
              <w:rPr>
                <w:b/>
                <w:bCs/>
                <w:color w:val="auto"/>
                <w:vertAlign w:val="superscript"/>
              </w:rPr>
              <w:t>-7</w:t>
            </w:r>
            <w:r>
              <w:rPr>
                <w:b/>
                <w:bCs/>
                <w:color w:val="auto"/>
              </w:rPr>
              <w:t>cm/s</w:t>
            </w:r>
            <w:r>
              <w:rPr>
                <w:rFonts w:hint="eastAsia"/>
                <w:b/>
                <w:bCs/>
                <w:color w:val="auto"/>
              </w:rPr>
              <w:t>），或2mm厚聚乙烯，或至少2mm厚的其他人工材料</w:t>
            </w:r>
            <w:r>
              <w:rPr>
                <w:b/>
                <w:bCs/>
                <w:color w:val="auto"/>
                <w:kern w:val="0"/>
                <w:szCs w:val="21"/>
              </w:rPr>
              <w:t>渗透系数K</w:t>
            </w:r>
            <w:r>
              <w:rPr>
                <w:b/>
                <w:bCs/>
                <w:color w:val="auto"/>
              </w:rPr>
              <w:t>≤10</w:t>
            </w:r>
            <w:r>
              <w:rPr>
                <w:b/>
                <w:bCs/>
                <w:color w:val="auto"/>
                <w:vertAlign w:val="superscript"/>
              </w:rPr>
              <w:t>-</w:t>
            </w:r>
            <w:r>
              <w:rPr>
                <w:rFonts w:hint="eastAsia"/>
                <w:b/>
                <w:bCs/>
                <w:color w:val="auto"/>
                <w:vertAlign w:val="superscript"/>
              </w:rPr>
              <w:t>10</w:t>
            </w:r>
            <w:r>
              <w:rPr>
                <w:b/>
                <w:bCs/>
                <w:color w:val="auto"/>
              </w:rPr>
              <w:t>cm/s</w:t>
            </w:r>
            <w:r>
              <w:rPr>
                <w:rFonts w:hint="eastAsia"/>
                <w:b/>
                <w:bCs/>
                <w:color w:val="auto"/>
                <w:lang w:eastAsia="zh-CN"/>
              </w:rPr>
              <w:t>；</w:t>
            </w:r>
            <w:r>
              <w:rPr>
                <w:rFonts w:hint="eastAsia"/>
                <w:b/>
                <w:bCs/>
                <w:color w:val="auto"/>
              </w:rPr>
              <w:t>其他区域要求</w:t>
            </w:r>
            <w:r>
              <w:rPr>
                <w:b/>
                <w:bCs/>
                <w:color w:val="auto"/>
                <w:kern w:val="0"/>
                <w:szCs w:val="21"/>
              </w:rPr>
              <w:t>等效黏土防渗层Mb≥6.0m，渗透系数K</w:t>
            </w:r>
            <w:r>
              <w:rPr>
                <w:b/>
                <w:bCs/>
                <w:color w:val="auto"/>
              </w:rPr>
              <w:t>≤10</w:t>
            </w:r>
            <w:r>
              <w:rPr>
                <w:b/>
                <w:bCs/>
                <w:color w:val="auto"/>
                <w:vertAlign w:val="superscript"/>
              </w:rPr>
              <w:t>-7</w:t>
            </w:r>
            <w:r>
              <w:rPr>
                <w:b/>
                <w:bCs/>
                <w:color w:val="auto"/>
              </w:rPr>
              <w:t>cm/s</w:t>
            </w:r>
            <w:r>
              <w:rPr>
                <w:rFonts w:hint="eastAsia"/>
                <w:b/>
                <w:bCs/>
                <w:color w:val="auto"/>
                <w:szCs w:val="21"/>
              </w:rPr>
              <w:t>；</w:t>
            </w:r>
            <w:r>
              <w:rPr>
                <w:rFonts w:hint="eastAsia"/>
                <w:b/>
                <w:bCs/>
                <w:color w:val="auto"/>
                <w:szCs w:val="21"/>
                <w:lang w:eastAsia="zh-CN"/>
              </w:rPr>
              <w:t>现有</w:t>
            </w:r>
            <w:r>
              <w:rPr>
                <w:rFonts w:hint="eastAsia"/>
                <w:b/>
                <w:bCs/>
                <w:color w:val="auto"/>
                <w:szCs w:val="21"/>
              </w:rPr>
              <w:t>工程</w:t>
            </w:r>
            <w:r>
              <w:rPr>
                <w:b/>
                <w:bCs/>
                <w:color w:val="auto"/>
                <w:szCs w:val="21"/>
              </w:rPr>
              <w:t>化学品中转库、事故应急池、</w:t>
            </w:r>
            <w:r>
              <w:rPr>
                <w:rFonts w:hint="eastAsia"/>
                <w:b/>
                <w:bCs/>
                <w:color w:val="auto"/>
                <w:szCs w:val="21"/>
              </w:rPr>
              <w:t>危废暂存间</w:t>
            </w:r>
            <w:r>
              <w:rPr>
                <w:b/>
                <w:bCs/>
                <w:color w:val="auto"/>
                <w:szCs w:val="21"/>
              </w:rPr>
              <w:t>、污水处理站重点防渗</w:t>
            </w:r>
            <w:r>
              <w:rPr>
                <w:rFonts w:hint="eastAsia"/>
                <w:b/>
                <w:bCs/>
                <w:color w:val="auto"/>
                <w:szCs w:val="21"/>
              </w:rPr>
              <w:t>措施不变</w:t>
            </w:r>
            <w:r>
              <w:rPr>
                <w:rFonts w:hint="eastAsia"/>
                <w:b/>
                <w:bCs/>
                <w:color w:val="auto"/>
                <w:szCs w:val="21"/>
                <w:lang w:eastAsia="zh-CN"/>
              </w:rPr>
              <w:t>，</w:t>
            </w:r>
            <w:r>
              <w:rPr>
                <w:b/>
                <w:bCs/>
                <w:color w:val="auto"/>
                <w:szCs w:val="21"/>
              </w:rPr>
              <w:t>渗透系数不大于1×10</w:t>
            </w:r>
            <w:r>
              <w:rPr>
                <w:b/>
                <w:bCs/>
                <w:color w:val="auto"/>
                <w:szCs w:val="21"/>
                <w:vertAlign w:val="superscript"/>
              </w:rPr>
              <w:t>-10</w:t>
            </w:r>
            <w:r>
              <w:rPr>
                <w:b/>
                <w:bCs/>
                <w:color w:val="auto"/>
                <w:szCs w:val="21"/>
              </w:rPr>
              <w:t>cm/s。</w:t>
            </w:r>
          </w:p>
        </w:tc>
        <w:tc>
          <w:tcPr>
            <w:tcW w:w="1779" w:type="dxa"/>
            <w:tcBorders>
              <w:top w:val="single" w:color="000000" w:sz="4" w:space="0"/>
              <w:left w:val="single" w:color="000000" w:sz="4" w:space="0"/>
              <w:bottom w:val="single" w:color="000000" w:sz="4" w:space="0"/>
              <w:right w:val="single" w:color="000000" w:sz="4" w:space="0"/>
            </w:tcBorders>
            <w:noWrap w:val="0"/>
            <w:vAlign w:val="center"/>
          </w:tcPr>
          <w:p>
            <w:pPr>
              <w:spacing w:line="320" w:lineRule="exact"/>
              <w:ind w:left="-63" w:leftChars="-30" w:right="-63" w:rightChars="-30"/>
              <w:jc w:val="center"/>
              <w:rPr>
                <w:rFonts w:hint="eastAsia" w:eastAsia="宋体"/>
                <w:b/>
                <w:bCs/>
                <w:color w:val="auto"/>
                <w:szCs w:val="21"/>
                <w:lang w:eastAsia="zh-CN"/>
              </w:rPr>
            </w:pPr>
            <w:r>
              <w:rPr>
                <w:rFonts w:hint="eastAsia"/>
                <w:b/>
                <w:bCs/>
                <w:color w:val="auto"/>
                <w:szCs w:val="21"/>
                <w:lang w:eastAsia="zh-CN"/>
              </w:rPr>
              <w:t>依托，本次扩建不变</w:t>
            </w:r>
          </w:p>
        </w:tc>
      </w:tr>
    </w:tbl>
    <w:p>
      <w:pPr>
        <w:pStyle w:val="18"/>
        <w:jc w:val="both"/>
        <w:outlineLvl w:val="0"/>
        <w:rPr>
          <w:rFonts w:hint="eastAsia" w:ascii="黑体" w:hAnsi="黑体" w:eastAsia="黑体"/>
          <w:snapToGrid w:val="0"/>
          <w:color w:val="auto"/>
          <w:sz w:val="30"/>
          <w:szCs w:val="30"/>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pPr>
              <w:adjustRightInd w:val="0"/>
              <w:snapToGrid w:val="0"/>
              <w:jc w:val="center"/>
              <w:rPr>
                <w:rFonts w:cs="宋体"/>
                <w:b/>
                <w:color w:val="auto"/>
                <w:szCs w:val="21"/>
              </w:rPr>
            </w:pPr>
            <w:r>
              <w:rPr>
                <w:rFonts w:hint="eastAsia" w:ascii="宋体" w:hAnsi="宋体" w:cs="宋体"/>
                <w:b/>
                <w:color w:val="auto"/>
                <w:szCs w:val="21"/>
              </w:rPr>
              <w:t>建设</w:t>
            </w:r>
            <w:r>
              <w:rPr>
                <w:rFonts w:hint="eastAsia" w:cs="宋体"/>
                <w:b/>
                <w:color w:val="auto"/>
                <w:szCs w:val="21"/>
              </w:rPr>
              <w:t>内容</w:t>
            </w:r>
          </w:p>
        </w:tc>
        <w:tc>
          <w:tcPr>
            <w:tcW w:w="8860" w:type="dxa"/>
            <w:noWrap w:val="0"/>
            <w:vAlign w:val="top"/>
          </w:tcPr>
          <w:p>
            <w:pPr>
              <w:widowControl/>
              <w:numPr>
                <w:ilvl w:val="0"/>
                <w:numId w:val="2"/>
              </w:numPr>
              <w:jc w:val="center"/>
            </w:pPr>
            <w:r>
              <w:rPr>
                <w:rFonts w:hint="eastAsia"/>
                <w:b/>
                <w:color w:val="auto"/>
                <w:kern w:val="0"/>
                <w:szCs w:val="21"/>
              </w:rPr>
              <w:t xml:space="preserve"> </w:t>
            </w:r>
            <w:r>
              <w:rPr>
                <w:rFonts w:hint="eastAsia"/>
                <w:b/>
                <w:color w:val="auto"/>
                <w:kern w:val="0"/>
                <w:szCs w:val="21"/>
                <w:lang w:val="en-US" w:eastAsia="zh-CN"/>
              </w:rPr>
              <w:t>本</w:t>
            </w:r>
            <w:r>
              <w:rPr>
                <w:b/>
                <w:color w:val="auto"/>
                <w:kern w:val="0"/>
                <w:szCs w:val="21"/>
              </w:rPr>
              <w:t>项目</w:t>
            </w:r>
            <w:r>
              <w:rPr>
                <w:rFonts w:hint="eastAsia"/>
                <w:b/>
                <w:color w:val="auto"/>
                <w:kern w:val="0"/>
                <w:szCs w:val="21"/>
                <w:lang w:val="en-US" w:eastAsia="zh-CN"/>
              </w:rPr>
              <w:t>依托工程可行性分析</w:t>
            </w:r>
          </w:p>
          <w:tbl>
            <w:tblPr>
              <w:tblStyle w:val="20"/>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68"/>
              <w:gridCol w:w="1027"/>
              <w:gridCol w:w="2970"/>
              <w:gridCol w:w="2685"/>
              <w:gridCol w:w="11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3" w:hRule="atLeast"/>
                <w:tblHeader/>
                <w:jc w:val="center"/>
              </w:trPr>
              <w:tc>
                <w:tcPr>
                  <w:tcW w:w="768" w:type="dxa"/>
                  <w:noWrap w:val="0"/>
                  <w:vAlign w:val="center"/>
                </w:tcPr>
                <w:p>
                  <w:pPr>
                    <w:widowControl/>
                    <w:jc w:val="center"/>
                    <w:rPr>
                      <w:b/>
                      <w:color w:val="auto"/>
                      <w:kern w:val="0"/>
                      <w:szCs w:val="21"/>
                    </w:rPr>
                  </w:pPr>
                  <w:r>
                    <w:rPr>
                      <w:b/>
                      <w:color w:val="auto"/>
                      <w:kern w:val="0"/>
                      <w:szCs w:val="21"/>
                    </w:rPr>
                    <w:t>工程</w:t>
                  </w:r>
                </w:p>
                <w:p>
                  <w:pPr>
                    <w:widowControl/>
                    <w:jc w:val="center"/>
                    <w:rPr>
                      <w:b/>
                      <w:color w:val="auto"/>
                      <w:kern w:val="0"/>
                      <w:szCs w:val="21"/>
                    </w:rPr>
                  </w:pPr>
                  <w:r>
                    <w:rPr>
                      <w:b/>
                      <w:color w:val="auto"/>
                      <w:kern w:val="0"/>
                      <w:szCs w:val="21"/>
                    </w:rPr>
                    <w:t>类别</w:t>
                  </w:r>
                </w:p>
              </w:tc>
              <w:tc>
                <w:tcPr>
                  <w:tcW w:w="1027" w:type="dxa"/>
                  <w:noWrap w:val="0"/>
                  <w:vAlign w:val="center"/>
                </w:tcPr>
                <w:p>
                  <w:pPr>
                    <w:widowControl/>
                    <w:jc w:val="center"/>
                    <w:rPr>
                      <w:b/>
                      <w:color w:val="auto"/>
                      <w:kern w:val="0"/>
                      <w:szCs w:val="21"/>
                    </w:rPr>
                  </w:pPr>
                  <w:r>
                    <w:rPr>
                      <w:b/>
                      <w:color w:val="auto"/>
                      <w:kern w:val="0"/>
                      <w:szCs w:val="21"/>
                    </w:rPr>
                    <w:t>工程</w:t>
                  </w:r>
                </w:p>
                <w:p>
                  <w:pPr>
                    <w:widowControl/>
                    <w:jc w:val="center"/>
                    <w:rPr>
                      <w:b/>
                      <w:color w:val="auto"/>
                      <w:kern w:val="0"/>
                      <w:szCs w:val="21"/>
                    </w:rPr>
                  </w:pPr>
                  <w:r>
                    <w:rPr>
                      <w:b/>
                      <w:color w:val="auto"/>
                      <w:kern w:val="0"/>
                      <w:szCs w:val="21"/>
                    </w:rPr>
                    <w:t>名称</w:t>
                  </w:r>
                </w:p>
              </w:tc>
              <w:tc>
                <w:tcPr>
                  <w:tcW w:w="2970" w:type="dxa"/>
                  <w:noWrap w:val="0"/>
                  <w:vAlign w:val="center"/>
                </w:tcPr>
                <w:p>
                  <w:pPr>
                    <w:widowControl/>
                    <w:jc w:val="center"/>
                    <w:rPr>
                      <w:rFonts w:hint="eastAsia"/>
                      <w:b/>
                      <w:color w:val="auto"/>
                      <w:kern w:val="0"/>
                      <w:szCs w:val="21"/>
                    </w:rPr>
                  </w:pPr>
                  <w:r>
                    <w:rPr>
                      <w:rFonts w:hint="eastAsia"/>
                      <w:b/>
                      <w:color w:val="auto"/>
                      <w:kern w:val="0"/>
                      <w:szCs w:val="21"/>
                    </w:rPr>
                    <w:t>扩建前情况</w:t>
                  </w:r>
                </w:p>
              </w:tc>
              <w:tc>
                <w:tcPr>
                  <w:tcW w:w="2685" w:type="dxa"/>
                  <w:noWrap w:val="0"/>
                  <w:vAlign w:val="center"/>
                </w:tcPr>
                <w:p>
                  <w:pPr>
                    <w:widowControl/>
                    <w:jc w:val="center"/>
                    <w:rPr>
                      <w:rFonts w:hint="eastAsia"/>
                      <w:b/>
                      <w:color w:val="auto"/>
                      <w:kern w:val="0"/>
                      <w:szCs w:val="21"/>
                    </w:rPr>
                  </w:pPr>
                  <w:r>
                    <w:rPr>
                      <w:rFonts w:hint="eastAsia"/>
                      <w:b/>
                      <w:color w:val="auto"/>
                      <w:kern w:val="0"/>
                      <w:szCs w:val="21"/>
                    </w:rPr>
                    <w:t>扩建后情况</w:t>
                  </w:r>
                </w:p>
              </w:tc>
              <w:tc>
                <w:tcPr>
                  <w:tcW w:w="1178" w:type="dxa"/>
                  <w:noWrap w:val="0"/>
                  <w:vAlign w:val="center"/>
                </w:tcPr>
                <w:p>
                  <w:pPr>
                    <w:widowControl/>
                    <w:jc w:val="center"/>
                    <w:rPr>
                      <w:rFonts w:hint="eastAsia"/>
                      <w:b/>
                      <w:color w:val="auto"/>
                      <w:kern w:val="0"/>
                      <w:szCs w:val="21"/>
                    </w:rPr>
                  </w:pPr>
                  <w:r>
                    <w:rPr>
                      <w:rFonts w:hint="eastAsia"/>
                      <w:b/>
                      <w:color w:val="auto"/>
                      <w:kern w:val="0"/>
                      <w:szCs w:val="21"/>
                    </w:rPr>
                    <w:t>依托</w:t>
                  </w:r>
                </w:p>
                <w:p>
                  <w:pPr>
                    <w:widowControl/>
                    <w:jc w:val="center"/>
                    <w:rPr>
                      <w:rFonts w:hint="eastAsia"/>
                      <w:b/>
                      <w:color w:val="auto"/>
                      <w:kern w:val="0"/>
                      <w:szCs w:val="21"/>
                    </w:rPr>
                  </w:pPr>
                  <w:r>
                    <w:rPr>
                      <w:rFonts w:hint="eastAsia"/>
                      <w:b/>
                      <w:color w:val="auto"/>
                      <w:kern w:val="0"/>
                      <w:szCs w:val="21"/>
                    </w:rPr>
                    <w:t>可行性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9" w:hRule="atLeast"/>
                <w:tblHeader/>
                <w:jc w:val="center"/>
              </w:trPr>
              <w:tc>
                <w:tcPr>
                  <w:tcW w:w="768" w:type="dxa"/>
                  <w:vMerge w:val="restart"/>
                  <w:noWrap w:val="0"/>
                  <w:vAlign w:val="center"/>
                </w:tcPr>
                <w:p>
                  <w:pPr>
                    <w:widowControl/>
                    <w:jc w:val="center"/>
                    <w:rPr>
                      <w:b w:val="0"/>
                      <w:bCs/>
                      <w:color w:val="auto"/>
                      <w:kern w:val="0"/>
                      <w:szCs w:val="21"/>
                    </w:rPr>
                  </w:pPr>
                  <w:r>
                    <w:rPr>
                      <w:rFonts w:hint="eastAsia"/>
                      <w:b w:val="0"/>
                      <w:bCs/>
                      <w:color w:val="auto"/>
                      <w:kern w:val="0"/>
                      <w:szCs w:val="21"/>
                    </w:rPr>
                    <w:t>储运工程</w:t>
                  </w:r>
                </w:p>
              </w:tc>
              <w:tc>
                <w:tcPr>
                  <w:tcW w:w="1027" w:type="dxa"/>
                  <w:noWrap w:val="0"/>
                  <w:vAlign w:val="center"/>
                </w:tcPr>
                <w:p>
                  <w:pPr>
                    <w:tabs>
                      <w:tab w:val="left" w:pos="3255"/>
                    </w:tabs>
                    <w:adjustRightInd w:val="0"/>
                    <w:spacing w:line="320" w:lineRule="exact"/>
                    <w:jc w:val="center"/>
                    <w:rPr>
                      <w:rFonts w:hint="eastAsia"/>
                      <w:b w:val="0"/>
                      <w:bCs/>
                      <w:color w:val="auto"/>
                      <w:szCs w:val="21"/>
                    </w:rPr>
                  </w:pPr>
                  <w:r>
                    <w:rPr>
                      <w:rFonts w:hint="eastAsia"/>
                      <w:b w:val="0"/>
                      <w:bCs/>
                      <w:color w:val="auto"/>
                      <w:szCs w:val="21"/>
                    </w:rPr>
                    <w:t>智慧仓库</w:t>
                  </w:r>
                </w:p>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（206）</w:t>
                  </w:r>
                </w:p>
              </w:tc>
              <w:tc>
                <w:tcPr>
                  <w:tcW w:w="2970" w:type="dxa"/>
                  <w:noWrap w:val="0"/>
                  <w:vAlign w:val="center"/>
                </w:tcPr>
                <w:p>
                  <w:pPr>
                    <w:adjustRightInd w:val="0"/>
                    <w:spacing w:line="320" w:lineRule="exact"/>
                    <w:jc w:val="center"/>
                    <w:rPr>
                      <w:b w:val="0"/>
                      <w:bCs/>
                      <w:color w:val="auto"/>
                      <w:kern w:val="0"/>
                      <w:szCs w:val="21"/>
                    </w:rPr>
                  </w:pPr>
                  <w:r>
                    <w:rPr>
                      <w:b w:val="0"/>
                      <w:bCs/>
                      <w:color w:val="auto"/>
                      <w:szCs w:val="21"/>
                    </w:rPr>
                    <w:t>位于厂区</w:t>
                  </w:r>
                  <w:r>
                    <w:rPr>
                      <w:rFonts w:hint="eastAsia"/>
                      <w:b w:val="0"/>
                      <w:bCs/>
                      <w:color w:val="auto"/>
                      <w:szCs w:val="21"/>
                    </w:rPr>
                    <w:t>西侧中部</w:t>
                  </w:r>
                  <w:r>
                    <w:rPr>
                      <w:b w:val="0"/>
                      <w:bCs/>
                      <w:color w:val="auto"/>
                      <w:szCs w:val="21"/>
                    </w:rPr>
                    <w:t>，</w:t>
                  </w:r>
                  <w:r>
                    <w:rPr>
                      <w:rFonts w:hint="eastAsia"/>
                      <w:b w:val="0"/>
                      <w:bCs/>
                      <w:color w:val="auto"/>
                      <w:szCs w:val="21"/>
                    </w:rPr>
                    <w:t>建筑面积为25498.32</w:t>
                  </w:r>
                  <w:r>
                    <w:rPr>
                      <w:b w:val="0"/>
                      <w:bCs/>
                      <w:color w:val="auto"/>
                      <w:szCs w:val="21"/>
                    </w:rPr>
                    <w:t>m</w:t>
                  </w:r>
                  <w:r>
                    <w:rPr>
                      <w:b w:val="0"/>
                      <w:bCs/>
                      <w:color w:val="auto"/>
                      <w:szCs w:val="21"/>
                      <w:vertAlign w:val="superscript"/>
                    </w:rPr>
                    <w:t>2</w:t>
                  </w:r>
                  <w:r>
                    <w:rPr>
                      <w:rFonts w:hint="eastAsia"/>
                      <w:b w:val="0"/>
                      <w:bCs/>
                      <w:color w:val="auto"/>
                      <w:szCs w:val="21"/>
                    </w:rPr>
                    <w:t>，主要用于全厂区</w:t>
                  </w:r>
                  <w:r>
                    <w:rPr>
                      <w:b w:val="0"/>
                      <w:bCs/>
                      <w:color w:val="auto"/>
                      <w:szCs w:val="21"/>
                    </w:rPr>
                    <w:t>太阳能电池组件成品</w:t>
                  </w:r>
                  <w:r>
                    <w:rPr>
                      <w:rFonts w:hint="eastAsia"/>
                      <w:b w:val="0"/>
                      <w:bCs/>
                      <w:color w:val="auto"/>
                      <w:szCs w:val="21"/>
                    </w:rPr>
                    <w:t>存放</w:t>
                  </w:r>
                </w:p>
              </w:tc>
              <w:tc>
                <w:tcPr>
                  <w:tcW w:w="2685" w:type="dxa"/>
                  <w:noWrap w:val="0"/>
                  <w:vAlign w:val="center"/>
                </w:tcPr>
                <w:p>
                  <w:pPr>
                    <w:widowControl/>
                    <w:jc w:val="center"/>
                    <w:rPr>
                      <w:rFonts w:hint="eastAsia" w:eastAsia="宋体"/>
                      <w:b w:val="0"/>
                      <w:bCs/>
                      <w:color w:val="auto"/>
                      <w:kern w:val="0"/>
                      <w:szCs w:val="21"/>
                      <w:lang w:eastAsia="zh-CN"/>
                    </w:rPr>
                  </w:pPr>
                  <w:r>
                    <w:rPr>
                      <w:rFonts w:hint="eastAsia"/>
                      <w:b w:val="0"/>
                      <w:bCs/>
                      <w:color w:val="auto"/>
                      <w:kern w:val="0"/>
                      <w:szCs w:val="21"/>
                    </w:rPr>
                    <w:t>本项目扩建后通过</w:t>
                  </w:r>
                  <w:r>
                    <w:rPr>
                      <w:rFonts w:hint="eastAsia"/>
                      <w:b w:val="0"/>
                      <w:bCs/>
                      <w:color w:val="auto"/>
                      <w:kern w:val="0"/>
                      <w:szCs w:val="21"/>
                      <w:lang w:val="en-US" w:eastAsia="zh-CN"/>
                    </w:rPr>
                    <w:t>合理运用</w:t>
                  </w:r>
                  <w:r>
                    <w:rPr>
                      <w:rFonts w:hint="eastAsia"/>
                      <w:b w:val="0"/>
                      <w:bCs/>
                      <w:color w:val="auto"/>
                      <w:kern w:val="0"/>
                      <w:szCs w:val="21"/>
                    </w:rPr>
                    <w:t>储存周期等方式可确保</w:t>
                  </w:r>
                  <w:r>
                    <w:rPr>
                      <w:rFonts w:hint="eastAsia"/>
                      <w:b w:val="0"/>
                      <w:bCs/>
                      <w:color w:val="auto"/>
                      <w:kern w:val="0"/>
                      <w:szCs w:val="21"/>
                      <w:lang w:val="en-US" w:eastAsia="zh-CN"/>
                    </w:rPr>
                    <w:t>智慧</w:t>
                  </w:r>
                  <w:r>
                    <w:rPr>
                      <w:rFonts w:hint="eastAsia"/>
                      <w:b w:val="0"/>
                      <w:bCs/>
                      <w:color w:val="auto"/>
                      <w:kern w:val="0"/>
                      <w:szCs w:val="21"/>
                    </w:rPr>
                    <w:t>仓库满足扩建后需要</w:t>
                  </w:r>
                  <w:r>
                    <w:rPr>
                      <w:rFonts w:hint="eastAsia"/>
                      <w:b w:val="0"/>
                      <w:bCs/>
                      <w:color w:val="auto"/>
                      <w:kern w:val="0"/>
                      <w:szCs w:val="21"/>
                      <w:lang w:eastAsia="zh-CN"/>
                    </w:rPr>
                    <w:t>，智慧仓库设计为全厂智慧工厂在建项目使用</w:t>
                  </w:r>
                </w:p>
              </w:tc>
              <w:tc>
                <w:tcPr>
                  <w:tcW w:w="1178" w:type="dxa"/>
                  <w:noWrap w:val="0"/>
                  <w:vAlign w:val="center"/>
                </w:tcPr>
                <w:p>
                  <w:pPr>
                    <w:widowControl/>
                    <w:jc w:val="center"/>
                    <w:rPr>
                      <w:rFonts w:hint="eastAsia"/>
                      <w:b w:val="0"/>
                      <w:bCs/>
                      <w:color w:val="auto"/>
                      <w:kern w:val="0"/>
                      <w:szCs w:val="21"/>
                    </w:rPr>
                  </w:pPr>
                  <w:r>
                    <w:rPr>
                      <w:rFonts w:hint="eastAsia"/>
                      <w:b w:val="0"/>
                      <w:bCs/>
                      <w:color w:val="auto"/>
                      <w:kern w:val="0"/>
                      <w:szCs w:val="21"/>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tabs>
                      <w:tab w:val="left" w:pos="3255"/>
                    </w:tabs>
                    <w:adjustRightInd w:val="0"/>
                    <w:spacing w:line="320" w:lineRule="exact"/>
                    <w:jc w:val="center"/>
                    <w:rPr>
                      <w:rFonts w:hint="eastAsia"/>
                      <w:b w:val="0"/>
                      <w:bCs/>
                      <w:color w:val="auto"/>
                      <w:szCs w:val="21"/>
                    </w:rPr>
                  </w:pPr>
                  <w:r>
                    <w:rPr>
                      <w:rFonts w:hint="eastAsia"/>
                      <w:b w:val="0"/>
                      <w:bCs/>
                      <w:color w:val="auto"/>
                      <w:szCs w:val="21"/>
                    </w:rPr>
                    <w:t>原料仓库</w:t>
                  </w:r>
                </w:p>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（205）</w:t>
                  </w:r>
                </w:p>
              </w:tc>
              <w:tc>
                <w:tcPr>
                  <w:tcW w:w="2970" w:type="dxa"/>
                  <w:noWrap w:val="0"/>
                  <w:vAlign w:val="center"/>
                </w:tcPr>
                <w:p>
                  <w:pPr>
                    <w:tabs>
                      <w:tab w:val="left" w:pos="3255"/>
                    </w:tabs>
                    <w:adjustRightInd w:val="0"/>
                    <w:spacing w:line="320" w:lineRule="exact"/>
                    <w:jc w:val="center"/>
                    <w:rPr>
                      <w:rFonts w:hint="eastAsia"/>
                      <w:b w:val="0"/>
                      <w:bCs/>
                      <w:color w:val="auto"/>
                      <w:kern w:val="0"/>
                      <w:szCs w:val="21"/>
                    </w:rPr>
                  </w:pPr>
                  <w:r>
                    <w:rPr>
                      <w:b w:val="0"/>
                      <w:bCs/>
                      <w:color w:val="auto"/>
                      <w:szCs w:val="21"/>
                    </w:rPr>
                    <w:t>位于厂区</w:t>
                  </w:r>
                  <w:r>
                    <w:rPr>
                      <w:rFonts w:hint="eastAsia"/>
                      <w:b w:val="0"/>
                      <w:bCs/>
                      <w:color w:val="auto"/>
                      <w:szCs w:val="21"/>
                    </w:rPr>
                    <w:t>西侧北部</w:t>
                  </w:r>
                  <w:r>
                    <w:rPr>
                      <w:b w:val="0"/>
                      <w:bCs/>
                      <w:color w:val="auto"/>
                      <w:szCs w:val="21"/>
                    </w:rPr>
                    <w:t>，</w:t>
                  </w:r>
                  <w:r>
                    <w:rPr>
                      <w:rFonts w:hint="eastAsia"/>
                      <w:b w:val="0"/>
                      <w:bCs/>
                      <w:color w:val="auto"/>
                      <w:szCs w:val="21"/>
                    </w:rPr>
                    <w:t>建筑面积为18781.29</w:t>
                  </w:r>
                  <w:r>
                    <w:rPr>
                      <w:b w:val="0"/>
                      <w:bCs/>
                      <w:color w:val="auto"/>
                      <w:szCs w:val="21"/>
                    </w:rPr>
                    <w:t>m</w:t>
                  </w:r>
                  <w:r>
                    <w:rPr>
                      <w:b w:val="0"/>
                      <w:bCs/>
                      <w:color w:val="auto"/>
                      <w:szCs w:val="21"/>
                      <w:vertAlign w:val="superscript"/>
                    </w:rPr>
                    <w:t>2</w:t>
                  </w:r>
                  <w:r>
                    <w:rPr>
                      <w:rFonts w:hint="eastAsia"/>
                      <w:b w:val="0"/>
                      <w:bCs/>
                      <w:color w:val="auto"/>
                      <w:szCs w:val="21"/>
                    </w:rPr>
                    <w:t>，</w:t>
                  </w:r>
                  <w:r>
                    <w:rPr>
                      <w:b w:val="0"/>
                      <w:bCs/>
                      <w:color w:val="auto"/>
                      <w:szCs w:val="21"/>
                    </w:rPr>
                    <w:t>主要用于</w:t>
                  </w:r>
                  <w:r>
                    <w:rPr>
                      <w:rFonts w:hint="eastAsia"/>
                      <w:b w:val="0"/>
                      <w:bCs/>
                      <w:color w:val="auto"/>
                      <w:szCs w:val="21"/>
                      <w:lang w:eastAsia="zh-CN"/>
                    </w:rPr>
                    <w:t>智慧工厂</w:t>
                  </w:r>
                  <w:r>
                    <w:rPr>
                      <w:rFonts w:hint="eastAsia"/>
                      <w:b w:val="0"/>
                      <w:bCs/>
                      <w:color w:val="auto"/>
                      <w:szCs w:val="21"/>
                    </w:rPr>
                    <w:t>项目</w:t>
                  </w:r>
                  <w:r>
                    <w:rPr>
                      <w:rFonts w:hint="eastAsia"/>
                      <w:b w:val="0"/>
                      <w:bCs/>
                      <w:color w:val="auto"/>
                      <w:szCs w:val="21"/>
                      <w:lang w:eastAsia="zh-CN"/>
                    </w:rPr>
                    <w:t>（一期）</w:t>
                  </w:r>
                  <w:r>
                    <w:rPr>
                      <w:rFonts w:hint="eastAsia"/>
                      <w:b w:val="0"/>
                      <w:bCs/>
                      <w:color w:val="auto"/>
                      <w:szCs w:val="21"/>
                    </w:rPr>
                    <w:t>及后期规划项目电池片、</w:t>
                  </w:r>
                  <w:r>
                    <w:rPr>
                      <w:b w:val="0"/>
                      <w:bCs/>
                      <w:color w:val="auto"/>
                      <w:szCs w:val="21"/>
                    </w:rPr>
                    <w:t>EVA树脂、基板玻璃、铝框、涂锡铜带等原辅料</w:t>
                  </w:r>
                  <w:r>
                    <w:rPr>
                      <w:rFonts w:hint="eastAsia"/>
                      <w:b w:val="0"/>
                      <w:bCs/>
                      <w:color w:val="auto"/>
                      <w:szCs w:val="21"/>
                    </w:rPr>
                    <w:t>的储存</w:t>
                  </w:r>
                </w:p>
              </w:tc>
              <w:tc>
                <w:tcPr>
                  <w:tcW w:w="2685" w:type="dxa"/>
                  <w:noWrap w:val="0"/>
                  <w:vAlign w:val="center"/>
                </w:tcPr>
                <w:p>
                  <w:pPr>
                    <w:widowControl/>
                    <w:jc w:val="center"/>
                    <w:rPr>
                      <w:rFonts w:hint="eastAsia" w:eastAsia="宋体"/>
                      <w:b w:val="0"/>
                      <w:bCs/>
                      <w:color w:val="auto"/>
                      <w:kern w:val="0"/>
                      <w:szCs w:val="21"/>
                      <w:lang w:eastAsia="zh-CN"/>
                    </w:rPr>
                  </w:pPr>
                  <w:r>
                    <w:rPr>
                      <w:rFonts w:hint="eastAsia"/>
                      <w:b w:val="0"/>
                      <w:bCs/>
                      <w:color w:val="auto"/>
                      <w:kern w:val="0"/>
                      <w:szCs w:val="21"/>
                    </w:rPr>
                    <w:t>本项目</w:t>
                  </w:r>
                  <w:r>
                    <w:rPr>
                      <w:rFonts w:hint="eastAsia"/>
                      <w:b w:val="0"/>
                      <w:bCs/>
                      <w:color w:val="auto"/>
                      <w:kern w:val="0"/>
                      <w:szCs w:val="21"/>
                      <w:lang w:val="en-US" w:eastAsia="zh-CN"/>
                    </w:rPr>
                    <w:t>扩建后通过合理运用</w:t>
                  </w:r>
                  <w:r>
                    <w:rPr>
                      <w:rFonts w:hint="eastAsia"/>
                      <w:b w:val="0"/>
                      <w:bCs/>
                      <w:color w:val="auto"/>
                      <w:kern w:val="0"/>
                      <w:szCs w:val="21"/>
                    </w:rPr>
                    <w:t>储存周期等方式</w:t>
                  </w:r>
                  <w:r>
                    <w:rPr>
                      <w:rFonts w:hint="eastAsia"/>
                      <w:b w:val="0"/>
                      <w:bCs/>
                      <w:color w:val="auto"/>
                      <w:kern w:val="0"/>
                      <w:szCs w:val="21"/>
                      <w:lang w:val="en-US" w:eastAsia="zh-CN"/>
                    </w:rPr>
                    <w:t>可确保原料</w:t>
                  </w:r>
                  <w:r>
                    <w:rPr>
                      <w:rFonts w:hint="eastAsia"/>
                      <w:b w:val="0"/>
                      <w:bCs/>
                      <w:color w:val="auto"/>
                      <w:kern w:val="0"/>
                      <w:szCs w:val="21"/>
                    </w:rPr>
                    <w:t>仓库满足扩建后需求</w:t>
                  </w:r>
                  <w:r>
                    <w:rPr>
                      <w:rFonts w:hint="eastAsia"/>
                      <w:b w:val="0"/>
                      <w:bCs/>
                      <w:color w:val="auto"/>
                      <w:kern w:val="0"/>
                      <w:szCs w:val="21"/>
                      <w:lang w:eastAsia="zh-CN"/>
                    </w:rPr>
                    <w:t>，原料仓库设计为全厂智慧工厂在建项目使用</w:t>
                  </w:r>
                </w:p>
              </w:tc>
              <w:tc>
                <w:tcPr>
                  <w:tcW w:w="1178" w:type="dxa"/>
                  <w:noWrap w:val="0"/>
                  <w:vAlign w:val="center"/>
                </w:tcPr>
                <w:p>
                  <w:pPr>
                    <w:widowControl/>
                    <w:jc w:val="center"/>
                    <w:rPr>
                      <w:rFonts w:hint="eastAsia"/>
                      <w:b w:val="0"/>
                      <w:bCs/>
                      <w:color w:val="auto"/>
                      <w:kern w:val="0"/>
                      <w:szCs w:val="21"/>
                    </w:rPr>
                  </w:pPr>
                  <w:r>
                    <w:rPr>
                      <w:rFonts w:hint="eastAsia"/>
                      <w:b w:val="0"/>
                      <w:bCs/>
                      <w:color w:val="auto"/>
                      <w:kern w:val="0"/>
                      <w:szCs w:val="21"/>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tabs>
                      <w:tab w:val="left" w:pos="3255"/>
                    </w:tabs>
                    <w:adjustRightInd w:val="0"/>
                    <w:spacing w:line="320" w:lineRule="exact"/>
                    <w:jc w:val="center"/>
                    <w:rPr>
                      <w:rFonts w:hint="eastAsia"/>
                      <w:b w:val="0"/>
                      <w:bCs/>
                      <w:color w:val="auto"/>
                      <w:szCs w:val="21"/>
                    </w:rPr>
                  </w:pPr>
                  <w:r>
                    <w:rPr>
                      <w:rFonts w:hint="eastAsia"/>
                      <w:b w:val="0"/>
                      <w:bCs/>
                      <w:color w:val="auto"/>
                      <w:szCs w:val="21"/>
                    </w:rPr>
                    <w:t>甲类仓库</w:t>
                  </w:r>
                </w:p>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（203）</w:t>
                  </w:r>
                </w:p>
              </w:tc>
              <w:tc>
                <w:tcPr>
                  <w:tcW w:w="2970" w:type="dxa"/>
                  <w:noWrap w:val="0"/>
                  <w:vAlign w:val="center"/>
                </w:tcPr>
                <w:p>
                  <w:pPr>
                    <w:tabs>
                      <w:tab w:val="left" w:pos="3255"/>
                    </w:tabs>
                    <w:adjustRightInd w:val="0"/>
                    <w:spacing w:line="320" w:lineRule="exact"/>
                    <w:jc w:val="both"/>
                    <w:rPr>
                      <w:rFonts w:hint="eastAsia"/>
                      <w:b w:val="0"/>
                      <w:bCs/>
                      <w:color w:val="auto"/>
                      <w:kern w:val="0"/>
                      <w:szCs w:val="21"/>
                    </w:rPr>
                  </w:pPr>
                  <w:r>
                    <w:rPr>
                      <w:rFonts w:hint="eastAsia"/>
                      <w:b w:val="0"/>
                      <w:bCs/>
                      <w:color w:val="auto"/>
                      <w:szCs w:val="21"/>
                    </w:rPr>
                    <w:t>位于厂区西南部，</w:t>
                  </w:r>
                  <w:r>
                    <w:rPr>
                      <w:b w:val="0"/>
                      <w:bCs/>
                      <w:color w:val="auto"/>
                      <w:szCs w:val="21"/>
                    </w:rPr>
                    <w:t>建筑面积约</w:t>
                  </w:r>
                  <w:r>
                    <w:rPr>
                      <w:rFonts w:hint="eastAsia"/>
                      <w:b w:val="0"/>
                      <w:bCs/>
                      <w:color w:val="auto"/>
                      <w:szCs w:val="21"/>
                    </w:rPr>
                    <w:t>639.18</w:t>
                  </w:r>
                  <w:r>
                    <w:rPr>
                      <w:b w:val="0"/>
                      <w:bCs/>
                      <w:color w:val="auto"/>
                      <w:szCs w:val="21"/>
                    </w:rPr>
                    <w:t>m</w:t>
                  </w:r>
                  <w:r>
                    <w:rPr>
                      <w:b w:val="0"/>
                      <w:bCs/>
                      <w:color w:val="auto"/>
                      <w:szCs w:val="21"/>
                      <w:vertAlign w:val="superscript"/>
                    </w:rPr>
                    <w:t>2</w:t>
                  </w:r>
                  <w:r>
                    <w:rPr>
                      <w:rFonts w:hint="eastAsia"/>
                      <w:b w:val="0"/>
                      <w:bCs/>
                      <w:color w:val="auto"/>
                      <w:szCs w:val="21"/>
                    </w:rPr>
                    <w:t>，主要用于</w:t>
                  </w:r>
                  <w:r>
                    <w:rPr>
                      <w:rFonts w:hint="eastAsia"/>
                      <w:b w:val="0"/>
                      <w:bCs/>
                      <w:color w:val="auto"/>
                      <w:szCs w:val="21"/>
                      <w:lang w:eastAsia="zh-CN"/>
                    </w:rPr>
                    <w:t>智慧工厂</w:t>
                  </w:r>
                  <w:r>
                    <w:rPr>
                      <w:rFonts w:hint="eastAsia"/>
                      <w:b w:val="0"/>
                      <w:bCs/>
                      <w:color w:val="auto"/>
                      <w:szCs w:val="21"/>
                    </w:rPr>
                    <w:t>项目</w:t>
                  </w:r>
                  <w:r>
                    <w:rPr>
                      <w:rFonts w:hint="eastAsia"/>
                      <w:b w:val="0"/>
                      <w:bCs/>
                      <w:color w:val="auto"/>
                      <w:szCs w:val="21"/>
                      <w:lang w:eastAsia="zh-CN"/>
                    </w:rPr>
                    <w:t>（一期）</w:t>
                  </w:r>
                  <w:r>
                    <w:rPr>
                      <w:rFonts w:hint="eastAsia"/>
                      <w:b w:val="0"/>
                      <w:bCs/>
                      <w:color w:val="auto"/>
                      <w:szCs w:val="21"/>
                    </w:rPr>
                    <w:t>及后期规划项目助焊剂、密封胶、酒精、二甲苯等化学品的存放</w:t>
                  </w:r>
                </w:p>
              </w:tc>
              <w:tc>
                <w:tcPr>
                  <w:tcW w:w="2685" w:type="dxa"/>
                  <w:noWrap w:val="0"/>
                  <w:vAlign w:val="center"/>
                </w:tcPr>
                <w:p>
                  <w:pPr>
                    <w:widowControl/>
                    <w:jc w:val="center"/>
                    <w:rPr>
                      <w:rFonts w:hint="eastAsia"/>
                      <w:b w:val="0"/>
                      <w:bCs/>
                      <w:color w:val="auto"/>
                      <w:kern w:val="0"/>
                      <w:szCs w:val="21"/>
                    </w:rPr>
                  </w:pPr>
                  <w:r>
                    <w:rPr>
                      <w:rFonts w:hint="eastAsia"/>
                      <w:b w:val="0"/>
                      <w:bCs/>
                      <w:color w:val="auto"/>
                      <w:kern w:val="0"/>
                      <w:szCs w:val="21"/>
                    </w:rPr>
                    <w:t>本项目</w:t>
                  </w:r>
                  <w:r>
                    <w:rPr>
                      <w:rFonts w:hint="eastAsia"/>
                      <w:b w:val="0"/>
                      <w:bCs/>
                      <w:color w:val="auto"/>
                      <w:kern w:val="0"/>
                      <w:szCs w:val="21"/>
                      <w:lang w:val="en-US" w:eastAsia="zh-CN"/>
                    </w:rPr>
                    <w:t>扩建后通过合理运用</w:t>
                  </w:r>
                  <w:r>
                    <w:rPr>
                      <w:rFonts w:hint="eastAsia"/>
                      <w:b w:val="0"/>
                      <w:bCs/>
                      <w:color w:val="auto"/>
                      <w:kern w:val="0"/>
                      <w:szCs w:val="21"/>
                    </w:rPr>
                    <w:t>储存周期等方式</w:t>
                  </w:r>
                  <w:r>
                    <w:rPr>
                      <w:rFonts w:hint="eastAsia"/>
                      <w:b w:val="0"/>
                      <w:bCs/>
                      <w:color w:val="auto"/>
                      <w:kern w:val="0"/>
                      <w:szCs w:val="21"/>
                      <w:lang w:val="en-US" w:eastAsia="zh-CN"/>
                    </w:rPr>
                    <w:t>可确保甲类</w:t>
                  </w:r>
                  <w:r>
                    <w:rPr>
                      <w:rFonts w:hint="eastAsia"/>
                      <w:b w:val="0"/>
                      <w:bCs/>
                      <w:color w:val="auto"/>
                      <w:kern w:val="0"/>
                      <w:szCs w:val="21"/>
                    </w:rPr>
                    <w:t>仓库满足扩建后需求</w:t>
                  </w:r>
                  <w:r>
                    <w:rPr>
                      <w:rFonts w:hint="eastAsia"/>
                      <w:b w:val="0"/>
                      <w:bCs/>
                      <w:color w:val="auto"/>
                      <w:kern w:val="0"/>
                      <w:szCs w:val="21"/>
                      <w:lang w:eastAsia="zh-CN"/>
                    </w:rPr>
                    <w:t>，甲类</w:t>
                  </w:r>
                  <w:r>
                    <w:rPr>
                      <w:rFonts w:hint="eastAsia"/>
                      <w:b w:val="0"/>
                      <w:bCs/>
                      <w:color w:val="auto"/>
                      <w:kern w:val="0"/>
                      <w:szCs w:val="21"/>
                    </w:rPr>
                    <w:t>仓库设计为全厂智慧工厂在建项目使用</w:t>
                  </w:r>
                </w:p>
              </w:tc>
              <w:tc>
                <w:tcPr>
                  <w:tcW w:w="1178" w:type="dxa"/>
                  <w:noWrap w:val="0"/>
                  <w:vAlign w:val="center"/>
                </w:tcPr>
                <w:p>
                  <w:pPr>
                    <w:widowControl/>
                    <w:jc w:val="center"/>
                    <w:rPr>
                      <w:rFonts w:hint="eastAsia"/>
                      <w:b w:val="0"/>
                      <w:bCs/>
                      <w:color w:val="auto"/>
                      <w:kern w:val="0"/>
                      <w:szCs w:val="21"/>
                    </w:rPr>
                  </w:pPr>
                  <w:r>
                    <w:rPr>
                      <w:rFonts w:hint="eastAsia"/>
                      <w:b w:val="0"/>
                      <w:bCs/>
                      <w:color w:val="auto"/>
                      <w:kern w:val="0"/>
                      <w:szCs w:val="21"/>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危废仓库（204）</w:t>
                  </w:r>
                </w:p>
              </w:tc>
              <w:tc>
                <w:tcPr>
                  <w:tcW w:w="2970" w:type="dxa"/>
                  <w:noWrap w:val="0"/>
                  <w:vAlign w:val="center"/>
                </w:tcPr>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位于厂区西南部，</w:t>
                  </w:r>
                  <w:r>
                    <w:rPr>
                      <w:b w:val="0"/>
                      <w:bCs/>
                      <w:color w:val="auto"/>
                      <w:szCs w:val="21"/>
                    </w:rPr>
                    <w:t>建筑面积约</w:t>
                  </w:r>
                  <w:r>
                    <w:rPr>
                      <w:rFonts w:hint="eastAsia"/>
                      <w:b w:val="0"/>
                      <w:bCs/>
                      <w:color w:val="auto"/>
                      <w:szCs w:val="21"/>
                    </w:rPr>
                    <w:t>639.18</w:t>
                  </w:r>
                  <w:r>
                    <w:rPr>
                      <w:b w:val="0"/>
                      <w:bCs/>
                      <w:color w:val="auto"/>
                      <w:szCs w:val="21"/>
                    </w:rPr>
                    <w:t>m</w:t>
                  </w:r>
                  <w:r>
                    <w:rPr>
                      <w:b w:val="0"/>
                      <w:bCs/>
                      <w:color w:val="auto"/>
                      <w:szCs w:val="21"/>
                      <w:vertAlign w:val="superscript"/>
                    </w:rPr>
                    <w:t>2</w:t>
                  </w:r>
                  <w:r>
                    <w:rPr>
                      <w:rFonts w:hint="eastAsia"/>
                      <w:b w:val="0"/>
                      <w:bCs/>
                      <w:color w:val="auto"/>
                      <w:szCs w:val="21"/>
                    </w:rPr>
                    <w:t>，主要用于危险废物的存放</w:t>
                  </w:r>
                </w:p>
              </w:tc>
              <w:tc>
                <w:tcPr>
                  <w:tcW w:w="2685" w:type="dxa"/>
                  <w:noWrap w:val="0"/>
                  <w:vAlign w:val="center"/>
                </w:tcPr>
                <w:p>
                  <w:pPr>
                    <w:widowControl/>
                    <w:jc w:val="center"/>
                    <w:rPr>
                      <w:rFonts w:hint="eastAsia" w:eastAsia="宋体"/>
                      <w:b w:val="0"/>
                      <w:bCs/>
                      <w:color w:val="auto"/>
                      <w:kern w:val="0"/>
                      <w:szCs w:val="21"/>
                      <w:lang w:eastAsia="zh-CN"/>
                    </w:rPr>
                  </w:pPr>
                  <w:r>
                    <w:rPr>
                      <w:rFonts w:hint="eastAsia"/>
                      <w:b w:val="0"/>
                      <w:bCs/>
                      <w:color w:val="auto"/>
                      <w:kern w:val="0"/>
                      <w:szCs w:val="21"/>
                    </w:rPr>
                    <w:t>危废仓库贮存能力约</w:t>
                  </w:r>
                  <w:r>
                    <w:rPr>
                      <w:rFonts w:hint="eastAsia"/>
                      <w:b w:val="0"/>
                      <w:bCs/>
                      <w:color w:val="auto"/>
                      <w:kern w:val="0"/>
                      <w:szCs w:val="21"/>
                      <w:lang w:val="en-US" w:eastAsia="zh-CN"/>
                    </w:rPr>
                    <w:t>1200t</w:t>
                  </w:r>
                  <w:r>
                    <w:rPr>
                      <w:rFonts w:hint="eastAsia"/>
                      <w:b w:val="0"/>
                      <w:bCs/>
                      <w:color w:val="auto"/>
                      <w:kern w:val="0"/>
                      <w:szCs w:val="21"/>
                    </w:rPr>
                    <w:t>，本项目扩建后危险废物产生量为</w:t>
                  </w:r>
                  <w:r>
                    <w:rPr>
                      <w:rFonts w:hint="eastAsia"/>
                      <w:b w:val="0"/>
                      <w:bCs/>
                      <w:color w:val="auto"/>
                      <w:kern w:val="0"/>
                      <w:szCs w:val="21"/>
                      <w:lang w:val="en-US" w:eastAsia="zh-CN"/>
                    </w:rPr>
                    <w:t>516.517</w:t>
                  </w:r>
                  <w:r>
                    <w:rPr>
                      <w:rFonts w:hint="eastAsia"/>
                      <w:b w:val="0"/>
                      <w:bCs/>
                      <w:color w:val="auto"/>
                      <w:kern w:val="0"/>
                      <w:szCs w:val="21"/>
                    </w:rPr>
                    <w:t>t/a，</w:t>
                  </w:r>
                  <w:r>
                    <w:rPr>
                      <w:rFonts w:hint="eastAsia"/>
                      <w:b w:val="0"/>
                      <w:bCs/>
                      <w:color w:val="auto"/>
                      <w:kern w:val="0"/>
                      <w:szCs w:val="21"/>
                      <w:lang w:val="en-US" w:eastAsia="zh-CN"/>
                    </w:rPr>
                    <w:t>并定期委托有资质单位处置</w:t>
                  </w:r>
                  <w:r>
                    <w:rPr>
                      <w:rFonts w:hint="eastAsia"/>
                      <w:b w:val="0"/>
                      <w:bCs/>
                      <w:color w:val="auto"/>
                      <w:kern w:val="0"/>
                      <w:szCs w:val="21"/>
                    </w:rPr>
                    <w:t>，</w:t>
                  </w:r>
                  <w:r>
                    <w:rPr>
                      <w:rFonts w:hint="eastAsia"/>
                      <w:b w:val="0"/>
                      <w:bCs/>
                      <w:color w:val="auto"/>
                      <w:kern w:val="0"/>
                      <w:szCs w:val="21"/>
                      <w:lang w:eastAsia="zh-CN"/>
                    </w:rPr>
                    <w:t>危废仓库设计为全厂智慧工厂在建项目使用，</w:t>
                  </w:r>
                  <w:r>
                    <w:rPr>
                      <w:rFonts w:hint="eastAsia"/>
                      <w:b w:val="0"/>
                      <w:bCs/>
                      <w:color w:val="auto"/>
                      <w:kern w:val="0"/>
                      <w:szCs w:val="21"/>
                    </w:rPr>
                    <w:t>因此现有危废仓库能够满足扩建后使用需求</w:t>
                  </w:r>
                </w:p>
              </w:tc>
              <w:tc>
                <w:tcPr>
                  <w:tcW w:w="1178" w:type="dxa"/>
                  <w:noWrap w:val="0"/>
                  <w:vAlign w:val="center"/>
                </w:tcPr>
                <w:p>
                  <w:pPr>
                    <w:widowControl/>
                    <w:jc w:val="center"/>
                    <w:rPr>
                      <w:rFonts w:hint="eastAsia" w:eastAsia="宋体"/>
                      <w:b w:val="0"/>
                      <w:bCs/>
                      <w:color w:val="auto"/>
                      <w:kern w:val="0"/>
                      <w:szCs w:val="21"/>
                      <w:lang w:val="en-US" w:eastAsia="zh-CN"/>
                    </w:rPr>
                  </w:pPr>
                  <w:r>
                    <w:rPr>
                      <w:rFonts w:hint="eastAsia"/>
                      <w:b w:val="0"/>
                      <w:bCs/>
                      <w:color w:val="auto"/>
                      <w:kern w:val="0"/>
                      <w:szCs w:val="21"/>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tabs>
                      <w:tab w:val="left" w:pos="3255"/>
                    </w:tabs>
                    <w:adjustRightInd w:val="0"/>
                    <w:spacing w:line="320" w:lineRule="exact"/>
                    <w:jc w:val="center"/>
                    <w:rPr>
                      <w:rFonts w:hint="eastAsia"/>
                      <w:b w:val="0"/>
                      <w:bCs/>
                      <w:color w:val="auto"/>
                      <w:szCs w:val="21"/>
                    </w:rPr>
                  </w:pPr>
                  <w:r>
                    <w:rPr>
                      <w:rFonts w:hint="eastAsia"/>
                      <w:b w:val="0"/>
                      <w:bCs/>
                      <w:color w:val="auto"/>
                      <w:szCs w:val="21"/>
                    </w:rPr>
                    <w:t>固废仓库</w:t>
                  </w:r>
                </w:p>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（208）</w:t>
                  </w:r>
                </w:p>
              </w:tc>
              <w:tc>
                <w:tcPr>
                  <w:tcW w:w="2970" w:type="dxa"/>
                  <w:noWrap w:val="0"/>
                  <w:vAlign w:val="center"/>
                </w:tcPr>
                <w:p>
                  <w:pPr>
                    <w:tabs>
                      <w:tab w:val="left" w:pos="3255"/>
                    </w:tabs>
                    <w:adjustRightInd w:val="0"/>
                    <w:spacing w:line="320" w:lineRule="exact"/>
                    <w:jc w:val="center"/>
                    <w:rPr>
                      <w:rFonts w:hint="eastAsia"/>
                      <w:b w:val="0"/>
                      <w:bCs/>
                      <w:color w:val="auto"/>
                      <w:kern w:val="0"/>
                      <w:szCs w:val="21"/>
                    </w:rPr>
                  </w:pPr>
                  <w:r>
                    <w:rPr>
                      <w:rFonts w:hint="eastAsia"/>
                      <w:b w:val="0"/>
                      <w:bCs/>
                      <w:color w:val="auto"/>
                      <w:szCs w:val="21"/>
                    </w:rPr>
                    <w:t>位于厂区东部，</w:t>
                  </w:r>
                  <w:r>
                    <w:rPr>
                      <w:b w:val="0"/>
                      <w:bCs/>
                      <w:color w:val="auto"/>
                      <w:szCs w:val="21"/>
                    </w:rPr>
                    <w:t>建筑面积约</w:t>
                  </w:r>
                  <w:r>
                    <w:rPr>
                      <w:rFonts w:hint="eastAsia"/>
                      <w:b w:val="0"/>
                      <w:bCs/>
                      <w:color w:val="auto"/>
                      <w:szCs w:val="21"/>
                    </w:rPr>
                    <w:t>1494.72</w:t>
                  </w:r>
                  <w:r>
                    <w:rPr>
                      <w:b w:val="0"/>
                      <w:bCs/>
                      <w:color w:val="auto"/>
                      <w:szCs w:val="21"/>
                    </w:rPr>
                    <w:t>m</w:t>
                  </w:r>
                  <w:r>
                    <w:rPr>
                      <w:b w:val="0"/>
                      <w:bCs/>
                      <w:color w:val="auto"/>
                      <w:szCs w:val="21"/>
                      <w:vertAlign w:val="superscript"/>
                    </w:rPr>
                    <w:t>2</w:t>
                  </w:r>
                  <w:r>
                    <w:rPr>
                      <w:rFonts w:hint="eastAsia"/>
                      <w:b w:val="0"/>
                      <w:bCs/>
                      <w:color w:val="auto"/>
                      <w:szCs w:val="21"/>
                    </w:rPr>
                    <w:t>，主要用于全厂一般固体废物的存放</w:t>
                  </w:r>
                </w:p>
              </w:tc>
              <w:tc>
                <w:tcPr>
                  <w:tcW w:w="2685" w:type="dxa"/>
                  <w:noWrap w:val="0"/>
                  <w:vAlign w:val="center"/>
                </w:tcPr>
                <w:p>
                  <w:pPr>
                    <w:widowControl/>
                    <w:jc w:val="center"/>
                    <w:rPr>
                      <w:rFonts w:hint="default" w:eastAsia="宋体"/>
                      <w:b w:val="0"/>
                      <w:bCs/>
                      <w:color w:val="auto"/>
                      <w:kern w:val="0"/>
                      <w:szCs w:val="21"/>
                      <w:lang w:val="en-US" w:eastAsia="zh-CN"/>
                    </w:rPr>
                  </w:pPr>
                  <w:r>
                    <w:rPr>
                      <w:rFonts w:hint="eastAsia"/>
                      <w:b w:val="0"/>
                      <w:bCs/>
                      <w:color w:val="auto"/>
                      <w:kern w:val="0"/>
                      <w:szCs w:val="21"/>
                      <w:lang w:val="en-US" w:eastAsia="zh-CN"/>
                    </w:rPr>
                    <w:t>固废仓库储存能力越3000t，本项目扩建后一般固废的产生量为</w:t>
                  </w:r>
                  <w:r>
                    <w:rPr>
                      <w:rFonts w:hint="default" w:ascii="Times New Roman" w:hAnsi="Times New Roman" w:eastAsia="宋体" w:cs="Times New Roman"/>
                      <w:b w:val="0"/>
                      <w:bCs/>
                      <w:i w:val="0"/>
                      <w:iCs w:val="0"/>
                      <w:color w:val="000000"/>
                      <w:kern w:val="0"/>
                      <w:sz w:val="21"/>
                      <w:szCs w:val="21"/>
                      <w:u w:val="none"/>
                      <w:lang w:val="en-US" w:eastAsia="zh-CN" w:bidi="ar"/>
                    </w:rPr>
                    <w:t>3045.399</w:t>
                  </w:r>
                  <w:r>
                    <w:rPr>
                      <w:rFonts w:hint="eastAsia" w:cs="Times New Roman"/>
                      <w:b w:val="0"/>
                      <w:bCs/>
                      <w:i w:val="0"/>
                      <w:iCs w:val="0"/>
                      <w:color w:val="000000"/>
                      <w:kern w:val="0"/>
                      <w:sz w:val="21"/>
                      <w:szCs w:val="21"/>
                      <w:u w:val="none"/>
                      <w:lang w:val="en-US" w:eastAsia="zh-CN" w:bidi="ar"/>
                    </w:rPr>
                    <w:t>t/a，并定期委托物资单位进行回收，固废仓库设计为全厂智慧工厂在建项目使用，因此现有固废仓库能够满足扩建后的使用需求</w:t>
                  </w:r>
                </w:p>
              </w:tc>
              <w:tc>
                <w:tcPr>
                  <w:tcW w:w="1178" w:type="dxa"/>
                  <w:noWrap w:val="0"/>
                  <w:vAlign w:val="center"/>
                </w:tcPr>
                <w:p>
                  <w:pPr>
                    <w:widowControl/>
                    <w:jc w:val="center"/>
                    <w:rPr>
                      <w:rFonts w:hint="eastAsia" w:eastAsia="宋体"/>
                      <w:b w:val="0"/>
                      <w:bCs/>
                      <w:color w:val="auto"/>
                      <w:kern w:val="0"/>
                      <w:szCs w:val="21"/>
                      <w:lang w:val="en-US" w:eastAsia="zh-CN"/>
                    </w:rPr>
                  </w:pPr>
                  <w:r>
                    <w:rPr>
                      <w:rFonts w:hint="eastAsia"/>
                      <w:b w:val="0"/>
                      <w:bCs/>
                      <w:color w:val="auto"/>
                      <w:kern w:val="0"/>
                      <w:szCs w:val="21"/>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restart"/>
                  <w:noWrap w:val="0"/>
                  <w:vAlign w:val="center"/>
                </w:tcPr>
                <w:p>
                  <w:pPr>
                    <w:tabs>
                      <w:tab w:val="left" w:pos="3255"/>
                    </w:tabs>
                    <w:adjustRightInd w:val="0"/>
                    <w:spacing w:line="320" w:lineRule="exact"/>
                    <w:jc w:val="center"/>
                    <w:rPr>
                      <w:b w:val="0"/>
                      <w:bCs/>
                      <w:color w:val="auto"/>
                      <w:szCs w:val="21"/>
                    </w:rPr>
                  </w:pPr>
                  <w:r>
                    <w:rPr>
                      <w:b w:val="0"/>
                      <w:bCs/>
                      <w:color w:val="auto"/>
                      <w:szCs w:val="21"/>
                    </w:rPr>
                    <w:t>公用</w:t>
                  </w:r>
                </w:p>
                <w:p>
                  <w:pPr>
                    <w:tabs>
                      <w:tab w:val="left" w:pos="3255"/>
                    </w:tabs>
                    <w:adjustRightInd w:val="0"/>
                    <w:spacing w:line="320" w:lineRule="exact"/>
                    <w:jc w:val="center"/>
                    <w:rPr>
                      <w:b w:val="0"/>
                      <w:bCs/>
                      <w:color w:val="auto"/>
                      <w:kern w:val="0"/>
                      <w:szCs w:val="21"/>
                    </w:rPr>
                  </w:pPr>
                  <w:r>
                    <w:rPr>
                      <w:b w:val="0"/>
                      <w:bCs/>
                      <w:color w:val="auto"/>
                      <w:szCs w:val="21"/>
                    </w:rPr>
                    <w:t>工程</w:t>
                  </w:r>
                </w:p>
              </w:tc>
              <w:tc>
                <w:tcPr>
                  <w:tcW w:w="1027" w:type="dxa"/>
                  <w:noWrap w:val="0"/>
                  <w:vAlign w:val="center"/>
                </w:tcPr>
                <w:p>
                  <w:pPr>
                    <w:widowControl/>
                    <w:spacing w:line="320" w:lineRule="exact"/>
                    <w:jc w:val="center"/>
                    <w:rPr>
                      <w:rFonts w:hint="eastAsia"/>
                      <w:b w:val="0"/>
                      <w:bCs/>
                      <w:color w:val="auto"/>
                      <w:szCs w:val="21"/>
                    </w:rPr>
                  </w:pPr>
                  <w:r>
                    <w:rPr>
                      <w:b w:val="0"/>
                      <w:bCs/>
                      <w:color w:val="auto"/>
                      <w:szCs w:val="21"/>
                    </w:rPr>
                    <w:t>变电站</w:t>
                  </w:r>
                </w:p>
              </w:tc>
              <w:tc>
                <w:tcPr>
                  <w:tcW w:w="2970" w:type="dxa"/>
                  <w:noWrap w:val="0"/>
                  <w:vAlign w:val="center"/>
                </w:tcPr>
                <w:p>
                  <w:pPr>
                    <w:widowControl/>
                    <w:tabs>
                      <w:tab w:val="left" w:pos="491"/>
                    </w:tabs>
                    <w:spacing w:line="320" w:lineRule="exact"/>
                    <w:rPr>
                      <w:rFonts w:hint="eastAsia"/>
                      <w:b w:val="0"/>
                      <w:bCs/>
                      <w:color w:val="auto"/>
                      <w:szCs w:val="21"/>
                      <w:lang w:eastAsia="zh-CN"/>
                    </w:rPr>
                  </w:pPr>
                  <w:r>
                    <w:rPr>
                      <w:b w:val="0"/>
                      <w:bCs/>
                      <w:color w:val="auto"/>
                      <w:szCs w:val="21"/>
                    </w:rPr>
                    <w:t>位于厂区东北角，建筑面积3249m</w:t>
                  </w:r>
                  <w:r>
                    <w:rPr>
                      <w:b w:val="0"/>
                      <w:bCs/>
                      <w:color w:val="auto"/>
                      <w:szCs w:val="21"/>
                      <w:vertAlign w:val="superscript"/>
                    </w:rPr>
                    <w:t>2</w:t>
                  </w:r>
                  <w:r>
                    <w:rPr>
                      <w:b w:val="0"/>
                      <w:bCs/>
                      <w:color w:val="auto"/>
                      <w:szCs w:val="21"/>
                    </w:rPr>
                    <w:t>，项目装机容量为40000KVA</w:t>
                  </w:r>
                </w:p>
              </w:tc>
              <w:tc>
                <w:tcPr>
                  <w:tcW w:w="2685"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依托现有变电站，可以满足用电需求</w:t>
                  </w:r>
                </w:p>
              </w:tc>
              <w:tc>
                <w:tcPr>
                  <w:tcW w:w="1178"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tabs>
                      <w:tab w:val="left" w:pos="3255"/>
                    </w:tabs>
                    <w:adjustRightInd w:val="0"/>
                    <w:spacing w:line="320" w:lineRule="exact"/>
                    <w:jc w:val="center"/>
                    <w:rPr>
                      <w:b w:val="0"/>
                      <w:bCs/>
                      <w:color w:val="auto"/>
                      <w:szCs w:val="21"/>
                    </w:rPr>
                  </w:pPr>
                </w:p>
              </w:tc>
              <w:tc>
                <w:tcPr>
                  <w:tcW w:w="1027" w:type="dxa"/>
                  <w:noWrap w:val="0"/>
                  <w:vAlign w:val="center"/>
                </w:tcPr>
                <w:p>
                  <w:pPr>
                    <w:widowControl/>
                    <w:spacing w:line="320" w:lineRule="exact"/>
                    <w:jc w:val="center"/>
                    <w:rPr>
                      <w:b w:val="0"/>
                      <w:bCs w:val="0"/>
                      <w:color w:val="auto"/>
                      <w:szCs w:val="21"/>
                    </w:rPr>
                  </w:pPr>
                  <w:r>
                    <w:rPr>
                      <w:b w:val="0"/>
                      <w:bCs w:val="0"/>
                      <w:color w:val="auto"/>
                      <w:szCs w:val="21"/>
                    </w:rPr>
                    <w:t>动力站</w:t>
                  </w:r>
                  <w:r>
                    <w:rPr>
                      <w:rFonts w:hint="eastAsia"/>
                      <w:b w:val="0"/>
                      <w:bCs w:val="0"/>
                      <w:color w:val="auto"/>
                      <w:szCs w:val="21"/>
                    </w:rPr>
                    <w:t>2</w:t>
                  </w:r>
                </w:p>
              </w:tc>
              <w:tc>
                <w:tcPr>
                  <w:tcW w:w="2970" w:type="dxa"/>
                  <w:noWrap w:val="0"/>
                  <w:vAlign w:val="center"/>
                </w:tcPr>
                <w:p>
                  <w:pPr>
                    <w:widowControl/>
                    <w:spacing w:line="320" w:lineRule="exact"/>
                    <w:jc w:val="center"/>
                    <w:rPr>
                      <w:b w:val="0"/>
                      <w:bCs w:val="0"/>
                      <w:color w:val="auto"/>
                      <w:szCs w:val="21"/>
                    </w:rPr>
                  </w:pPr>
                  <w:r>
                    <w:rPr>
                      <w:b w:val="0"/>
                      <w:bCs w:val="0"/>
                      <w:color w:val="auto"/>
                      <w:szCs w:val="21"/>
                    </w:rPr>
                    <w:t>位于厂区</w:t>
                  </w:r>
                  <w:r>
                    <w:rPr>
                      <w:rFonts w:hint="eastAsia"/>
                      <w:b w:val="0"/>
                      <w:bCs w:val="0"/>
                      <w:color w:val="auto"/>
                      <w:szCs w:val="21"/>
                    </w:rPr>
                    <w:t>西侧中部</w:t>
                  </w:r>
                  <w:r>
                    <w:rPr>
                      <w:b w:val="0"/>
                      <w:bCs w:val="0"/>
                      <w:color w:val="auto"/>
                      <w:szCs w:val="21"/>
                    </w:rPr>
                    <w:t>，矩形</w:t>
                  </w:r>
                  <w:r>
                    <w:rPr>
                      <w:rFonts w:hint="eastAsia"/>
                      <w:b w:val="0"/>
                      <w:bCs w:val="0"/>
                      <w:color w:val="auto"/>
                      <w:szCs w:val="21"/>
                    </w:rPr>
                    <w:t>两</w:t>
                  </w:r>
                  <w:r>
                    <w:rPr>
                      <w:b w:val="0"/>
                      <w:bCs w:val="0"/>
                      <w:color w:val="auto"/>
                      <w:szCs w:val="21"/>
                    </w:rPr>
                    <w:t>层厂房，占地面积</w:t>
                  </w:r>
                  <w:r>
                    <w:rPr>
                      <w:rFonts w:hint="eastAsia"/>
                      <w:b w:val="0"/>
                      <w:bCs w:val="0"/>
                      <w:color w:val="auto"/>
                      <w:szCs w:val="21"/>
                    </w:rPr>
                    <w:t>3337.1</w:t>
                  </w:r>
                  <w:r>
                    <w:rPr>
                      <w:b w:val="0"/>
                      <w:bCs w:val="0"/>
                      <w:color w:val="auto"/>
                      <w:szCs w:val="21"/>
                    </w:rPr>
                    <w:t>m</w:t>
                  </w:r>
                  <w:r>
                    <w:rPr>
                      <w:b w:val="0"/>
                      <w:bCs w:val="0"/>
                      <w:color w:val="auto"/>
                      <w:szCs w:val="21"/>
                      <w:vertAlign w:val="superscript"/>
                    </w:rPr>
                    <w:t>2</w:t>
                  </w:r>
                  <w:r>
                    <w:rPr>
                      <w:b w:val="0"/>
                      <w:bCs w:val="0"/>
                      <w:color w:val="auto"/>
                      <w:szCs w:val="21"/>
                    </w:rPr>
                    <w:t>，</w:t>
                  </w:r>
                  <w:r>
                    <w:rPr>
                      <w:rFonts w:hint="eastAsia"/>
                      <w:b w:val="0"/>
                      <w:bCs w:val="0"/>
                      <w:color w:val="auto"/>
                      <w:szCs w:val="21"/>
                    </w:rPr>
                    <w:t>建筑面积为6713.5</w:t>
                  </w:r>
                  <w:r>
                    <w:rPr>
                      <w:b w:val="0"/>
                      <w:bCs w:val="0"/>
                      <w:color w:val="auto"/>
                      <w:szCs w:val="21"/>
                    </w:rPr>
                    <w:t>m</w:t>
                  </w:r>
                  <w:r>
                    <w:rPr>
                      <w:b w:val="0"/>
                      <w:bCs w:val="0"/>
                      <w:color w:val="auto"/>
                      <w:szCs w:val="21"/>
                      <w:vertAlign w:val="superscript"/>
                    </w:rPr>
                    <w:t>2</w:t>
                  </w:r>
                  <w:r>
                    <w:rPr>
                      <w:rFonts w:hint="eastAsia"/>
                      <w:b w:val="0"/>
                      <w:bCs w:val="0"/>
                      <w:color w:val="auto"/>
                      <w:szCs w:val="21"/>
                    </w:rPr>
                    <w:t>。</w:t>
                  </w:r>
                  <w:r>
                    <w:rPr>
                      <w:b w:val="0"/>
                      <w:bCs w:val="0"/>
                      <w:color w:val="auto"/>
                      <w:szCs w:val="21"/>
                    </w:rPr>
                    <w:t>布置空压机（</w:t>
                  </w:r>
                  <w:r>
                    <w:rPr>
                      <w:rFonts w:hint="eastAsia"/>
                      <w:b w:val="0"/>
                      <w:bCs w:val="0"/>
                      <w:color w:val="auto"/>
                      <w:szCs w:val="21"/>
                    </w:rPr>
                    <w:t>总</w:t>
                  </w:r>
                  <w:r>
                    <w:rPr>
                      <w:b w:val="0"/>
                      <w:bCs w:val="0"/>
                      <w:color w:val="auto"/>
                      <w:szCs w:val="21"/>
                    </w:rPr>
                    <w:t>供气能力为</w:t>
                  </w:r>
                  <w:r>
                    <w:rPr>
                      <w:rFonts w:hint="eastAsia"/>
                      <w:b w:val="0"/>
                      <w:bCs w:val="0"/>
                      <w:color w:val="auto"/>
                      <w:szCs w:val="21"/>
                    </w:rPr>
                    <w:t>1200</w:t>
                  </w:r>
                  <w:r>
                    <w:rPr>
                      <w:b w:val="0"/>
                      <w:bCs w:val="0"/>
                      <w:color w:val="auto"/>
                      <w:szCs w:val="21"/>
                    </w:rPr>
                    <w:t>Nm</w:t>
                  </w:r>
                  <w:r>
                    <w:rPr>
                      <w:b w:val="0"/>
                      <w:bCs w:val="0"/>
                      <w:color w:val="auto"/>
                      <w:szCs w:val="21"/>
                      <w:vertAlign w:val="superscript"/>
                    </w:rPr>
                    <w:t>3</w:t>
                  </w:r>
                  <w:r>
                    <w:rPr>
                      <w:b w:val="0"/>
                      <w:bCs w:val="0"/>
                      <w:color w:val="auto"/>
                      <w:szCs w:val="21"/>
                    </w:rPr>
                    <w:t>/min）、中央空调机组及冷却塔（</w:t>
                  </w:r>
                  <w:r>
                    <w:rPr>
                      <w:rFonts w:hint="eastAsia"/>
                      <w:b w:val="0"/>
                      <w:bCs w:val="0"/>
                      <w:color w:val="auto"/>
                      <w:szCs w:val="21"/>
                    </w:rPr>
                    <w:t>2台，总流量为330m</w:t>
                  </w:r>
                  <w:r>
                    <w:rPr>
                      <w:rFonts w:hint="eastAsia"/>
                      <w:b w:val="0"/>
                      <w:bCs w:val="0"/>
                      <w:color w:val="auto"/>
                      <w:szCs w:val="21"/>
                      <w:vertAlign w:val="superscript"/>
                    </w:rPr>
                    <w:t>3</w:t>
                  </w:r>
                  <w:r>
                    <w:rPr>
                      <w:rFonts w:hint="eastAsia"/>
                      <w:b w:val="0"/>
                      <w:bCs w:val="0"/>
                      <w:color w:val="auto"/>
                      <w:szCs w:val="21"/>
                    </w:rPr>
                    <w:t>/min</w:t>
                  </w:r>
                  <w:r>
                    <w:rPr>
                      <w:b w:val="0"/>
                      <w:bCs w:val="0"/>
                      <w:color w:val="auto"/>
                      <w:szCs w:val="21"/>
                    </w:rPr>
                    <w:t>）</w:t>
                  </w:r>
                </w:p>
              </w:tc>
              <w:tc>
                <w:tcPr>
                  <w:tcW w:w="2685" w:type="dxa"/>
                  <w:noWrap w:val="0"/>
                  <w:vAlign w:val="center"/>
                </w:tcPr>
                <w:p>
                  <w:pPr>
                    <w:widowControl/>
                    <w:jc w:val="center"/>
                    <w:rPr>
                      <w:rFonts w:hint="eastAsia"/>
                      <w:b w:val="0"/>
                      <w:bCs/>
                      <w:color w:val="auto"/>
                      <w:kern w:val="0"/>
                      <w:szCs w:val="21"/>
                      <w:lang w:val="en-US" w:eastAsia="zh-CN"/>
                    </w:rPr>
                  </w:pPr>
                  <w:r>
                    <w:rPr>
                      <w:rFonts w:hint="eastAsia"/>
                      <w:b w:val="0"/>
                      <w:bCs/>
                      <w:color w:val="auto"/>
                      <w:kern w:val="0"/>
                      <w:szCs w:val="21"/>
                      <w:lang w:val="en-US" w:eastAsia="zh-CN"/>
                    </w:rPr>
                    <w:t>动力站的供气能力可以满足扩建后的动力需求</w:t>
                  </w:r>
                </w:p>
              </w:tc>
              <w:tc>
                <w:tcPr>
                  <w:tcW w:w="1178" w:type="dxa"/>
                  <w:noWrap w:val="0"/>
                  <w:vAlign w:val="center"/>
                </w:tcPr>
                <w:p>
                  <w:pPr>
                    <w:widowControl/>
                    <w:jc w:val="center"/>
                    <w:rPr>
                      <w:rFonts w:hint="eastAsia"/>
                      <w:lang w:val="en-US" w:eastAsia="zh-CN"/>
                    </w:rPr>
                  </w:pPr>
                  <w:r>
                    <w:rPr>
                      <w:rFonts w:hint="eastAsia"/>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tabs>
                      <w:tab w:val="left" w:pos="3255"/>
                    </w:tabs>
                    <w:adjustRightInd w:val="0"/>
                    <w:spacing w:line="320" w:lineRule="exact"/>
                    <w:jc w:val="center"/>
                    <w:rPr>
                      <w:b w:val="0"/>
                      <w:bCs/>
                      <w:color w:val="auto"/>
                      <w:szCs w:val="21"/>
                    </w:rPr>
                  </w:pPr>
                </w:p>
              </w:tc>
              <w:tc>
                <w:tcPr>
                  <w:tcW w:w="1027" w:type="dxa"/>
                  <w:noWrap w:val="0"/>
                  <w:vAlign w:val="center"/>
                </w:tcPr>
                <w:p>
                  <w:pPr>
                    <w:widowControl/>
                    <w:spacing w:line="320" w:lineRule="exact"/>
                    <w:jc w:val="center"/>
                    <w:rPr>
                      <w:b w:val="0"/>
                      <w:bCs/>
                      <w:color w:val="auto"/>
                      <w:szCs w:val="21"/>
                    </w:rPr>
                  </w:pPr>
                  <w:r>
                    <w:rPr>
                      <w:b w:val="0"/>
                      <w:bCs/>
                      <w:color w:val="auto"/>
                      <w:szCs w:val="21"/>
                    </w:rPr>
                    <w:t>供水</w:t>
                  </w:r>
                </w:p>
                <w:p>
                  <w:pPr>
                    <w:widowControl/>
                    <w:spacing w:line="320" w:lineRule="exact"/>
                    <w:jc w:val="center"/>
                    <w:rPr>
                      <w:b w:val="0"/>
                      <w:bCs/>
                      <w:color w:val="auto"/>
                      <w:szCs w:val="21"/>
                    </w:rPr>
                  </w:pPr>
                  <w:r>
                    <w:rPr>
                      <w:b w:val="0"/>
                      <w:bCs/>
                      <w:color w:val="auto"/>
                      <w:szCs w:val="21"/>
                    </w:rPr>
                    <w:t>工程</w:t>
                  </w:r>
                </w:p>
              </w:tc>
              <w:tc>
                <w:tcPr>
                  <w:tcW w:w="2970" w:type="dxa"/>
                  <w:noWrap w:val="0"/>
                  <w:vAlign w:val="center"/>
                </w:tcPr>
                <w:p>
                  <w:pPr>
                    <w:pStyle w:val="59"/>
                    <w:widowControl/>
                    <w:spacing w:line="320" w:lineRule="exact"/>
                    <w:rPr>
                      <w:b w:val="0"/>
                      <w:bCs/>
                      <w:color w:val="auto"/>
                      <w:szCs w:val="21"/>
                    </w:rPr>
                  </w:pPr>
                  <w:r>
                    <w:rPr>
                      <w:b w:val="0"/>
                      <w:bCs/>
                      <w:color w:val="auto"/>
                      <w:szCs w:val="21"/>
                    </w:rPr>
                    <w:t>供水来自合肥高新技术产业开发区市政自来水管网</w:t>
                  </w:r>
                </w:p>
              </w:tc>
              <w:tc>
                <w:tcPr>
                  <w:tcW w:w="2685"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依托现有供水工程，可以满足供水需求</w:t>
                  </w:r>
                </w:p>
              </w:tc>
              <w:tc>
                <w:tcPr>
                  <w:tcW w:w="1178"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tabs>
                      <w:tab w:val="left" w:pos="3255"/>
                    </w:tabs>
                    <w:adjustRightInd w:val="0"/>
                    <w:spacing w:line="320" w:lineRule="exact"/>
                    <w:jc w:val="center"/>
                    <w:rPr>
                      <w:b w:val="0"/>
                      <w:bCs/>
                      <w:color w:val="auto"/>
                      <w:szCs w:val="21"/>
                    </w:rPr>
                  </w:pPr>
                </w:p>
              </w:tc>
              <w:tc>
                <w:tcPr>
                  <w:tcW w:w="1027" w:type="dxa"/>
                  <w:noWrap w:val="0"/>
                  <w:vAlign w:val="center"/>
                </w:tcPr>
                <w:p>
                  <w:pPr>
                    <w:widowControl/>
                    <w:spacing w:line="320" w:lineRule="exact"/>
                    <w:jc w:val="center"/>
                    <w:rPr>
                      <w:b w:val="0"/>
                      <w:bCs/>
                      <w:color w:val="auto"/>
                      <w:szCs w:val="21"/>
                    </w:rPr>
                  </w:pPr>
                  <w:r>
                    <w:rPr>
                      <w:b w:val="0"/>
                      <w:bCs/>
                      <w:color w:val="auto"/>
                      <w:szCs w:val="21"/>
                    </w:rPr>
                    <w:t>排水</w:t>
                  </w:r>
                </w:p>
                <w:p>
                  <w:pPr>
                    <w:widowControl/>
                    <w:spacing w:line="320" w:lineRule="exact"/>
                    <w:jc w:val="center"/>
                    <w:rPr>
                      <w:b w:val="0"/>
                      <w:bCs/>
                      <w:color w:val="auto"/>
                      <w:szCs w:val="21"/>
                    </w:rPr>
                  </w:pPr>
                  <w:r>
                    <w:rPr>
                      <w:b w:val="0"/>
                      <w:bCs/>
                      <w:color w:val="auto"/>
                      <w:szCs w:val="21"/>
                    </w:rPr>
                    <w:t>工程</w:t>
                  </w:r>
                </w:p>
              </w:tc>
              <w:tc>
                <w:tcPr>
                  <w:tcW w:w="2970" w:type="dxa"/>
                  <w:noWrap w:val="0"/>
                  <w:vAlign w:val="center"/>
                </w:tcPr>
                <w:p>
                  <w:pPr>
                    <w:widowControl/>
                    <w:spacing w:line="320" w:lineRule="exact"/>
                    <w:rPr>
                      <w:b w:val="0"/>
                      <w:bCs/>
                      <w:color w:val="auto"/>
                      <w:szCs w:val="21"/>
                    </w:rPr>
                  </w:pPr>
                  <w:r>
                    <w:rPr>
                      <w:b w:val="0"/>
                      <w:bCs/>
                      <w:color w:val="auto"/>
                      <w:szCs w:val="21"/>
                    </w:rPr>
                    <w:t>项目区排水采用雨、污分流制。厂区雨水排入合肥高新技术产业开发区的雨水管网，生产废水和生活污水预处理后经市政污水管网进入西部组团污水处理厂深度处理，处理达标后排入派河</w:t>
                  </w:r>
                </w:p>
              </w:tc>
              <w:tc>
                <w:tcPr>
                  <w:tcW w:w="2685"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依托现有排水工程，可以满足需求</w:t>
                  </w:r>
                </w:p>
              </w:tc>
              <w:tc>
                <w:tcPr>
                  <w:tcW w:w="1178" w:type="dxa"/>
                  <w:noWrap w:val="0"/>
                  <w:vAlign w:val="center"/>
                </w:tcPr>
                <w:p>
                  <w:pPr>
                    <w:widowControl/>
                    <w:jc w:val="center"/>
                    <w:rPr>
                      <w:rFonts w:hint="default"/>
                      <w:b w:val="0"/>
                      <w:bCs/>
                      <w:color w:val="auto"/>
                      <w:kern w:val="0"/>
                      <w:szCs w:val="21"/>
                      <w:lang w:val="en-US" w:eastAsia="zh-CN"/>
                    </w:rPr>
                  </w:pPr>
                  <w:r>
                    <w:rPr>
                      <w:rFonts w:hint="eastAsia"/>
                      <w:b w:val="0"/>
                      <w:bCs/>
                      <w:color w:val="auto"/>
                      <w:kern w:val="0"/>
                      <w:szCs w:val="21"/>
                      <w:lang w:val="en-US" w:eastAsia="zh-CN"/>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restart"/>
                  <w:noWrap w:val="0"/>
                  <w:vAlign w:val="center"/>
                </w:tcPr>
                <w:p>
                  <w:pPr>
                    <w:widowControl/>
                    <w:jc w:val="center"/>
                    <w:rPr>
                      <w:rFonts w:hint="eastAsia"/>
                      <w:b w:val="0"/>
                      <w:bCs/>
                      <w:color w:val="auto"/>
                      <w:kern w:val="0"/>
                      <w:szCs w:val="21"/>
                    </w:rPr>
                  </w:pPr>
                  <w:r>
                    <w:rPr>
                      <w:rFonts w:hint="eastAsia"/>
                      <w:b w:val="0"/>
                      <w:bCs/>
                      <w:color w:val="auto"/>
                      <w:kern w:val="0"/>
                      <w:szCs w:val="21"/>
                    </w:rPr>
                    <w:t>环保工程</w:t>
                  </w:r>
                </w:p>
              </w:tc>
              <w:tc>
                <w:tcPr>
                  <w:tcW w:w="1027" w:type="dxa"/>
                  <w:noWrap w:val="0"/>
                  <w:vAlign w:val="center"/>
                </w:tcPr>
                <w:p>
                  <w:pPr>
                    <w:tabs>
                      <w:tab w:val="left" w:pos="3255"/>
                    </w:tabs>
                    <w:adjustRightInd w:val="0"/>
                    <w:spacing w:line="320" w:lineRule="exact"/>
                    <w:jc w:val="center"/>
                    <w:rPr>
                      <w:b w:val="0"/>
                      <w:bCs/>
                      <w:color w:val="auto"/>
                      <w:szCs w:val="21"/>
                    </w:rPr>
                  </w:pPr>
                  <w:r>
                    <w:rPr>
                      <w:b w:val="0"/>
                      <w:bCs/>
                      <w:color w:val="auto"/>
                      <w:szCs w:val="21"/>
                    </w:rPr>
                    <w:t>污水</w:t>
                  </w:r>
                </w:p>
                <w:p>
                  <w:pPr>
                    <w:tabs>
                      <w:tab w:val="left" w:pos="3255"/>
                    </w:tabs>
                    <w:adjustRightInd w:val="0"/>
                    <w:spacing w:line="320" w:lineRule="exact"/>
                    <w:jc w:val="center"/>
                    <w:rPr>
                      <w:rFonts w:hint="eastAsia"/>
                      <w:b w:val="0"/>
                      <w:bCs/>
                      <w:color w:val="auto"/>
                      <w:kern w:val="0"/>
                      <w:szCs w:val="21"/>
                    </w:rPr>
                  </w:pPr>
                  <w:r>
                    <w:rPr>
                      <w:b w:val="0"/>
                      <w:bCs/>
                      <w:color w:val="auto"/>
                      <w:szCs w:val="21"/>
                    </w:rPr>
                    <w:t>处理</w:t>
                  </w:r>
                </w:p>
              </w:tc>
              <w:tc>
                <w:tcPr>
                  <w:tcW w:w="2970" w:type="dxa"/>
                  <w:noWrap w:val="0"/>
                  <w:vAlign w:val="center"/>
                </w:tcPr>
                <w:p>
                  <w:pPr>
                    <w:pStyle w:val="57"/>
                    <w:tabs>
                      <w:tab w:val="left" w:pos="3255"/>
                    </w:tabs>
                    <w:adjustRightInd w:val="0"/>
                    <w:snapToGrid/>
                    <w:spacing w:line="320" w:lineRule="exact"/>
                    <w:jc w:val="left"/>
                    <w:rPr>
                      <w:b w:val="0"/>
                      <w:bCs/>
                      <w:color w:val="auto"/>
                      <w:kern w:val="0"/>
                      <w:szCs w:val="21"/>
                    </w:rPr>
                  </w:pPr>
                  <w:r>
                    <w:rPr>
                      <w:b w:val="0"/>
                      <w:bCs/>
                      <w:color w:val="auto"/>
                      <w:sz w:val="21"/>
                      <w:szCs w:val="21"/>
                    </w:rPr>
                    <w:t>生活污水、</w:t>
                  </w:r>
                  <w:r>
                    <w:rPr>
                      <w:rFonts w:hint="eastAsia"/>
                      <w:b w:val="0"/>
                      <w:bCs/>
                      <w:color w:val="auto"/>
                      <w:sz w:val="21"/>
                      <w:szCs w:val="21"/>
                    </w:rPr>
                    <w:t>保洁废水、循环冷却系统排水及蒸汽冷凝水</w:t>
                  </w:r>
                  <w:r>
                    <w:rPr>
                      <w:b w:val="0"/>
                      <w:bCs/>
                      <w:color w:val="auto"/>
                      <w:sz w:val="21"/>
                      <w:szCs w:val="21"/>
                    </w:rPr>
                    <w:t>经一套</w:t>
                  </w:r>
                  <w:r>
                    <w:rPr>
                      <w:rFonts w:hint="eastAsia"/>
                      <w:b w:val="0"/>
                      <w:bCs/>
                      <w:color w:val="auto"/>
                      <w:sz w:val="21"/>
                      <w:szCs w:val="21"/>
                      <w:lang w:eastAsia="zh-CN"/>
                    </w:rPr>
                    <w:t>在</w:t>
                  </w:r>
                  <w:r>
                    <w:rPr>
                      <w:rFonts w:hint="eastAsia"/>
                      <w:b w:val="0"/>
                      <w:bCs/>
                      <w:color w:val="auto"/>
                      <w:sz w:val="21"/>
                      <w:szCs w:val="21"/>
                    </w:rPr>
                    <w:t>建</w:t>
                  </w:r>
                  <w:r>
                    <w:rPr>
                      <w:b w:val="0"/>
                      <w:bCs/>
                      <w:color w:val="auto"/>
                      <w:sz w:val="21"/>
                      <w:szCs w:val="21"/>
                    </w:rPr>
                    <w:t>处理能力为</w:t>
                  </w:r>
                  <w:r>
                    <w:rPr>
                      <w:rFonts w:hint="eastAsia"/>
                      <w:b w:val="0"/>
                      <w:bCs/>
                      <w:color w:val="auto"/>
                      <w:sz w:val="21"/>
                      <w:szCs w:val="21"/>
                    </w:rPr>
                    <w:t>1</w:t>
                  </w:r>
                  <w:r>
                    <w:rPr>
                      <w:b w:val="0"/>
                      <w:bCs/>
                      <w:color w:val="auto"/>
                      <w:sz w:val="21"/>
                      <w:szCs w:val="21"/>
                    </w:rPr>
                    <w:t>00</w:t>
                  </w:r>
                  <w:r>
                    <w:rPr>
                      <w:rFonts w:hint="eastAsia"/>
                      <w:b w:val="0"/>
                      <w:bCs/>
                      <w:color w:val="auto"/>
                      <w:sz w:val="21"/>
                      <w:szCs w:val="21"/>
                      <w:lang w:val="en-US" w:eastAsia="zh-CN"/>
                    </w:rPr>
                    <w:t>0</w:t>
                  </w:r>
                  <w:r>
                    <w:rPr>
                      <w:b w:val="0"/>
                      <w:bCs/>
                      <w:color w:val="auto"/>
                      <w:sz w:val="21"/>
                      <w:szCs w:val="21"/>
                    </w:rPr>
                    <w:t>m</w:t>
                  </w:r>
                  <w:r>
                    <w:rPr>
                      <w:b w:val="0"/>
                      <w:bCs/>
                      <w:color w:val="auto"/>
                      <w:sz w:val="21"/>
                      <w:szCs w:val="21"/>
                      <w:vertAlign w:val="superscript"/>
                    </w:rPr>
                    <w:t>3</w:t>
                  </w:r>
                  <w:r>
                    <w:rPr>
                      <w:b w:val="0"/>
                      <w:bCs/>
                      <w:color w:val="auto"/>
                      <w:sz w:val="21"/>
                      <w:szCs w:val="21"/>
                    </w:rPr>
                    <w:t>/d的污水处理设施（</w:t>
                  </w:r>
                  <w:r>
                    <w:rPr>
                      <w:rFonts w:hint="eastAsia"/>
                      <w:b w:val="0"/>
                      <w:bCs/>
                      <w:color w:val="auto"/>
                      <w:sz w:val="21"/>
                      <w:szCs w:val="21"/>
                      <w:lang w:eastAsia="zh-CN"/>
                    </w:rPr>
                    <w:t>综合调节</w:t>
                  </w:r>
                  <w:r>
                    <w:rPr>
                      <w:rFonts w:hint="eastAsia"/>
                      <w:b w:val="0"/>
                      <w:bCs/>
                      <w:color w:val="auto"/>
                      <w:sz w:val="21"/>
                      <w:szCs w:val="21"/>
                      <w:lang w:val="en-US" w:eastAsia="zh-CN"/>
                    </w:rPr>
                    <w:t>+水解酸化+好氧+沉淀</w:t>
                  </w:r>
                  <w:r>
                    <w:rPr>
                      <w:b w:val="0"/>
                      <w:bCs/>
                      <w:color w:val="auto"/>
                      <w:sz w:val="21"/>
                      <w:szCs w:val="21"/>
                    </w:rPr>
                    <w:t>）处理</w:t>
                  </w:r>
                  <w:r>
                    <w:rPr>
                      <w:rFonts w:hint="eastAsia"/>
                      <w:b w:val="0"/>
                      <w:bCs/>
                      <w:color w:val="auto"/>
                      <w:sz w:val="21"/>
                      <w:szCs w:val="21"/>
                      <w:lang w:eastAsia="zh-CN"/>
                    </w:rPr>
                    <w:t>满足接管限值后</w:t>
                  </w:r>
                  <w:r>
                    <w:rPr>
                      <w:rFonts w:hint="eastAsia"/>
                      <w:b w:val="0"/>
                      <w:bCs/>
                      <w:color w:val="auto"/>
                      <w:sz w:val="21"/>
                      <w:szCs w:val="21"/>
                    </w:rPr>
                    <w:t>经市政污水管网</w:t>
                  </w:r>
                  <w:r>
                    <w:rPr>
                      <w:b w:val="0"/>
                      <w:bCs/>
                      <w:color w:val="auto"/>
                      <w:sz w:val="21"/>
                      <w:szCs w:val="21"/>
                    </w:rPr>
                    <w:t>排入西部组团污水处理厂</w:t>
                  </w:r>
                  <w:r>
                    <w:rPr>
                      <w:rFonts w:hint="eastAsia"/>
                      <w:b w:val="0"/>
                      <w:bCs/>
                      <w:color w:val="auto"/>
                      <w:sz w:val="21"/>
                      <w:szCs w:val="21"/>
                    </w:rPr>
                    <w:t>深度</w:t>
                  </w:r>
                  <w:r>
                    <w:rPr>
                      <w:b w:val="0"/>
                      <w:bCs/>
                      <w:color w:val="auto"/>
                      <w:sz w:val="21"/>
                      <w:szCs w:val="21"/>
                    </w:rPr>
                    <w:t>处理</w:t>
                  </w:r>
                  <w:r>
                    <w:rPr>
                      <w:rFonts w:hint="eastAsia"/>
                      <w:b w:val="0"/>
                      <w:bCs/>
                      <w:color w:val="auto"/>
                      <w:sz w:val="21"/>
                      <w:szCs w:val="21"/>
                    </w:rPr>
                    <w:t>后排入派河；同时将废水总排口位置调整至厂区西南角。</w:t>
                  </w:r>
                </w:p>
              </w:tc>
              <w:tc>
                <w:tcPr>
                  <w:tcW w:w="2685" w:type="dxa"/>
                  <w:noWrap w:val="0"/>
                  <w:vAlign w:val="center"/>
                </w:tcPr>
                <w:p>
                  <w:pPr>
                    <w:widowControl/>
                    <w:jc w:val="center"/>
                    <w:rPr>
                      <w:b w:val="0"/>
                      <w:bCs/>
                      <w:color w:val="auto"/>
                      <w:kern w:val="0"/>
                      <w:szCs w:val="21"/>
                    </w:rPr>
                  </w:pPr>
                  <w:r>
                    <w:rPr>
                      <w:rFonts w:hint="eastAsia"/>
                      <w:b w:val="0"/>
                      <w:bCs/>
                      <w:color w:val="auto"/>
                      <w:kern w:val="0"/>
                      <w:szCs w:val="21"/>
                    </w:rPr>
                    <w:t>本次扩建新增</w:t>
                  </w:r>
                  <w:r>
                    <w:rPr>
                      <w:rFonts w:hint="eastAsia"/>
                      <w:b w:val="0"/>
                      <w:bCs/>
                      <w:color w:val="auto"/>
                      <w:kern w:val="0"/>
                      <w:szCs w:val="21"/>
                      <w:lang w:eastAsia="zh-CN"/>
                    </w:rPr>
                    <w:t>混合</w:t>
                  </w:r>
                  <w:r>
                    <w:rPr>
                      <w:rFonts w:hint="eastAsia"/>
                      <w:b w:val="0"/>
                      <w:bCs/>
                      <w:color w:val="auto"/>
                      <w:kern w:val="0"/>
                      <w:szCs w:val="21"/>
                    </w:rPr>
                    <w:t>废水</w:t>
                  </w:r>
                  <w:r>
                    <w:rPr>
                      <w:rFonts w:hint="default" w:ascii="Times New Roman" w:hAnsi="Times New Roman" w:eastAsia="宋体" w:cs="Times New Roman"/>
                      <w:i w:val="0"/>
                      <w:iCs w:val="0"/>
                      <w:color w:val="auto"/>
                      <w:kern w:val="0"/>
                      <w:sz w:val="21"/>
                      <w:szCs w:val="21"/>
                      <w:u w:val="none"/>
                      <w:lang w:val="en-US" w:eastAsia="zh-CN" w:bidi="ar"/>
                    </w:rPr>
                    <w:t>117.368</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b w:val="0"/>
                      <w:bCs/>
                      <w:color w:val="auto"/>
                      <w:kern w:val="0"/>
                      <w:szCs w:val="21"/>
                    </w:rPr>
                    <w:t>/d，</w:t>
                  </w:r>
                  <w:r>
                    <w:rPr>
                      <w:rFonts w:hint="eastAsia"/>
                      <w:b w:val="0"/>
                      <w:bCs/>
                      <w:color w:val="auto"/>
                      <w:kern w:val="0"/>
                      <w:szCs w:val="21"/>
                      <w:lang w:eastAsia="zh-CN"/>
                    </w:rPr>
                    <w:t>扩建后排入污水处理站的废水总量为</w:t>
                  </w:r>
                  <w:r>
                    <w:rPr>
                      <w:rFonts w:hint="eastAsia"/>
                      <w:b w:val="0"/>
                      <w:bCs/>
                      <w:color w:val="auto"/>
                      <w:kern w:val="0"/>
                      <w:szCs w:val="21"/>
                      <w:lang w:val="en-US" w:eastAsia="zh-CN"/>
                    </w:rPr>
                    <w:t>619.198</w:t>
                  </w:r>
                  <w:r>
                    <w:rPr>
                      <w:rFonts w:hint="eastAsia" w:ascii="Times New Roman" w:hAnsi="Times New Roman" w:eastAsia="宋体" w:cs="Times New Roman"/>
                      <w:i w:val="0"/>
                      <w:iCs w:val="0"/>
                      <w:color w:val="auto"/>
                      <w:kern w:val="0"/>
                      <w:sz w:val="21"/>
                      <w:szCs w:val="21"/>
                      <w:u w:val="none"/>
                      <w:lang w:val="en-US" w:eastAsia="zh-CN" w:bidi="ar"/>
                    </w:rPr>
                    <w:t>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/d，污水处理设施的处理能力为1000m</w:t>
                  </w:r>
                  <w:r>
                    <w:rPr>
                      <w:rFonts w:hint="eastAsia" w:ascii="Times New Roman" w:hAnsi="Times New Roman" w:eastAsia="宋体" w:cs="Times New Roman"/>
                      <w:i w:val="0"/>
                      <w:iCs w:val="0"/>
                      <w:color w:val="auto"/>
                      <w:kern w:val="0"/>
                      <w:sz w:val="21"/>
                      <w:szCs w:val="21"/>
                      <w:u w:val="none"/>
                      <w:vertAlign w:val="superscript"/>
                      <w:lang w:val="en-US" w:eastAsia="zh-CN" w:bidi="ar"/>
                    </w:rPr>
                    <w:t>3</w:t>
                  </w:r>
                  <w:r>
                    <w:rPr>
                      <w:rFonts w:hint="eastAsia" w:ascii="Times New Roman" w:hAnsi="Times New Roman" w:eastAsia="宋体" w:cs="Times New Roman"/>
                      <w:i w:val="0"/>
                      <w:iCs w:val="0"/>
                      <w:color w:val="auto"/>
                      <w:kern w:val="0"/>
                      <w:sz w:val="21"/>
                      <w:szCs w:val="21"/>
                      <w:u w:val="none"/>
                      <w:lang w:val="en-US" w:eastAsia="zh-CN" w:bidi="ar"/>
                    </w:rPr>
                    <w:t>/d，能够满足污水处理需求</w:t>
                  </w:r>
                </w:p>
              </w:tc>
              <w:tc>
                <w:tcPr>
                  <w:tcW w:w="1178" w:type="dxa"/>
                  <w:noWrap w:val="0"/>
                  <w:vAlign w:val="center"/>
                </w:tcPr>
                <w:p>
                  <w:pPr>
                    <w:widowControl/>
                    <w:jc w:val="center"/>
                    <w:rPr>
                      <w:rFonts w:hint="eastAsia"/>
                      <w:b w:val="0"/>
                      <w:bCs/>
                      <w:color w:val="auto"/>
                      <w:kern w:val="0"/>
                      <w:szCs w:val="21"/>
                    </w:rPr>
                  </w:pPr>
                  <w:r>
                    <w:rPr>
                      <w:rFonts w:hint="eastAsia"/>
                      <w:b w:val="0"/>
                      <w:bCs/>
                      <w:color w:val="auto"/>
                      <w:kern w:val="0"/>
                      <w:szCs w:val="21"/>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widowControl/>
                    <w:jc w:val="center"/>
                    <w:rPr>
                      <w:rFonts w:hint="eastAsia"/>
                      <w:b w:val="0"/>
                      <w:bCs/>
                      <w:color w:val="auto"/>
                      <w:kern w:val="0"/>
                      <w:szCs w:val="21"/>
                    </w:rPr>
                  </w:pPr>
                  <w:r>
                    <w:rPr>
                      <w:rFonts w:hint="eastAsia"/>
                      <w:b w:val="0"/>
                      <w:bCs/>
                      <w:color w:val="auto"/>
                      <w:kern w:val="0"/>
                      <w:szCs w:val="21"/>
                    </w:rPr>
                    <w:t>事故池</w:t>
                  </w:r>
                </w:p>
              </w:tc>
              <w:tc>
                <w:tcPr>
                  <w:tcW w:w="2970" w:type="dxa"/>
                  <w:noWrap w:val="0"/>
                  <w:vAlign w:val="center"/>
                </w:tcPr>
                <w:p>
                  <w:pPr>
                    <w:widowControl/>
                    <w:jc w:val="center"/>
                    <w:rPr>
                      <w:rFonts w:hint="eastAsia"/>
                      <w:b w:val="0"/>
                      <w:bCs/>
                      <w:color w:val="auto"/>
                      <w:kern w:val="0"/>
                      <w:szCs w:val="21"/>
                    </w:rPr>
                  </w:pPr>
                  <w:r>
                    <w:rPr>
                      <w:rFonts w:hint="eastAsia"/>
                      <w:b w:val="0"/>
                      <w:bCs/>
                      <w:color w:val="auto"/>
                      <w:szCs w:val="21"/>
                    </w:rPr>
                    <w:t>设置</w:t>
                  </w:r>
                  <w:r>
                    <w:rPr>
                      <w:rFonts w:hint="eastAsia"/>
                      <w:b w:val="0"/>
                      <w:bCs/>
                      <w:color w:val="auto"/>
                      <w:szCs w:val="21"/>
                      <w:lang w:val="en-US" w:eastAsia="zh-CN"/>
                    </w:rPr>
                    <w:t>4</w:t>
                  </w:r>
                  <w:r>
                    <w:rPr>
                      <w:rFonts w:hint="eastAsia"/>
                      <w:b w:val="0"/>
                      <w:bCs/>
                      <w:color w:val="auto"/>
                      <w:szCs w:val="21"/>
                    </w:rPr>
                    <w:t>50m</w:t>
                  </w:r>
                  <w:r>
                    <w:rPr>
                      <w:rFonts w:hint="eastAsia"/>
                      <w:b w:val="0"/>
                      <w:bCs/>
                      <w:color w:val="auto"/>
                      <w:szCs w:val="21"/>
                      <w:vertAlign w:val="superscript"/>
                    </w:rPr>
                    <w:t>3</w:t>
                  </w:r>
                  <w:r>
                    <w:rPr>
                      <w:rFonts w:hint="eastAsia"/>
                      <w:b w:val="0"/>
                      <w:bCs/>
                      <w:color w:val="auto"/>
                      <w:szCs w:val="21"/>
                    </w:rPr>
                    <w:t>事故池及事故废水收集管网</w:t>
                  </w:r>
                </w:p>
              </w:tc>
              <w:tc>
                <w:tcPr>
                  <w:tcW w:w="2685" w:type="dxa"/>
                  <w:noWrap w:val="0"/>
                  <w:vAlign w:val="center"/>
                </w:tcPr>
                <w:p>
                  <w:pPr>
                    <w:widowControl/>
                    <w:jc w:val="center"/>
                    <w:rPr>
                      <w:rFonts w:hint="eastAsia"/>
                      <w:b w:val="0"/>
                      <w:bCs/>
                      <w:color w:val="auto"/>
                      <w:kern w:val="0"/>
                      <w:szCs w:val="21"/>
                    </w:rPr>
                  </w:pPr>
                  <w:r>
                    <w:rPr>
                      <w:rFonts w:hint="eastAsia"/>
                      <w:b w:val="0"/>
                      <w:bCs/>
                      <w:color w:val="auto"/>
                      <w:kern w:val="0"/>
                      <w:szCs w:val="21"/>
                    </w:rPr>
                    <w:t>经核算（第四章环境风险部分），现有</w:t>
                  </w:r>
                  <w:r>
                    <w:rPr>
                      <w:rFonts w:hint="eastAsia"/>
                      <w:b w:val="0"/>
                      <w:bCs/>
                      <w:color w:val="auto"/>
                      <w:szCs w:val="21"/>
                      <w:lang w:val="en-US" w:eastAsia="zh-CN"/>
                    </w:rPr>
                    <w:t>4</w:t>
                  </w:r>
                  <w:r>
                    <w:rPr>
                      <w:rFonts w:hint="eastAsia"/>
                      <w:b w:val="0"/>
                      <w:bCs/>
                      <w:color w:val="auto"/>
                      <w:szCs w:val="21"/>
                    </w:rPr>
                    <w:t>50m</w:t>
                  </w:r>
                  <w:r>
                    <w:rPr>
                      <w:rFonts w:hint="eastAsia"/>
                      <w:b w:val="0"/>
                      <w:bCs/>
                      <w:color w:val="auto"/>
                      <w:szCs w:val="21"/>
                      <w:vertAlign w:val="superscript"/>
                    </w:rPr>
                    <w:t>3</w:t>
                  </w:r>
                  <w:r>
                    <w:rPr>
                      <w:rFonts w:hint="eastAsia"/>
                      <w:b w:val="0"/>
                      <w:bCs/>
                      <w:color w:val="auto"/>
                      <w:szCs w:val="21"/>
                    </w:rPr>
                    <w:t>事故池能够满足扩建需求</w:t>
                  </w:r>
                </w:p>
              </w:tc>
              <w:tc>
                <w:tcPr>
                  <w:tcW w:w="1178" w:type="dxa"/>
                  <w:noWrap w:val="0"/>
                  <w:vAlign w:val="center"/>
                </w:tcPr>
                <w:p>
                  <w:pPr>
                    <w:widowControl/>
                    <w:jc w:val="center"/>
                    <w:rPr>
                      <w:rFonts w:hint="eastAsia"/>
                      <w:b w:val="0"/>
                      <w:bCs/>
                      <w:color w:val="auto"/>
                      <w:kern w:val="0"/>
                      <w:szCs w:val="21"/>
                    </w:rPr>
                  </w:pPr>
                  <w:r>
                    <w:rPr>
                      <w:rFonts w:hint="eastAsia"/>
                      <w:b w:val="0"/>
                      <w:bCs/>
                      <w:color w:val="auto"/>
                      <w:kern w:val="0"/>
                      <w:szCs w:val="21"/>
                    </w:rPr>
                    <w:t>可行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1" w:hRule="atLeast"/>
                <w:tblHeader/>
                <w:jc w:val="center"/>
              </w:trPr>
              <w:tc>
                <w:tcPr>
                  <w:tcW w:w="768" w:type="dxa"/>
                  <w:vMerge w:val="continue"/>
                  <w:noWrap w:val="0"/>
                  <w:vAlign w:val="center"/>
                </w:tcPr>
                <w:p>
                  <w:pPr>
                    <w:widowControl/>
                    <w:jc w:val="center"/>
                    <w:rPr>
                      <w:b w:val="0"/>
                      <w:bCs/>
                      <w:color w:val="auto"/>
                      <w:kern w:val="0"/>
                      <w:szCs w:val="21"/>
                    </w:rPr>
                  </w:pPr>
                </w:p>
              </w:tc>
              <w:tc>
                <w:tcPr>
                  <w:tcW w:w="1027" w:type="dxa"/>
                  <w:noWrap w:val="0"/>
                  <w:vAlign w:val="center"/>
                </w:tcPr>
                <w:p>
                  <w:pPr>
                    <w:widowControl/>
                    <w:jc w:val="center"/>
                    <w:rPr>
                      <w:rFonts w:hint="default" w:eastAsia="宋体"/>
                      <w:b w:val="0"/>
                      <w:bCs/>
                      <w:color w:val="auto"/>
                      <w:kern w:val="0"/>
                      <w:szCs w:val="21"/>
                      <w:lang w:val="en-US" w:eastAsia="zh-CN"/>
                    </w:rPr>
                  </w:pPr>
                  <w:r>
                    <w:rPr>
                      <w:rFonts w:hint="eastAsia"/>
                      <w:b w:val="0"/>
                      <w:bCs/>
                      <w:color w:val="auto"/>
                      <w:kern w:val="0"/>
                      <w:szCs w:val="21"/>
                      <w:lang w:val="en-US" w:eastAsia="zh-CN"/>
                    </w:rPr>
                    <w:t>废气处理</w:t>
                  </w:r>
                </w:p>
              </w:tc>
              <w:tc>
                <w:tcPr>
                  <w:tcW w:w="2970" w:type="dxa"/>
                  <w:noWrap w:val="0"/>
                  <w:vAlign w:val="center"/>
                </w:tcPr>
                <w:p>
                  <w:pPr>
                    <w:widowControl/>
                    <w:jc w:val="center"/>
                    <w:rPr>
                      <w:rFonts w:hint="eastAsia"/>
                      <w:b w:val="0"/>
                      <w:bCs/>
                      <w:color w:val="auto"/>
                      <w:szCs w:val="21"/>
                    </w:rPr>
                  </w:pPr>
                  <w:r>
                    <w:rPr>
                      <w:b w:val="0"/>
                      <w:bCs w:val="0"/>
                      <w:color w:val="auto"/>
                      <w:szCs w:val="21"/>
                    </w:rPr>
                    <w:t>实验室（位于</w:t>
                  </w:r>
                  <w:r>
                    <w:rPr>
                      <w:rFonts w:hint="eastAsia"/>
                      <w:b w:val="0"/>
                      <w:bCs w:val="0"/>
                      <w:color w:val="auto"/>
                      <w:szCs w:val="21"/>
                    </w:rPr>
                    <w:t>115组件仓库二层</w:t>
                  </w:r>
                  <w:r>
                    <w:rPr>
                      <w:b w:val="0"/>
                      <w:bCs w:val="0"/>
                      <w:color w:val="auto"/>
                      <w:szCs w:val="21"/>
                    </w:rPr>
                    <w:t>）EVA测试废气通过通风橱收集后经</w:t>
                  </w:r>
                  <w:r>
                    <w:rPr>
                      <w:rFonts w:hint="eastAsia"/>
                      <w:b w:val="0"/>
                      <w:bCs w:val="0"/>
                      <w:color w:val="auto"/>
                      <w:szCs w:val="21"/>
                    </w:rPr>
                    <w:t>1</w:t>
                  </w:r>
                  <w:r>
                    <w:rPr>
                      <w:b w:val="0"/>
                      <w:bCs w:val="0"/>
                      <w:color w:val="auto"/>
                      <w:szCs w:val="21"/>
                    </w:rPr>
                    <w:t>套</w:t>
                  </w:r>
                  <w:r>
                    <w:rPr>
                      <w:rFonts w:hint="eastAsia"/>
                      <w:b w:val="0"/>
                      <w:bCs w:val="0"/>
                      <w:color w:val="auto"/>
                      <w:szCs w:val="21"/>
                    </w:rPr>
                    <w:t>二</w:t>
                  </w:r>
                  <w:r>
                    <w:rPr>
                      <w:b w:val="0"/>
                      <w:bCs w:val="0"/>
                      <w:color w:val="auto"/>
                      <w:szCs w:val="21"/>
                    </w:rPr>
                    <w:t>级活性炭吸附装置处理后通过</w:t>
                  </w:r>
                  <w:r>
                    <w:rPr>
                      <w:rFonts w:hint="eastAsia"/>
                      <w:b w:val="0"/>
                      <w:bCs w:val="0"/>
                      <w:color w:val="auto"/>
                      <w:szCs w:val="21"/>
                    </w:rPr>
                    <w:t>1</w:t>
                  </w:r>
                  <w:r>
                    <w:rPr>
                      <w:b w:val="0"/>
                      <w:bCs w:val="0"/>
                      <w:color w:val="auto"/>
                      <w:szCs w:val="21"/>
                    </w:rPr>
                    <w:t>根15m高排气筒（DA0</w:t>
                  </w:r>
                  <w:r>
                    <w:rPr>
                      <w:rFonts w:hint="eastAsia"/>
                      <w:b w:val="0"/>
                      <w:bCs w:val="0"/>
                      <w:color w:val="auto"/>
                      <w:szCs w:val="21"/>
                      <w:lang w:val="en-US" w:eastAsia="zh-CN"/>
                    </w:rPr>
                    <w:t>10</w:t>
                  </w:r>
                  <w:r>
                    <w:rPr>
                      <w:b w:val="0"/>
                      <w:bCs w:val="0"/>
                      <w:color w:val="auto"/>
                      <w:szCs w:val="21"/>
                    </w:rPr>
                    <w:t>）排放</w:t>
                  </w:r>
                </w:p>
              </w:tc>
              <w:tc>
                <w:tcPr>
                  <w:tcW w:w="2685" w:type="dxa"/>
                  <w:noWrap w:val="0"/>
                  <w:vAlign w:val="center"/>
                </w:tcPr>
                <w:p>
                  <w:pPr>
                    <w:widowControl/>
                    <w:jc w:val="center"/>
                    <w:rPr>
                      <w:rFonts w:hint="eastAsia"/>
                      <w:b w:val="0"/>
                      <w:bCs/>
                      <w:color w:val="auto"/>
                      <w:kern w:val="0"/>
                      <w:szCs w:val="21"/>
                    </w:rPr>
                  </w:pPr>
                  <w:r>
                    <w:rPr>
                      <w:rFonts w:hint="eastAsia"/>
                      <w:color w:val="auto"/>
                      <w:kern w:val="0"/>
                      <w:szCs w:val="21"/>
                    </w:rPr>
                    <w:t>经核算（第四章大气环境影响部分），依托现有废气处理措施能够满足扩建需求</w:t>
                  </w:r>
                </w:p>
              </w:tc>
              <w:tc>
                <w:tcPr>
                  <w:tcW w:w="1178" w:type="dxa"/>
                  <w:noWrap w:val="0"/>
                  <w:vAlign w:val="center"/>
                </w:tcPr>
                <w:p>
                  <w:pPr>
                    <w:widowControl/>
                    <w:jc w:val="center"/>
                    <w:rPr>
                      <w:rFonts w:hint="eastAsia" w:eastAsia="宋体"/>
                      <w:b w:val="0"/>
                      <w:bCs/>
                      <w:color w:val="auto"/>
                      <w:kern w:val="0"/>
                      <w:szCs w:val="21"/>
                      <w:lang w:val="en-US" w:eastAsia="zh-CN"/>
                    </w:rPr>
                  </w:pPr>
                  <w:r>
                    <w:rPr>
                      <w:rFonts w:hint="eastAsia"/>
                      <w:b w:val="0"/>
                      <w:bCs/>
                      <w:color w:val="auto"/>
                      <w:kern w:val="0"/>
                      <w:szCs w:val="21"/>
                      <w:lang w:val="en-US" w:eastAsia="zh-CN"/>
                    </w:rPr>
                    <w:t>可行</w:t>
                  </w:r>
                </w:p>
              </w:tc>
            </w:tr>
          </w:tbl>
          <w:p>
            <w:pPr>
              <w:widowControl/>
              <w:adjustRightInd w:val="0"/>
              <w:snapToGrid w:val="0"/>
              <w:spacing w:line="360" w:lineRule="auto"/>
            </w:pPr>
          </w:p>
          <w:p>
            <w:pPr>
              <w:widowControl/>
              <w:adjustRightInd w:val="0"/>
              <w:snapToGrid w:val="0"/>
              <w:spacing w:line="360" w:lineRule="auto"/>
              <w:ind w:firstLine="482" w:firstLineChars="200"/>
              <w:rPr>
                <w:b/>
                <w:bCs/>
                <w:color w:val="auto"/>
                <w:sz w:val="24"/>
              </w:rPr>
            </w:pPr>
            <w:r>
              <w:rPr>
                <w:rFonts w:hint="eastAsia"/>
                <w:b/>
                <w:bCs/>
                <w:color w:val="auto"/>
                <w:sz w:val="24"/>
              </w:rPr>
              <w:t>（</w:t>
            </w:r>
            <w:r>
              <w:rPr>
                <w:rFonts w:hint="eastAsia"/>
                <w:b/>
                <w:bCs/>
                <w:color w:val="auto"/>
                <w:sz w:val="24"/>
                <w:lang w:eastAsia="zh-CN"/>
              </w:rPr>
              <w:t>三</w:t>
            </w:r>
            <w:r>
              <w:rPr>
                <w:rFonts w:hint="eastAsia"/>
                <w:b/>
                <w:bCs/>
                <w:color w:val="auto"/>
                <w:sz w:val="24"/>
              </w:rPr>
              <w:t>）主要产品及产能</w:t>
            </w:r>
          </w:p>
          <w:p>
            <w:pPr>
              <w:widowControl/>
              <w:adjustRightInd w:val="0"/>
              <w:snapToGrid w:val="0"/>
              <w:spacing w:line="360" w:lineRule="auto"/>
              <w:ind w:firstLine="480" w:firstLineChars="200"/>
              <w:rPr>
                <w:rFonts w:hint="eastAsia"/>
                <w:color w:val="auto"/>
                <w:sz w:val="24"/>
              </w:rPr>
            </w:pPr>
            <w:r>
              <w:rPr>
                <w:rFonts w:hint="eastAsia"/>
                <w:color w:val="auto"/>
                <w:sz w:val="24"/>
              </w:rPr>
              <w:t>本项目扩建前后全厂产品及产能见下表。</w:t>
            </w:r>
          </w:p>
          <w:p>
            <w:pPr>
              <w:widowControl/>
              <w:numPr>
                <w:ilvl w:val="0"/>
                <w:numId w:val="2"/>
              </w:numPr>
              <w:jc w:val="center"/>
              <w:rPr>
                <w:b/>
                <w:color w:val="auto"/>
                <w:kern w:val="0"/>
                <w:szCs w:val="21"/>
              </w:rPr>
            </w:pPr>
            <w:r>
              <w:rPr>
                <w:rFonts w:hint="eastAsia"/>
                <w:b/>
                <w:color w:val="auto"/>
                <w:kern w:val="0"/>
                <w:szCs w:val="21"/>
              </w:rPr>
              <w:t xml:space="preserve">  </w:t>
            </w:r>
            <w:r>
              <w:rPr>
                <w:b/>
                <w:color w:val="auto"/>
                <w:kern w:val="0"/>
                <w:szCs w:val="21"/>
              </w:rPr>
              <w:t>项目</w:t>
            </w:r>
            <w:r>
              <w:rPr>
                <w:rFonts w:hint="eastAsia"/>
                <w:b/>
                <w:color w:val="auto"/>
                <w:kern w:val="0"/>
                <w:szCs w:val="21"/>
              </w:rPr>
              <w:t>扩建</w:t>
            </w:r>
            <w:r>
              <w:rPr>
                <w:b/>
                <w:color w:val="auto"/>
                <w:kern w:val="0"/>
                <w:szCs w:val="21"/>
              </w:rPr>
              <w:t>前后产品及</w:t>
            </w:r>
            <w:r>
              <w:rPr>
                <w:rFonts w:hint="eastAsia"/>
                <w:b/>
                <w:color w:val="auto"/>
                <w:kern w:val="0"/>
                <w:szCs w:val="21"/>
              </w:rPr>
              <w:t>产能</w:t>
            </w:r>
            <w:r>
              <w:rPr>
                <w:b/>
                <w:color w:val="auto"/>
                <w:kern w:val="0"/>
                <w:szCs w:val="21"/>
              </w:rPr>
              <w:t>一览表</w:t>
            </w:r>
          </w:p>
          <w:tbl>
            <w:tblPr>
              <w:tblStyle w:val="20"/>
              <w:tblW w:w="0" w:type="auto"/>
              <w:tblInd w:w="0" w:type="dxa"/>
              <w:tblLayout w:type="autofit"/>
              <w:tblCellMar>
                <w:top w:w="0" w:type="dxa"/>
                <w:left w:w="0" w:type="dxa"/>
                <w:bottom w:w="0" w:type="dxa"/>
                <w:right w:w="0" w:type="dxa"/>
              </w:tblCellMar>
            </w:tblPr>
            <w:tblGrid>
              <w:gridCol w:w="652"/>
              <w:gridCol w:w="1020"/>
              <w:gridCol w:w="1663"/>
              <w:gridCol w:w="908"/>
              <w:gridCol w:w="991"/>
              <w:gridCol w:w="991"/>
              <w:gridCol w:w="1093"/>
              <w:gridCol w:w="1321"/>
            </w:tblGrid>
            <w:tr>
              <w:tblPrEx>
                <w:tblCellMar>
                  <w:top w:w="0" w:type="dxa"/>
                  <w:left w:w="0" w:type="dxa"/>
                  <w:bottom w:w="0" w:type="dxa"/>
                  <w:right w:w="0" w:type="dxa"/>
                </w:tblCellMar>
              </w:tblPrEx>
              <w:trPr>
                <w:trHeight w:val="646"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序号</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kern w:val="0"/>
                      <w:szCs w:val="21"/>
                      <w:lang w:bidi="ar"/>
                    </w:rPr>
                  </w:pPr>
                  <w:r>
                    <w:rPr>
                      <w:b/>
                      <w:bCs/>
                      <w:color w:val="auto"/>
                      <w:kern w:val="0"/>
                      <w:szCs w:val="21"/>
                      <w:lang w:bidi="ar"/>
                    </w:rPr>
                    <w:t>生产线</w:t>
                  </w:r>
                </w:p>
                <w:p>
                  <w:pPr>
                    <w:widowControl/>
                    <w:jc w:val="center"/>
                    <w:textAlignment w:val="center"/>
                    <w:rPr>
                      <w:b/>
                      <w:bCs/>
                      <w:color w:val="auto"/>
                      <w:szCs w:val="21"/>
                    </w:rPr>
                  </w:pPr>
                  <w:r>
                    <w:rPr>
                      <w:b/>
                      <w:bCs/>
                      <w:color w:val="auto"/>
                      <w:kern w:val="0"/>
                      <w:szCs w:val="21"/>
                      <w:lang w:bidi="ar"/>
                    </w:rPr>
                    <w:t>编号</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产品名称</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kern w:val="0"/>
                      <w:szCs w:val="21"/>
                      <w:lang w:bidi="ar"/>
                    </w:rPr>
                  </w:pPr>
                  <w:r>
                    <w:rPr>
                      <w:b/>
                      <w:bCs/>
                      <w:color w:val="auto"/>
                      <w:kern w:val="0"/>
                      <w:szCs w:val="21"/>
                      <w:lang w:bidi="ar"/>
                    </w:rPr>
                    <w:t>计量</w:t>
                  </w:r>
                </w:p>
                <w:p>
                  <w:pPr>
                    <w:widowControl/>
                    <w:jc w:val="center"/>
                    <w:textAlignment w:val="center"/>
                    <w:rPr>
                      <w:b/>
                      <w:bCs/>
                      <w:color w:val="auto"/>
                      <w:szCs w:val="21"/>
                    </w:rPr>
                  </w:pPr>
                  <w:r>
                    <w:rPr>
                      <w:b/>
                      <w:bCs/>
                      <w:color w:val="auto"/>
                      <w:kern w:val="0"/>
                      <w:szCs w:val="21"/>
                      <w:lang w:bidi="ar"/>
                    </w:rPr>
                    <w:t>单位</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Fonts w:hint="eastAsia"/>
                      <w:b/>
                      <w:bCs/>
                      <w:color w:val="auto"/>
                      <w:kern w:val="0"/>
                      <w:szCs w:val="21"/>
                      <w:lang w:bidi="ar"/>
                    </w:rPr>
                    <w:t>扩建</w:t>
                  </w:r>
                  <w:r>
                    <w:rPr>
                      <w:b/>
                      <w:bCs/>
                      <w:color w:val="auto"/>
                      <w:kern w:val="0"/>
                      <w:szCs w:val="21"/>
                      <w:lang w:bidi="ar"/>
                    </w:rPr>
                    <w:t>前生产能力</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Fonts w:hint="eastAsia"/>
                      <w:b/>
                      <w:bCs/>
                      <w:color w:val="auto"/>
                      <w:kern w:val="0"/>
                      <w:szCs w:val="21"/>
                      <w:lang w:bidi="ar"/>
                    </w:rPr>
                    <w:t>扩建后</w:t>
                  </w:r>
                  <w:r>
                    <w:rPr>
                      <w:b/>
                      <w:bCs/>
                      <w:color w:val="auto"/>
                      <w:kern w:val="0"/>
                      <w:szCs w:val="21"/>
                      <w:lang w:bidi="ar"/>
                    </w:rPr>
                    <w:t>生产能力</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设计年生产时间（h）</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Fonts w:hint="eastAsia"/>
                      <w:b/>
                      <w:bCs/>
                      <w:color w:val="auto"/>
                      <w:kern w:val="0"/>
                      <w:szCs w:val="21"/>
                      <w:lang w:bidi="ar"/>
                    </w:rPr>
                    <w:t>备注</w:t>
                  </w:r>
                </w:p>
              </w:tc>
            </w:tr>
            <w:tr>
              <w:tblPrEx>
                <w:tblCellMar>
                  <w:top w:w="0" w:type="dxa"/>
                  <w:left w:w="0" w:type="dxa"/>
                  <w:bottom w:w="0" w:type="dxa"/>
                  <w:right w:w="0" w:type="dxa"/>
                </w:tblCellMar>
              </w:tblPrEx>
              <w:trPr>
                <w:trHeight w:val="335"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SCX001</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2</w:t>
                  </w:r>
                  <w:r>
                    <w:rPr>
                      <w:color w:val="auto"/>
                      <w:kern w:val="0"/>
                      <w:szCs w:val="21"/>
                      <w:lang w:bidi="ar"/>
                    </w:rPr>
                    <w:t>000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2000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8</w:t>
                  </w:r>
                  <w:r>
                    <w:rPr>
                      <w:rFonts w:hint="eastAsia"/>
                      <w:color w:val="auto"/>
                      <w:kern w:val="0"/>
                      <w:szCs w:val="21"/>
                      <w:lang w:bidi="ar"/>
                    </w:rPr>
                    <w:t>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组件厂房</w:t>
                  </w:r>
                  <w:r>
                    <w:rPr>
                      <w:rFonts w:hint="eastAsia"/>
                      <w:color w:val="auto"/>
                      <w:kern w:val="0"/>
                      <w:szCs w:val="21"/>
                      <w:lang w:bidi="ar"/>
                    </w:rPr>
                    <w:t>一</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2</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SCX002</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2500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2500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组件厂房</w:t>
                  </w:r>
                  <w:r>
                    <w:rPr>
                      <w:rFonts w:hint="eastAsia"/>
                      <w:color w:val="auto"/>
                      <w:kern w:val="0"/>
                      <w:szCs w:val="21"/>
                      <w:lang w:bidi="ar"/>
                    </w:rPr>
                    <w:t xml:space="preserve">二 </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3</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SCX003</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1212</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1212</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组件厂房</w:t>
                  </w:r>
                  <w:r>
                    <w:rPr>
                      <w:rFonts w:hint="eastAsia"/>
                      <w:color w:val="auto"/>
                      <w:kern w:val="0"/>
                      <w:szCs w:val="21"/>
                      <w:lang w:bidi="ar"/>
                    </w:rPr>
                    <w:t>三</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4</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SCX004</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1500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1500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组件厂房</w:t>
                  </w:r>
                  <w:r>
                    <w:rPr>
                      <w:rFonts w:hint="eastAsia"/>
                      <w:color w:val="auto"/>
                      <w:kern w:val="0"/>
                      <w:szCs w:val="21"/>
                      <w:lang w:bidi="ar"/>
                    </w:rPr>
                    <w:t>四</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5</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SCX005</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1500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1500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组件厂房</w:t>
                  </w:r>
                  <w:r>
                    <w:rPr>
                      <w:rFonts w:hint="eastAsia"/>
                      <w:color w:val="auto"/>
                      <w:kern w:val="0"/>
                      <w:szCs w:val="21"/>
                      <w:lang w:bidi="ar"/>
                    </w:rPr>
                    <w:t>五</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val="0"/>
                      <w:bCs w:val="0"/>
                      <w:color w:val="auto"/>
                      <w:kern w:val="0"/>
                      <w:szCs w:val="21"/>
                      <w:lang w:bidi="ar"/>
                    </w:rPr>
                  </w:pPr>
                  <w:r>
                    <w:rPr>
                      <w:rFonts w:hint="eastAsia"/>
                      <w:b w:val="0"/>
                      <w:bCs w:val="0"/>
                      <w:color w:val="auto"/>
                      <w:kern w:val="0"/>
                      <w:szCs w:val="21"/>
                      <w:lang w:bidi="ar"/>
                    </w:rPr>
                    <w:t>6</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val="0"/>
                      <w:bCs w:val="0"/>
                      <w:color w:val="auto"/>
                      <w:kern w:val="0"/>
                      <w:szCs w:val="21"/>
                      <w:lang w:bidi="ar"/>
                    </w:rPr>
                  </w:pPr>
                  <w:r>
                    <w:rPr>
                      <w:b w:val="0"/>
                      <w:bCs w:val="0"/>
                      <w:color w:val="auto"/>
                      <w:kern w:val="0"/>
                      <w:szCs w:val="21"/>
                      <w:lang w:bidi="ar"/>
                    </w:rPr>
                    <w:t>SCX00</w:t>
                  </w:r>
                  <w:r>
                    <w:rPr>
                      <w:rFonts w:hint="eastAsia"/>
                      <w:b w:val="0"/>
                      <w:bCs w:val="0"/>
                      <w:color w:val="auto"/>
                      <w:kern w:val="0"/>
                      <w:szCs w:val="21"/>
                      <w:lang w:bidi="ar"/>
                    </w:rPr>
                    <w:t>6</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val="0"/>
                      <w:bCs w:val="0"/>
                      <w:color w:val="auto"/>
                      <w:kern w:val="0"/>
                      <w:szCs w:val="21"/>
                      <w:lang w:bidi="ar"/>
                    </w:rPr>
                  </w:pPr>
                  <w:r>
                    <w:rPr>
                      <w:b w:val="0"/>
                      <w:bCs w:val="0"/>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val="0"/>
                      <w:bCs w:val="0"/>
                      <w:color w:val="auto"/>
                      <w:kern w:val="0"/>
                      <w:szCs w:val="21"/>
                      <w:lang w:bidi="ar"/>
                    </w:rPr>
                  </w:pPr>
                  <w:r>
                    <w:rPr>
                      <w:b w:val="0"/>
                      <w:bCs w:val="0"/>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val="0"/>
                      <w:bCs w:val="0"/>
                      <w:color w:val="auto"/>
                      <w:kern w:val="0"/>
                      <w:szCs w:val="21"/>
                      <w:lang w:bidi="ar"/>
                    </w:rPr>
                  </w:pPr>
                  <w:r>
                    <w:rPr>
                      <w:rFonts w:hint="eastAsia"/>
                      <w:b w:val="0"/>
                      <w:bCs w:val="0"/>
                      <w:color w:val="auto"/>
                      <w:kern w:val="0"/>
                      <w:szCs w:val="21"/>
                      <w:lang w:bidi="ar"/>
                    </w:rPr>
                    <w:t>2500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b w:val="0"/>
                      <w:bCs w:val="0"/>
                      <w:color w:val="auto"/>
                      <w:kern w:val="0"/>
                      <w:szCs w:val="21"/>
                      <w:lang w:val="en-US" w:eastAsia="zh-CN" w:bidi="ar"/>
                    </w:rPr>
                  </w:pPr>
                  <w:r>
                    <w:rPr>
                      <w:rFonts w:hint="eastAsia"/>
                      <w:b w:val="0"/>
                      <w:bCs w:val="0"/>
                      <w:color w:val="auto"/>
                      <w:kern w:val="0"/>
                      <w:szCs w:val="21"/>
                      <w:lang w:val="en-US" w:eastAsia="zh-CN" w:bidi="ar"/>
                    </w:rPr>
                    <w:t>2500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val="0"/>
                      <w:bCs w:val="0"/>
                      <w:color w:val="auto"/>
                      <w:kern w:val="0"/>
                      <w:szCs w:val="21"/>
                      <w:lang w:bidi="ar"/>
                    </w:rPr>
                  </w:pPr>
                  <w:r>
                    <w:rPr>
                      <w:rFonts w:hint="eastAsia"/>
                      <w:b w:val="0"/>
                      <w:bCs w:val="0"/>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val="0"/>
                      <w:bCs w:val="0"/>
                      <w:color w:val="auto"/>
                      <w:kern w:val="0"/>
                      <w:szCs w:val="21"/>
                      <w:lang w:bidi="ar"/>
                    </w:rPr>
                  </w:pPr>
                  <w:r>
                    <w:rPr>
                      <w:rFonts w:hint="eastAsia"/>
                      <w:b w:val="0"/>
                      <w:bCs w:val="0"/>
                      <w:color w:val="auto"/>
                      <w:kern w:val="0"/>
                      <w:szCs w:val="21"/>
                      <w:lang w:bidi="ar"/>
                    </w:rPr>
                    <w:t>智慧工厂</w:t>
                  </w:r>
                </w:p>
              </w:tc>
            </w:tr>
            <w:tr>
              <w:tblPrEx>
                <w:tblCellMar>
                  <w:top w:w="0" w:type="dxa"/>
                  <w:left w:w="0" w:type="dxa"/>
                  <w:bottom w:w="0" w:type="dxa"/>
                  <w:right w:w="0" w:type="dxa"/>
                </w:tblCellMar>
              </w:tblPrEx>
              <w:trPr>
                <w:trHeight w:val="33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b/>
                      <w:bCs/>
                      <w:color w:val="auto"/>
                      <w:kern w:val="0"/>
                      <w:szCs w:val="21"/>
                      <w:lang w:val="en-US" w:eastAsia="zh-CN" w:bidi="ar"/>
                    </w:rPr>
                  </w:pPr>
                  <w:r>
                    <w:rPr>
                      <w:rFonts w:hint="eastAsia"/>
                      <w:b/>
                      <w:bCs/>
                      <w:color w:val="auto"/>
                      <w:kern w:val="0"/>
                      <w:szCs w:val="21"/>
                      <w:lang w:val="en-US" w:eastAsia="zh-CN" w:bidi="ar"/>
                    </w:rPr>
                    <w:t>7</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b/>
                      <w:bCs/>
                      <w:color w:val="auto"/>
                      <w:kern w:val="0"/>
                      <w:szCs w:val="21"/>
                      <w:lang w:val="en-US" w:eastAsia="zh-CN" w:bidi="ar"/>
                    </w:rPr>
                  </w:pPr>
                  <w:r>
                    <w:rPr>
                      <w:b/>
                      <w:bCs/>
                      <w:color w:val="auto"/>
                      <w:kern w:val="0"/>
                      <w:szCs w:val="21"/>
                      <w:lang w:bidi="ar"/>
                    </w:rPr>
                    <w:t>SCX00</w:t>
                  </w:r>
                  <w:r>
                    <w:rPr>
                      <w:rFonts w:hint="eastAsia"/>
                      <w:b/>
                      <w:bCs/>
                      <w:color w:val="auto"/>
                      <w:kern w:val="0"/>
                      <w:szCs w:val="21"/>
                      <w:lang w:val="en-US" w:eastAsia="zh-CN" w:bidi="ar"/>
                    </w:rPr>
                    <w:t>7</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kern w:val="0"/>
                      <w:szCs w:val="21"/>
                      <w:lang w:bidi="ar"/>
                    </w:rPr>
                  </w:pPr>
                  <w:r>
                    <w:rPr>
                      <w:b/>
                      <w:bCs/>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kern w:val="0"/>
                      <w:szCs w:val="21"/>
                      <w:lang w:bidi="ar"/>
                    </w:rPr>
                  </w:pPr>
                  <w:r>
                    <w:rPr>
                      <w:b/>
                      <w:bCs/>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b/>
                      <w:bCs/>
                      <w:color w:val="auto"/>
                      <w:kern w:val="0"/>
                      <w:szCs w:val="21"/>
                      <w:lang w:eastAsia="zh-CN" w:bidi="ar"/>
                    </w:rPr>
                  </w:pPr>
                  <w:r>
                    <w:rPr>
                      <w:rFonts w:hint="eastAsia"/>
                      <w:b/>
                      <w:bCs/>
                      <w:color w:val="auto"/>
                      <w:kern w:val="0"/>
                      <w:szCs w:val="21"/>
                      <w:lang w:val="en-US" w:eastAsia="zh-CN" w:bidi="ar"/>
                    </w:rPr>
                    <w:t>0</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b/>
                      <w:bCs/>
                      <w:color w:val="auto"/>
                      <w:kern w:val="0"/>
                      <w:szCs w:val="21"/>
                      <w:lang w:val="en-US" w:eastAsia="zh-CN" w:bidi="ar"/>
                    </w:rPr>
                  </w:pPr>
                  <w:r>
                    <w:rPr>
                      <w:rFonts w:hint="eastAsia"/>
                      <w:b/>
                      <w:bCs/>
                      <w:color w:val="auto"/>
                      <w:kern w:val="0"/>
                      <w:szCs w:val="21"/>
                      <w:lang w:val="en-US" w:eastAsia="zh-CN" w:bidi="ar"/>
                    </w:rPr>
                    <w:t>2500</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kern w:val="0"/>
                      <w:szCs w:val="21"/>
                      <w:lang w:bidi="ar"/>
                    </w:rPr>
                  </w:pPr>
                  <w:r>
                    <w:rPr>
                      <w:rFonts w:hint="eastAsia"/>
                      <w:b/>
                      <w:bCs/>
                      <w:color w:val="auto"/>
                      <w:kern w:val="0"/>
                      <w:szCs w:val="21"/>
                      <w:lang w:bidi="ar"/>
                    </w:rPr>
                    <w:t>8400</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kern w:val="0"/>
                      <w:szCs w:val="21"/>
                      <w:lang w:bidi="ar"/>
                    </w:rPr>
                  </w:pPr>
                  <w:r>
                    <w:rPr>
                      <w:rFonts w:hint="eastAsia"/>
                      <w:b/>
                      <w:bCs/>
                      <w:color w:val="auto"/>
                      <w:kern w:val="0"/>
                      <w:szCs w:val="21"/>
                      <w:lang w:bidi="ar"/>
                    </w:rPr>
                    <w:t>智慧工厂</w:t>
                  </w:r>
                </w:p>
              </w:tc>
            </w:tr>
            <w:tr>
              <w:tblPrEx>
                <w:tblCellMar>
                  <w:top w:w="0" w:type="dxa"/>
                  <w:left w:w="0" w:type="dxa"/>
                  <w:bottom w:w="0" w:type="dxa"/>
                  <w:right w:w="0" w:type="dxa"/>
                </w:tblCellMar>
              </w:tblPrEx>
              <w:trPr>
                <w:trHeight w:val="357" w:hRule="atLeast"/>
              </w:trPr>
              <w:tc>
                <w:tcPr>
                  <w:tcW w:w="65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b/>
                      <w:bCs/>
                      <w:color w:val="auto"/>
                      <w:szCs w:val="21"/>
                      <w:lang w:eastAsia="zh-CN"/>
                    </w:rPr>
                  </w:pPr>
                  <w:r>
                    <w:rPr>
                      <w:rFonts w:hint="eastAsia"/>
                      <w:b/>
                      <w:bCs/>
                      <w:color w:val="auto"/>
                      <w:kern w:val="0"/>
                      <w:szCs w:val="21"/>
                      <w:lang w:val="en-US" w:eastAsia="zh-CN" w:bidi="ar"/>
                    </w:rPr>
                    <w:t>8</w:t>
                  </w:r>
                </w:p>
              </w:tc>
              <w:tc>
                <w:tcPr>
                  <w:tcW w:w="102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合计</w:t>
                  </w:r>
                </w:p>
              </w:tc>
              <w:tc>
                <w:tcPr>
                  <w:tcW w:w="166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太阳能光伏组件</w:t>
                  </w:r>
                </w:p>
              </w:tc>
              <w:tc>
                <w:tcPr>
                  <w:tcW w:w="90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MW/a</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Fonts w:hint="eastAsia"/>
                      <w:b/>
                      <w:bCs/>
                      <w:color w:val="auto"/>
                      <w:kern w:val="0"/>
                      <w:szCs w:val="21"/>
                      <w:lang w:val="en-US" w:eastAsia="zh-CN" w:bidi="ar"/>
                    </w:rPr>
                    <w:t>11212</w:t>
                  </w:r>
                </w:p>
              </w:tc>
              <w:tc>
                <w:tcPr>
                  <w:tcW w:w="99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b/>
                      <w:bCs/>
                      <w:color w:val="auto"/>
                      <w:szCs w:val="21"/>
                      <w:lang w:val="en-US" w:eastAsia="zh-CN"/>
                    </w:rPr>
                  </w:pPr>
                  <w:r>
                    <w:rPr>
                      <w:rFonts w:hint="eastAsia"/>
                      <w:b/>
                      <w:bCs/>
                      <w:color w:val="auto"/>
                      <w:kern w:val="0"/>
                      <w:szCs w:val="21"/>
                      <w:lang w:val="en-US" w:eastAsia="zh-CN" w:bidi="ar"/>
                    </w:rPr>
                    <w:t>13712</w:t>
                  </w:r>
                </w:p>
              </w:tc>
              <w:tc>
                <w:tcPr>
                  <w:tcW w:w="109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w:t>
                  </w:r>
                </w:p>
              </w:tc>
              <w:tc>
                <w:tcPr>
                  <w:tcW w:w="132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b/>
                      <w:bCs/>
                      <w:color w:val="auto"/>
                      <w:kern w:val="0"/>
                      <w:szCs w:val="21"/>
                      <w:lang w:bidi="ar"/>
                    </w:rPr>
                    <w:t>/</w:t>
                  </w:r>
                </w:p>
              </w:tc>
            </w:tr>
          </w:tbl>
          <w:p>
            <w:pPr>
              <w:widowControl/>
              <w:adjustRightInd w:val="0"/>
              <w:snapToGrid w:val="0"/>
              <w:spacing w:line="360" w:lineRule="auto"/>
              <w:ind w:firstLine="201" w:firstLineChars="200"/>
              <w:rPr>
                <w:rFonts w:hint="eastAsia"/>
                <w:b/>
                <w:bCs/>
                <w:color w:val="auto"/>
                <w:sz w:val="10"/>
                <w:szCs w:val="10"/>
              </w:rPr>
            </w:pPr>
          </w:p>
          <w:p>
            <w:pPr>
              <w:widowControl/>
              <w:adjustRightInd w:val="0"/>
              <w:snapToGrid w:val="0"/>
              <w:spacing w:line="360" w:lineRule="auto"/>
              <w:ind w:firstLine="482" w:firstLineChars="200"/>
              <w:rPr>
                <w:b/>
                <w:bCs/>
                <w:color w:val="auto"/>
                <w:sz w:val="24"/>
              </w:rPr>
            </w:pPr>
            <w:r>
              <w:rPr>
                <w:rFonts w:hint="eastAsia"/>
                <w:b/>
                <w:bCs/>
                <w:color w:val="auto"/>
                <w:sz w:val="24"/>
              </w:rPr>
              <w:t>（</w:t>
            </w:r>
            <w:r>
              <w:rPr>
                <w:rFonts w:hint="eastAsia"/>
                <w:b/>
                <w:bCs/>
                <w:color w:val="auto"/>
                <w:sz w:val="24"/>
                <w:lang w:eastAsia="zh-CN"/>
              </w:rPr>
              <w:t>四</w:t>
            </w:r>
            <w:r>
              <w:rPr>
                <w:rFonts w:hint="eastAsia"/>
                <w:b/>
                <w:bCs/>
                <w:color w:val="auto"/>
                <w:sz w:val="24"/>
              </w:rPr>
              <w:t>）主要原辅料及年用量</w:t>
            </w:r>
          </w:p>
          <w:p>
            <w:pPr>
              <w:widowControl/>
              <w:adjustRightInd w:val="0"/>
              <w:snapToGrid w:val="0"/>
              <w:spacing w:line="360" w:lineRule="auto"/>
              <w:ind w:firstLine="480" w:firstLineChars="200"/>
              <w:rPr>
                <w:rFonts w:hint="eastAsia"/>
                <w:color w:val="auto"/>
                <w:sz w:val="24"/>
              </w:rPr>
            </w:pPr>
            <w:r>
              <w:rPr>
                <w:rFonts w:hint="eastAsia"/>
                <w:color w:val="auto"/>
                <w:sz w:val="24"/>
              </w:rPr>
              <w:t>本项目扩建前后主要原辅料年用量见下表。</w:t>
            </w:r>
          </w:p>
          <w:p>
            <w:pPr>
              <w:widowControl/>
              <w:numPr>
                <w:ilvl w:val="0"/>
                <w:numId w:val="2"/>
              </w:numPr>
              <w:jc w:val="center"/>
              <w:rPr>
                <w:b/>
                <w:color w:val="auto"/>
                <w:kern w:val="0"/>
                <w:szCs w:val="21"/>
              </w:rPr>
            </w:pPr>
            <w:r>
              <w:rPr>
                <w:b/>
                <w:color w:val="auto"/>
                <w:kern w:val="0"/>
                <w:szCs w:val="21"/>
              </w:rPr>
              <w:t>项目</w:t>
            </w:r>
            <w:r>
              <w:rPr>
                <w:rFonts w:hint="eastAsia"/>
                <w:b/>
                <w:color w:val="auto"/>
                <w:kern w:val="0"/>
                <w:szCs w:val="21"/>
              </w:rPr>
              <w:t>扩建</w:t>
            </w:r>
            <w:r>
              <w:rPr>
                <w:b/>
                <w:color w:val="auto"/>
                <w:kern w:val="0"/>
                <w:szCs w:val="21"/>
              </w:rPr>
              <w:t>前后</w:t>
            </w:r>
            <w:r>
              <w:rPr>
                <w:rFonts w:hint="eastAsia"/>
                <w:b/>
                <w:color w:val="auto"/>
                <w:kern w:val="0"/>
                <w:szCs w:val="21"/>
              </w:rPr>
              <w:t>原辅料及年用量</w:t>
            </w:r>
            <w:r>
              <w:rPr>
                <w:b/>
                <w:color w:val="auto"/>
                <w:kern w:val="0"/>
                <w:szCs w:val="21"/>
              </w:rPr>
              <w:t>一览表</w:t>
            </w:r>
          </w:p>
          <w:tbl>
            <w:tblPr>
              <w:tblStyle w:val="20"/>
              <w:tblW w:w="0" w:type="auto"/>
              <w:tblInd w:w="0" w:type="dxa"/>
              <w:tblLayout w:type="autofit"/>
              <w:tblCellMar>
                <w:top w:w="0" w:type="dxa"/>
                <w:left w:w="0" w:type="dxa"/>
                <w:bottom w:w="0" w:type="dxa"/>
                <w:right w:w="0" w:type="dxa"/>
              </w:tblCellMar>
            </w:tblPr>
            <w:tblGrid>
              <w:gridCol w:w="411"/>
              <w:gridCol w:w="603"/>
              <w:gridCol w:w="936"/>
              <w:gridCol w:w="496"/>
              <w:gridCol w:w="859"/>
              <w:gridCol w:w="822"/>
              <w:gridCol w:w="819"/>
              <w:gridCol w:w="831"/>
              <w:gridCol w:w="1143"/>
              <w:gridCol w:w="810"/>
              <w:gridCol w:w="905"/>
            </w:tblGrid>
            <w:tr>
              <w:tblPrEx>
                <w:tblCellMar>
                  <w:top w:w="0" w:type="dxa"/>
                  <w:left w:w="0" w:type="dxa"/>
                  <w:bottom w:w="0" w:type="dxa"/>
                  <w:right w:w="0" w:type="dxa"/>
                </w:tblCellMar>
              </w:tblPrEx>
              <w:trPr>
                <w:trHeight w:val="826"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序号</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种类</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名称</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计量单位</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2"/>
                      <w:rFonts w:hint="default"/>
                      <w:b/>
                      <w:bCs/>
                      <w:color w:val="auto"/>
                      <w:lang w:bidi="ar"/>
                    </w:rPr>
                  </w:pPr>
                  <w:r>
                    <w:rPr>
                      <w:rStyle w:val="42"/>
                      <w:rFonts w:hint="default"/>
                      <w:b/>
                      <w:bCs/>
                      <w:color w:val="auto"/>
                      <w:lang w:bidi="ar"/>
                    </w:rPr>
                    <w:t>扩建前全厂使用量</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2"/>
                      <w:rFonts w:hint="default"/>
                      <w:b/>
                      <w:bCs/>
                      <w:color w:val="auto"/>
                      <w:lang w:bidi="ar"/>
                    </w:rPr>
                  </w:pPr>
                  <w:r>
                    <w:rPr>
                      <w:rStyle w:val="42"/>
                      <w:rFonts w:hint="default"/>
                      <w:b/>
                      <w:bCs/>
                      <w:color w:val="auto"/>
                      <w:lang w:bidi="ar"/>
                    </w:rPr>
                    <w:t>本项目</w:t>
                  </w:r>
                </w:p>
                <w:p>
                  <w:pPr>
                    <w:widowControl/>
                    <w:jc w:val="center"/>
                    <w:textAlignment w:val="center"/>
                    <w:rPr>
                      <w:b/>
                      <w:bCs/>
                      <w:color w:val="auto"/>
                      <w:szCs w:val="21"/>
                    </w:rPr>
                  </w:pPr>
                  <w:r>
                    <w:rPr>
                      <w:rStyle w:val="42"/>
                      <w:rFonts w:hint="default"/>
                      <w:b/>
                      <w:bCs/>
                      <w:color w:val="auto"/>
                      <w:lang w:bidi="ar"/>
                    </w:rPr>
                    <w:t>使用量</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扩建后全厂使用量</w:t>
                  </w:r>
                </w:p>
              </w:tc>
              <w:tc>
                <w:tcPr>
                  <w:tcW w:w="83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szCs w:val="21"/>
                    </w:rPr>
                  </w:pPr>
                  <w:r>
                    <w:rPr>
                      <w:rStyle w:val="42"/>
                      <w:rFonts w:hint="default"/>
                      <w:b/>
                      <w:bCs/>
                      <w:color w:val="auto"/>
                      <w:lang w:bidi="ar"/>
                    </w:rPr>
                    <w:t>扩建后</w:t>
                  </w:r>
                  <w:r>
                    <w:rPr>
                      <w:rStyle w:val="42"/>
                      <w:rFonts w:hint="eastAsia" w:eastAsia="宋体"/>
                      <w:b/>
                      <w:bCs/>
                      <w:color w:val="auto"/>
                      <w:lang w:eastAsia="zh-CN" w:bidi="ar"/>
                    </w:rPr>
                    <w:t>增加</w:t>
                  </w:r>
                  <w:r>
                    <w:rPr>
                      <w:rStyle w:val="42"/>
                      <w:rFonts w:hint="default"/>
                      <w:b/>
                      <w:bCs/>
                      <w:color w:val="auto"/>
                      <w:lang w:bidi="ar"/>
                    </w:rPr>
                    <w:t>量</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sz w:val="22"/>
                      <w:szCs w:val="22"/>
                    </w:rPr>
                  </w:pPr>
                  <w:r>
                    <w:rPr>
                      <w:rFonts w:hint="eastAsia"/>
                      <w:b/>
                      <w:bCs/>
                      <w:color w:val="auto"/>
                      <w:sz w:val="22"/>
                      <w:szCs w:val="22"/>
                    </w:rPr>
                    <w:t>包装方式</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sz w:val="22"/>
                      <w:szCs w:val="22"/>
                    </w:rPr>
                  </w:pPr>
                  <w:r>
                    <w:rPr>
                      <w:rFonts w:hint="eastAsia"/>
                      <w:b/>
                      <w:bCs/>
                      <w:color w:val="auto"/>
                      <w:sz w:val="22"/>
                      <w:szCs w:val="22"/>
                    </w:rPr>
                    <w:t>最大储</w:t>
                  </w:r>
                </w:p>
                <w:p>
                  <w:pPr>
                    <w:widowControl/>
                    <w:jc w:val="center"/>
                    <w:textAlignment w:val="center"/>
                    <w:rPr>
                      <w:rFonts w:hint="eastAsia"/>
                      <w:b/>
                      <w:bCs/>
                      <w:color w:val="auto"/>
                      <w:sz w:val="22"/>
                      <w:szCs w:val="22"/>
                    </w:rPr>
                  </w:pPr>
                  <w:r>
                    <w:rPr>
                      <w:rFonts w:hint="eastAsia"/>
                      <w:b/>
                      <w:bCs/>
                      <w:color w:val="auto"/>
                      <w:sz w:val="22"/>
                      <w:szCs w:val="22"/>
                    </w:rPr>
                    <w:t>存量</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sz w:val="22"/>
                      <w:szCs w:val="22"/>
                    </w:rPr>
                  </w:pPr>
                  <w:r>
                    <w:rPr>
                      <w:rFonts w:hint="eastAsia"/>
                      <w:b/>
                      <w:bCs/>
                      <w:color w:val="auto"/>
                      <w:sz w:val="22"/>
                      <w:szCs w:val="22"/>
                    </w:rPr>
                    <w:t>储存</w:t>
                  </w:r>
                </w:p>
                <w:p>
                  <w:pPr>
                    <w:widowControl/>
                    <w:jc w:val="center"/>
                    <w:textAlignment w:val="center"/>
                    <w:rPr>
                      <w:rFonts w:hint="eastAsia"/>
                      <w:b/>
                      <w:bCs/>
                      <w:color w:val="auto"/>
                      <w:sz w:val="22"/>
                      <w:szCs w:val="22"/>
                    </w:rPr>
                  </w:pPr>
                  <w:r>
                    <w:rPr>
                      <w:rFonts w:hint="eastAsia"/>
                      <w:b/>
                      <w:bCs/>
                      <w:color w:val="auto"/>
                      <w:sz w:val="22"/>
                      <w:szCs w:val="22"/>
                    </w:rPr>
                    <w:t>位置</w:t>
                  </w:r>
                </w:p>
              </w:tc>
            </w:tr>
            <w:tr>
              <w:tblPrEx>
                <w:tblCellMar>
                  <w:top w:w="0" w:type="dxa"/>
                  <w:left w:w="0" w:type="dxa"/>
                  <w:bottom w:w="0" w:type="dxa"/>
                  <w:right w:w="0" w:type="dxa"/>
                </w:tblCellMar>
              </w:tblPrEx>
              <w:trPr>
                <w:trHeight w:val="305"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原料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电池片</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万片</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181516</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40000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221516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40000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纸箱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1000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05"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2</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原料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光伏玻璃</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万片</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2816</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920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3736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920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托盘</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25</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3</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原料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接线盒</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万片</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3276</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1380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4656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1380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塑料箱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40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4</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EVA</w:t>
                  </w:r>
                  <w:r>
                    <w:rPr>
                      <w:rStyle w:val="42"/>
                      <w:rFonts w:hint="default"/>
                      <w:color w:val="auto"/>
                      <w:lang w:bidi="ar"/>
                    </w:rPr>
                    <w:t>膜</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7023</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2070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9093</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2070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纸箱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60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5</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涂锡铜带</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5950</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1290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7240</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1290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纸箱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40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6</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密封胶</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kern w:val="0"/>
                      <w:szCs w:val="21"/>
                      <w:lang w:bidi="ar"/>
                    </w:rPr>
                  </w:pPr>
                  <w:r>
                    <w:rPr>
                      <w:rFonts w:eastAsia="等线"/>
                      <w:color w:val="auto"/>
                      <w:kern w:val="0"/>
                      <w:szCs w:val="21"/>
                      <w:lang w:bidi="ar"/>
                    </w:rPr>
                    <w:t>9245</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1800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11045</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1800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50L桶装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50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7</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助焊剂</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81.8</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lang w:val="en-US" w:eastAsia="zh-CN"/>
                    </w:rPr>
                    <w:t>2</w:t>
                  </w:r>
                  <w:r>
                    <w:rPr>
                      <w:rFonts w:hint="eastAsia"/>
                      <w:color w:val="auto"/>
                      <w:szCs w:val="21"/>
                    </w:rPr>
                    <w:t>2.8</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104.6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eastAsia="等线"/>
                      <w:color w:val="auto"/>
                      <w:kern w:val="0"/>
                      <w:sz w:val="22"/>
                      <w:szCs w:val="22"/>
                      <w:lang w:val="en-US" w:eastAsia="zh-CN" w:bidi="ar"/>
                    </w:rPr>
                    <w:t>2</w:t>
                  </w:r>
                  <w:r>
                    <w:rPr>
                      <w:rFonts w:eastAsia="等线"/>
                      <w:color w:val="auto"/>
                      <w:kern w:val="0"/>
                      <w:sz w:val="22"/>
                      <w:szCs w:val="22"/>
                      <w:lang w:bidi="ar"/>
                    </w:rPr>
                    <w:t>2.8</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20L桶装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10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甲类仓库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8</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2"/>
                      <w:rFonts w:hint="default"/>
                      <w:color w:val="auto"/>
                      <w:lang w:bidi="ar"/>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2"/>
                      <w:rFonts w:hint="default"/>
                      <w:color w:val="auto"/>
                      <w:lang w:bidi="ar"/>
                    </w:rPr>
                  </w:pPr>
                  <w:r>
                    <w:rPr>
                      <w:rStyle w:val="42"/>
                      <w:rFonts w:hint="eastAsia" w:eastAsia="宋体"/>
                      <w:color w:val="auto"/>
                      <w:lang w:eastAsia="zh-CN" w:bidi="ar"/>
                    </w:rPr>
                    <w:t>无铅</w:t>
                  </w:r>
                  <w:r>
                    <w:rPr>
                      <w:rStyle w:val="42"/>
                      <w:rFonts w:hint="default"/>
                      <w:color w:val="auto"/>
                      <w:lang w:bidi="ar"/>
                    </w:rPr>
                    <w:t>焊丝</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2"/>
                      <w:rFonts w:hint="default"/>
                      <w:color w:val="auto"/>
                      <w:lang w:bidi="ar"/>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 w:val="22"/>
                      <w:szCs w:val="22"/>
                      <w:lang w:bidi="ar"/>
                    </w:rPr>
                  </w:pPr>
                  <w:r>
                    <w:rPr>
                      <w:rFonts w:eastAsia="等线"/>
                      <w:color w:val="auto"/>
                      <w:kern w:val="0"/>
                      <w:szCs w:val="21"/>
                      <w:lang w:bidi="ar"/>
                    </w:rPr>
                    <w:t>10</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2.5</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12.5</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2.5</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纸箱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1</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95%</w:t>
                  </w:r>
                  <w:r>
                    <w:rPr>
                      <w:rStyle w:val="42"/>
                      <w:rFonts w:hint="default"/>
                      <w:color w:val="auto"/>
                      <w:lang w:bidi="ar"/>
                    </w:rPr>
                    <w:t>酒精</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12</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szCs w:val="21"/>
                    </w:rPr>
                  </w:pPr>
                  <w:r>
                    <w:rPr>
                      <w:rFonts w:hint="eastAsia"/>
                      <w:color w:val="auto"/>
                      <w:szCs w:val="21"/>
                    </w:rPr>
                    <w:t>4</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4</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20kg桶装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2</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甲类仓库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10</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二甲苯</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kern w:val="0"/>
                      <w:szCs w:val="21"/>
                      <w:lang w:bidi="ar"/>
                    </w:rPr>
                  </w:pPr>
                  <w:r>
                    <w:rPr>
                      <w:rFonts w:eastAsia="等线"/>
                      <w:color w:val="auto"/>
                      <w:kern w:val="0"/>
                      <w:szCs w:val="21"/>
                      <w:lang w:bidi="ar"/>
                    </w:rPr>
                    <w:t>5.85</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0.35</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6.2</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0.35</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500ml瓶装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1</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甲类仓库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11</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原料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铝框</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万套</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9582</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1480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11062</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1480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托盘</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50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原料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背板</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万套</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104</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32</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136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32</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color w:val="auto"/>
                      <w:sz w:val="22"/>
                      <w:szCs w:val="22"/>
                    </w:rPr>
                  </w:pPr>
                  <w:r>
                    <w:rPr>
                      <w:rFonts w:hint="eastAsia"/>
                      <w:color w:val="auto"/>
                      <w:sz w:val="22"/>
                      <w:szCs w:val="22"/>
                    </w:rPr>
                    <w:t>木箱</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5</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13</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润滑油</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eastAsia="等线"/>
                      <w:color w:val="auto"/>
                      <w:kern w:val="0"/>
                      <w:szCs w:val="21"/>
                      <w:lang w:bidi="ar"/>
                    </w:rPr>
                    <w:t>188</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35</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223</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35</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200L桶装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5</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14</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活性炭</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kern w:val="0"/>
                      <w:szCs w:val="21"/>
                      <w:lang w:bidi="ar"/>
                    </w:rPr>
                  </w:pPr>
                  <w:r>
                    <w:rPr>
                      <w:rFonts w:hint="eastAsia" w:eastAsia="等线"/>
                      <w:color w:val="auto"/>
                      <w:kern w:val="0"/>
                      <w:szCs w:val="21"/>
                      <w:lang w:val="en-US" w:eastAsia="zh-CN" w:bidi="ar"/>
                    </w:rPr>
                    <w:t>285</w:t>
                  </w:r>
                </w:p>
              </w:tc>
              <w:tc>
                <w:tcPr>
                  <w:tcW w:w="82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117</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ascii="Times New Roman" w:hAnsi="Times New Roman" w:eastAsia="等线" w:cs="Times New Roman"/>
                      <w:color w:val="auto"/>
                      <w:kern w:val="0"/>
                      <w:szCs w:val="21"/>
                      <w:lang w:val="en-US" w:eastAsia="zh-CN" w:bidi="ar"/>
                    </w:rPr>
                  </w:pPr>
                  <w:r>
                    <w:rPr>
                      <w:rFonts w:hint="eastAsia" w:ascii="Times New Roman" w:hAnsi="Times New Roman" w:eastAsia="等线" w:cs="Times New Roman"/>
                      <w:color w:val="auto"/>
                      <w:kern w:val="0"/>
                      <w:szCs w:val="21"/>
                      <w:lang w:val="en-US" w:eastAsia="zh-CN" w:bidi="ar"/>
                    </w:rPr>
                    <w:t>402</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default" w:eastAsia="宋体"/>
                      <w:color w:val="auto"/>
                      <w:sz w:val="22"/>
                      <w:szCs w:val="22"/>
                      <w:lang w:val="en-US" w:eastAsia="zh-CN"/>
                    </w:rPr>
                  </w:pPr>
                  <w:r>
                    <w:rPr>
                      <w:rFonts w:hint="eastAsia" w:eastAsia="等线"/>
                      <w:color w:val="auto"/>
                      <w:kern w:val="0"/>
                      <w:sz w:val="22"/>
                      <w:szCs w:val="22"/>
                      <w:lang w:val="en-US" w:eastAsia="zh-CN" w:bidi="ar"/>
                    </w:rPr>
                    <w:t>117</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袋装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30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2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15</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UV</w:t>
                  </w:r>
                  <w:r>
                    <w:rPr>
                      <w:rStyle w:val="42"/>
                      <w:rFonts w:hint="default"/>
                      <w:color w:val="auto"/>
                      <w:lang w:bidi="ar"/>
                    </w:rPr>
                    <w:t>灯管</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根</w:t>
                  </w:r>
                </w:p>
              </w:tc>
              <w:tc>
                <w:tcPr>
                  <w:tcW w:w="8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kern w:val="0"/>
                      <w:sz w:val="22"/>
                      <w:szCs w:val="22"/>
                      <w:lang w:bidi="ar"/>
                    </w:rPr>
                  </w:pPr>
                  <w:r>
                    <w:rPr>
                      <w:rFonts w:eastAsia="等线"/>
                      <w:color w:val="auto"/>
                      <w:kern w:val="0"/>
                      <w:szCs w:val="21"/>
                      <w:lang w:bidi="ar"/>
                    </w:rPr>
                    <w:t>1145</w:t>
                  </w:r>
                </w:p>
              </w:tc>
              <w:tc>
                <w:tcPr>
                  <w:tcW w:w="82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sz w:val="22"/>
                      <w:szCs w:val="22"/>
                    </w:rPr>
                  </w:pPr>
                  <w:r>
                    <w:rPr>
                      <w:rFonts w:hint="eastAsia"/>
                      <w:color w:val="auto"/>
                      <w:sz w:val="22"/>
                      <w:szCs w:val="22"/>
                    </w:rPr>
                    <w:t>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1145</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袋装</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r>
              <w:tblPrEx>
                <w:tblCellMar>
                  <w:top w:w="0" w:type="dxa"/>
                  <w:left w:w="0" w:type="dxa"/>
                  <w:bottom w:w="0" w:type="dxa"/>
                  <w:right w:w="0" w:type="dxa"/>
                </w:tblCellMar>
              </w:tblPrEx>
              <w:trPr>
                <w:trHeight w:val="330" w:hRule="atLeast"/>
              </w:trPr>
              <w:tc>
                <w:tcPr>
                  <w:tcW w:w="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szCs w:val="21"/>
                    </w:rPr>
                  </w:pPr>
                  <w:r>
                    <w:rPr>
                      <w:color w:val="auto"/>
                      <w:kern w:val="0"/>
                      <w:szCs w:val="21"/>
                      <w:lang w:bidi="ar"/>
                    </w:rPr>
                    <w:t>1</w:t>
                  </w:r>
                  <w:r>
                    <w:rPr>
                      <w:rFonts w:hint="eastAsia"/>
                      <w:color w:val="auto"/>
                      <w:kern w:val="0"/>
                      <w:szCs w:val="21"/>
                      <w:lang w:bidi="ar"/>
                    </w:rPr>
                    <w:t>6</w:t>
                  </w:r>
                </w:p>
              </w:tc>
              <w:tc>
                <w:tcPr>
                  <w:tcW w:w="60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辅料</w:t>
                  </w:r>
                </w:p>
              </w:tc>
              <w:tc>
                <w:tcPr>
                  <w:tcW w:w="93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包装材料</w:t>
                  </w:r>
                </w:p>
              </w:tc>
              <w:tc>
                <w:tcPr>
                  <w:tcW w:w="49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2"/>
                      <w:rFonts w:hint="default"/>
                      <w:color w:val="auto"/>
                      <w:lang w:bidi="ar"/>
                    </w:rPr>
                    <w:t>吨</w:t>
                  </w:r>
                </w:p>
              </w:tc>
              <w:tc>
                <w:tcPr>
                  <w:tcW w:w="85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kern w:val="0"/>
                      <w:sz w:val="22"/>
                      <w:szCs w:val="22"/>
                      <w:lang w:bidi="ar"/>
                    </w:rPr>
                  </w:pPr>
                  <w:r>
                    <w:rPr>
                      <w:rFonts w:eastAsia="等线"/>
                      <w:color w:val="auto"/>
                      <w:kern w:val="0"/>
                      <w:szCs w:val="21"/>
                      <w:lang w:bidi="ar"/>
                    </w:rPr>
                    <w:t>141876</w:t>
                  </w:r>
                </w:p>
              </w:tc>
              <w:tc>
                <w:tcPr>
                  <w:tcW w:w="822"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color w:val="auto"/>
                      <w:sz w:val="22"/>
                      <w:szCs w:val="22"/>
                    </w:rPr>
                    <w:t>360</w:t>
                  </w:r>
                </w:p>
              </w:tc>
              <w:tc>
                <w:tcPr>
                  <w:tcW w:w="81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Times New Roman" w:hAnsi="Times New Roman" w:eastAsia="等线" w:cs="Times New Roman"/>
                      <w:color w:val="auto"/>
                      <w:kern w:val="0"/>
                      <w:szCs w:val="21"/>
                      <w:lang w:bidi="ar"/>
                    </w:rPr>
                  </w:pPr>
                  <w:r>
                    <w:rPr>
                      <w:rFonts w:hint="eastAsia" w:ascii="Times New Roman" w:hAnsi="Times New Roman" w:eastAsia="等线" w:cs="Times New Roman"/>
                      <w:color w:val="auto"/>
                      <w:kern w:val="0"/>
                      <w:szCs w:val="21"/>
                      <w:lang w:val="en-US" w:eastAsia="zh-CN" w:bidi="ar"/>
                    </w:rPr>
                    <w:t>142236</w:t>
                  </w:r>
                </w:p>
              </w:tc>
              <w:tc>
                <w:tcPr>
                  <w:tcW w:w="83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eastAsia="等线"/>
                      <w:color w:val="auto"/>
                      <w:kern w:val="0"/>
                      <w:sz w:val="22"/>
                      <w:szCs w:val="22"/>
                      <w:lang w:bidi="ar"/>
                    </w:rPr>
                    <w:t>360</w:t>
                  </w:r>
                </w:p>
              </w:tc>
              <w:tc>
                <w:tcPr>
                  <w:tcW w:w="114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托盘</w:t>
                  </w:r>
                </w:p>
              </w:tc>
              <w:tc>
                <w:tcPr>
                  <w:tcW w:w="81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bottom"/>
                </w:tcPr>
                <w:p>
                  <w:pPr>
                    <w:widowControl/>
                    <w:jc w:val="center"/>
                    <w:textAlignment w:val="center"/>
                    <w:rPr>
                      <w:rFonts w:eastAsia="等线"/>
                      <w:color w:val="auto"/>
                      <w:kern w:val="0"/>
                      <w:sz w:val="22"/>
                      <w:szCs w:val="22"/>
                      <w:lang w:bidi="ar"/>
                    </w:rPr>
                  </w:pPr>
                  <w:r>
                    <w:rPr>
                      <w:rFonts w:hint="eastAsia" w:eastAsia="等线"/>
                      <w:color w:val="auto"/>
                      <w:kern w:val="0"/>
                      <w:sz w:val="22"/>
                      <w:szCs w:val="22"/>
                      <w:lang w:bidi="ar"/>
                    </w:rPr>
                    <w:t>10</w:t>
                  </w:r>
                </w:p>
              </w:tc>
              <w:tc>
                <w:tcPr>
                  <w:tcW w:w="90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rFonts w:hint="eastAsia"/>
                      <w:color w:val="auto"/>
                      <w:sz w:val="22"/>
                      <w:szCs w:val="22"/>
                    </w:rPr>
                    <w:t>原料仓库</w:t>
                  </w:r>
                </w:p>
              </w:tc>
            </w:tr>
          </w:tbl>
          <w:p>
            <w:pPr>
              <w:pStyle w:val="50"/>
              <w:ind w:firstLine="420"/>
              <w:jc w:val="both"/>
              <w:rPr>
                <w:rFonts w:hint="eastAsia"/>
                <w:color w:val="auto"/>
              </w:rPr>
            </w:pPr>
            <w:r>
              <w:rPr>
                <w:rFonts w:hint="eastAsia"/>
                <w:color w:val="auto"/>
              </w:rPr>
              <w:t>主要原辅料成分理化性质如下：</w:t>
            </w:r>
          </w:p>
          <w:p>
            <w:pPr>
              <w:spacing w:line="360" w:lineRule="auto"/>
              <w:ind w:firstLine="480" w:firstLineChars="200"/>
              <w:rPr>
                <w:color w:val="auto"/>
                <w:sz w:val="24"/>
              </w:rPr>
            </w:pPr>
            <w:r>
              <w:rPr>
                <w:color w:val="auto"/>
                <w:sz w:val="24"/>
              </w:rPr>
              <w:t>（1）涂锡铜带</w:t>
            </w:r>
          </w:p>
          <w:p>
            <w:pPr>
              <w:spacing w:line="360" w:lineRule="auto"/>
              <w:ind w:firstLine="480" w:firstLineChars="200"/>
              <w:rPr>
                <w:bCs/>
                <w:color w:val="auto"/>
                <w:sz w:val="24"/>
              </w:rPr>
            </w:pPr>
            <w:r>
              <w:rPr>
                <w:color w:val="auto"/>
                <w:sz w:val="24"/>
              </w:rPr>
              <w:t>主要用于连接晶体</w:t>
            </w:r>
            <w:r>
              <w:rPr>
                <w:bCs/>
                <w:color w:val="auto"/>
                <w:sz w:val="24"/>
              </w:rPr>
              <w:t>硅光伏组件中的电池片，起到收集和传导电流的作用。带状固体，银白色金属，无气味</w:t>
            </w:r>
            <w:r>
              <w:rPr>
                <w:rFonts w:hint="eastAsia"/>
                <w:bCs/>
                <w:color w:val="auto"/>
                <w:sz w:val="24"/>
              </w:rPr>
              <w:t>，</w:t>
            </w:r>
            <w:r>
              <w:rPr>
                <w:bCs/>
                <w:color w:val="auto"/>
                <w:sz w:val="24"/>
              </w:rPr>
              <w:t>成分/组分见下表：</w:t>
            </w:r>
          </w:p>
          <w:p>
            <w:pPr>
              <w:widowControl/>
              <w:numPr>
                <w:ilvl w:val="0"/>
                <w:numId w:val="2"/>
              </w:numPr>
              <w:jc w:val="center"/>
              <w:rPr>
                <w:b/>
                <w:color w:val="auto"/>
                <w:kern w:val="0"/>
                <w:szCs w:val="21"/>
              </w:rPr>
            </w:pPr>
            <w:r>
              <w:rPr>
                <w:b/>
                <w:color w:val="auto"/>
                <w:kern w:val="0"/>
                <w:szCs w:val="21"/>
              </w:rPr>
              <w:t>涂锡铜带成分/组成表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9"/>
              <w:gridCol w:w="2456"/>
              <w:gridCol w:w="2647"/>
              <w:gridCol w:w="2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879" w:type="dxa"/>
                  <w:noWrap w:val="0"/>
                  <w:vAlign w:val="center"/>
                </w:tcPr>
                <w:p>
                  <w:pPr>
                    <w:jc w:val="center"/>
                    <w:rPr>
                      <w:color w:val="auto"/>
                      <w:szCs w:val="21"/>
                    </w:rPr>
                  </w:pPr>
                  <w:r>
                    <w:rPr>
                      <w:color w:val="auto"/>
                      <w:szCs w:val="21"/>
                    </w:rPr>
                    <w:t>序号</w:t>
                  </w:r>
                </w:p>
              </w:tc>
              <w:tc>
                <w:tcPr>
                  <w:tcW w:w="2456" w:type="dxa"/>
                  <w:noWrap w:val="0"/>
                  <w:vAlign w:val="center"/>
                </w:tcPr>
                <w:p>
                  <w:pPr>
                    <w:jc w:val="center"/>
                    <w:rPr>
                      <w:color w:val="auto"/>
                      <w:szCs w:val="21"/>
                    </w:rPr>
                  </w:pPr>
                  <w:r>
                    <w:rPr>
                      <w:color w:val="auto"/>
                      <w:szCs w:val="21"/>
                    </w:rPr>
                    <w:t>名称</w:t>
                  </w:r>
                </w:p>
              </w:tc>
              <w:tc>
                <w:tcPr>
                  <w:tcW w:w="2647" w:type="dxa"/>
                  <w:noWrap w:val="0"/>
                  <w:vAlign w:val="center"/>
                </w:tcPr>
                <w:p>
                  <w:pPr>
                    <w:jc w:val="center"/>
                    <w:rPr>
                      <w:color w:val="auto"/>
                      <w:szCs w:val="21"/>
                    </w:rPr>
                  </w:pPr>
                  <w:r>
                    <w:rPr>
                      <w:color w:val="auto"/>
                      <w:szCs w:val="21"/>
                    </w:rPr>
                    <w:t>CAS</w:t>
                  </w:r>
                </w:p>
              </w:tc>
              <w:tc>
                <w:tcPr>
                  <w:tcW w:w="2649" w:type="dxa"/>
                  <w:noWrap w:val="0"/>
                  <w:vAlign w:val="center"/>
                </w:tcPr>
                <w:p>
                  <w:pPr>
                    <w:jc w:val="center"/>
                    <w:rPr>
                      <w:color w:val="auto"/>
                      <w:szCs w:val="21"/>
                    </w:rPr>
                  </w:pPr>
                  <w:r>
                    <w:rPr>
                      <w:color w:val="auto"/>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79" w:type="dxa"/>
                  <w:noWrap w:val="0"/>
                  <w:vAlign w:val="center"/>
                </w:tcPr>
                <w:p>
                  <w:pPr>
                    <w:widowControl/>
                    <w:jc w:val="center"/>
                    <w:rPr>
                      <w:color w:val="auto"/>
                      <w:szCs w:val="21"/>
                    </w:rPr>
                  </w:pPr>
                  <w:r>
                    <w:rPr>
                      <w:color w:val="auto"/>
                      <w:szCs w:val="21"/>
                    </w:rPr>
                    <w:t>1</w:t>
                  </w:r>
                </w:p>
              </w:tc>
              <w:tc>
                <w:tcPr>
                  <w:tcW w:w="2456" w:type="dxa"/>
                  <w:noWrap w:val="0"/>
                  <w:vAlign w:val="center"/>
                </w:tcPr>
                <w:p>
                  <w:pPr>
                    <w:jc w:val="center"/>
                    <w:rPr>
                      <w:color w:val="auto"/>
                      <w:szCs w:val="21"/>
                    </w:rPr>
                  </w:pPr>
                  <w:r>
                    <w:rPr>
                      <w:color w:val="auto"/>
                      <w:szCs w:val="21"/>
                    </w:rPr>
                    <w:t>铜</w:t>
                  </w:r>
                </w:p>
              </w:tc>
              <w:tc>
                <w:tcPr>
                  <w:tcW w:w="2647" w:type="dxa"/>
                  <w:noWrap w:val="0"/>
                  <w:vAlign w:val="center"/>
                </w:tcPr>
                <w:p>
                  <w:pPr>
                    <w:jc w:val="center"/>
                    <w:rPr>
                      <w:color w:val="auto"/>
                      <w:szCs w:val="21"/>
                    </w:rPr>
                  </w:pPr>
                  <w:r>
                    <w:rPr>
                      <w:color w:val="auto"/>
                      <w:szCs w:val="21"/>
                    </w:rPr>
                    <w:t>7440-50-8</w:t>
                  </w:r>
                </w:p>
              </w:tc>
              <w:tc>
                <w:tcPr>
                  <w:tcW w:w="2649" w:type="dxa"/>
                  <w:noWrap w:val="0"/>
                  <w:vAlign w:val="center"/>
                </w:tcPr>
                <w:p>
                  <w:pPr>
                    <w:jc w:val="center"/>
                    <w:rPr>
                      <w:color w:val="auto"/>
                      <w:szCs w:val="21"/>
                    </w:rPr>
                  </w:pPr>
                  <w:r>
                    <w:rPr>
                      <w:color w:val="auto"/>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879" w:type="dxa"/>
                  <w:noWrap w:val="0"/>
                  <w:vAlign w:val="center"/>
                </w:tcPr>
                <w:p>
                  <w:pPr>
                    <w:widowControl/>
                    <w:jc w:val="center"/>
                    <w:rPr>
                      <w:color w:val="auto"/>
                      <w:szCs w:val="21"/>
                    </w:rPr>
                  </w:pPr>
                  <w:r>
                    <w:rPr>
                      <w:color w:val="auto"/>
                      <w:szCs w:val="21"/>
                    </w:rPr>
                    <w:t>2</w:t>
                  </w:r>
                </w:p>
              </w:tc>
              <w:tc>
                <w:tcPr>
                  <w:tcW w:w="2456" w:type="dxa"/>
                  <w:noWrap w:val="0"/>
                  <w:vAlign w:val="center"/>
                </w:tcPr>
                <w:p>
                  <w:pPr>
                    <w:jc w:val="center"/>
                    <w:rPr>
                      <w:color w:val="auto"/>
                      <w:szCs w:val="21"/>
                    </w:rPr>
                  </w:pPr>
                  <w:r>
                    <w:rPr>
                      <w:color w:val="auto"/>
                      <w:szCs w:val="21"/>
                    </w:rPr>
                    <w:t>锡</w:t>
                  </w:r>
                </w:p>
              </w:tc>
              <w:tc>
                <w:tcPr>
                  <w:tcW w:w="2647" w:type="dxa"/>
                  <w:noWrap w:val="0"/>
                  <w:vAlign w:val="center"/>
                </w:tcPr>
                <w:p>
                  <w:pPr>
                    <w:jc w:val="center"/>
                    <w:rPr>
                      <w:color w:val="auto"/>
                      <w:szCs w:val="21"/>
                    </w:rPr>
                  </w:pPr>
                  <w:r>
                    <w:rPr>
                      <w:color w:val="auto"/>
                      <w:szCs w:val="21"/>
                    </w:rPr>
                    <w:t xml:space="preserve">7440-31-5 </w:t>
                  </w:r>
                </w:p>
              </w:tc>
              <w:tc>
                <w:tcPr>
                  <w:tcW w:w="2649" w:type="dxa"/>
                  <w:noWrap w:val="0"/>
                  <w:vAlign w:val="center"/>
                </w:tcPr>
                <w:p>
                  <w:pPr>
                    <w:jc w:val="center"/>
                    <w:rPr>
                      <w:color w:val="auto"/>
                      <w:szCs w:val="21"/>
                    </w:rPr>
                  </w:pPr>
                  <w:r>
                    <w:rPr>
                      <w:color w:val="auto"/>
                      <w:szCs w:val="21"/>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5" w:hRule="atLeast"/>
                <w:jc w:val="center"/>
              </w:trPr>
              <w:tc>
                <w:tcPr>
                  <w:tcW w:w="879" w:type="dxa"/>
                  <w:noWrap w:val="0"/>
                  <w:vAlign w:val="center"/>
                </w:tcPr>
                <w:p>
                  <w:pPr>
                    <w:widowControl/>
                    <w:jc w:val="center"/>
                    <w:rPr>
                      <w:color w:val="auto"/>
                      <w:szCs w:val="21"/>
                    </w:rPr>
                  </w:pPr>
                  <w:r>
                    <w:rPr>
                      <w:color w:val="auto"/>
                      <w:szCs w:val="21"/>
                    </w:rPr>
                    <w:t>3</w:t>
                  </w:r>
                </w:p>
              </w:tc>
              <w:tc>
                <w:tcPr>
                  <w:tcW w:w="2456" w:type="dxa"/>
                  <w:noWrap w:val="0"/>
                  <w:vAlign w:val="center"/>
                </w:tcPr>
                <w:p>
                  <w:pPr>
                    <w:jc w:val="center"/>
                    <w:rPr>
                      <w:color w:val="auto"/>
                      <w:szCs w:val="21"/>
                    </w:rPr>
                  </w:pPr>
                  <w:r>
                    <w:rPr>
                      <w:color w:val="auto"/>
                      <w:szCs w:val="21"/>
                    </w:rPr>
                    <w:t>银</w:t>
                  </w:r>
                </w:p>
              </w:tc>
              <w:tc>
                <w:tcPr>
                  <w:tcW w:w="2647" w:type="dxa"/>
                  <w:noWrap w:val="0"/>
                  <w:vAlign w:val="center"/>
                </w:tcPr>
                <w:p>
                  <w:pPr>
                    <w:jc w:val="center"/>
                    <w:rPr>
                      <w:color w:val="auto"/>
                      <w:szCs w:val="21"/>
                    </w:rPr>
                  </w:pPr>
                  <w:r>
                    <w:rPr>
                      <w:color w:val="auto"/>
                      <w:szCs w:val="21"/>
                    </w:rPr>
                    <w:t>7440-22-4</w:t>
                  </w:r>
                </w:p>
              </w:tc>
              <w:tc>
                <w:tcPr>
                  <w:tcW w:w="2649" w:type="dxa"/>
                  <w:noWrap w:val="0"/>
                  <w:vAlign w:val="center"/>
                </w:tcPr>
                <w:p>
                  <w:pPr>
                    <w:jc w:val="center"/>
                    <w:rPr>
                      <w:color w:val="auto"/>
                      <w:szCs w:val="21"/>
                    </w:rPr>
                  </w:pPr>
                  <w:r>
                    <w:rPr>
                      <w:color w:val="auto"/>
                      <w:szCs w:val="21"/>
                    </w:rPr>
                    <w:t>1</w:t>
                  </w:r>
                </w:p>
              </w:tc>
            </w:tr>
          </w:tbl>
          <w:p>
            <w:pPr>
              <w:spacing w:line="360" w:lineRule="auto"/>
              <w:ind w:firstLine="480" w:firstLineChars="200"/>
              <w:rPr>
                <w:bCs/>
                <w:color w:val="auto"/>
                <w:sz w:val="24"/>
              </w:rPr>
            </w:pPr>
            <w:r>
              <w:rPr>
                <w:bCs/>
                <w:color w:val="auto"/>
                <w:sz w:val="24"/>
              </w:rPr>
              <w:t>（2）密封胶</w:t>
            </w:r>
          </w:p>
          <w:p>
            <w:pPr>
              <w:spacing w:line="360" w:lineRule="auto"/>
              <w:ind w:firstLine="480" w:firstLineChars="200"/>
              <w:rPr>
                <w:bCs/>
                <w:color w:val="auto"/>
                <w:szCs w:val="21"/>
              </w:rPr>
            </w:pPr>
            <w:r>
              <w:rPr>
                <w:bCs/>
                <w:color w:val="auto"/>
                <w:sz w:val="24"/>
              </w:rPr>
              <w:t>主要用于太阳能组件边框密封、背板对接线盒的粘结、工业组装等密封。白色膏状</w:t>
            </w:r>
            <w:r>
              <w:rPr>
                <w:rFonts w:hint="eastAsia"/>
                <w:bCs/>
                <w:color w:val="auto"/>
                <w:sz w:val="24"/>
              </w:rPr>
              <w:t>液体</w:t>
            </w:r>
            <w:r>
              <w:rPr>
                <w:bCs/>
                <w:color w:val="auto"/>
                <w:sz w:val="24"/>
              </w:rPr>
              <w:t>，</w:t>
            </w:r>
            <w:r>
              <w:rPr>
                <w:rFonts w:hint="eastAsia"/>
                <w:bCs/>
                <w:color w:val="auto"/>
                <w:sz w:val="24"/>
              </w:rPr>
              <w:t>相对密度为1.41</w:t>
            </w:r>
            <w:r>
              <w:rPr>
                <w:rFonts w:hint="eastAsia"/>
                <w:lang w:eastAsia="zh-CN"/>
              </w:rPr>
              <w:t>（</w:t>
            </w:r>
            <w:r>
              <w:rPr>
                <w:rFonts w:hint="eastAsia"/>
                <w:lang w:val="en-US" w:eastAsia="zh-CN"/>
              </w:rPr>
              <w:t>水的密度：1g/cm</w:t>
            </w:r>
            <w:r>
              <w:rPr>
                <w:rFonts w:hint="eastAsia"/>
                <w:vertAlign w:val="superscript"/>
                <w:lang w:val="en-US" w:eastAsia="zh-CN"/>
              </w:rPr>
              <w:t>3</w:t>
            </w:r>
            <w:r>
              <w:rPr>
                <w:rFonts w:hint="eastAsia"/>
                <w:lang w:val="en-US" w:eastAsia="zh-CN"/>
              </w:rPr>
              <w:t>）</w:t>
            </w:r>
            <w:r>
              <w:rPr>
                <w:rFonts w:hint="eastAsia"/>
                <w:bCs/>
                <w:color w:val="auto"/>
                <w:sz w:val="24"/>
              </w:rPr>
              <w:t>，性质稳定，可与强氧化剂产生反应。具体</w:t>
            </w:r>
            <w:r>
              <w:rPr>
                <w:bCs/>
                <w:color w:val="auto"/>
                <w:sz w:val="24"/>
              </w:rPr>
              <w:t>成分/组分见下表：</w:t>
            </w:r>
          </w:p>
          <w:p>
            <w:pPr>
              <w:widowControl/>
              <w:numPr>
                <w:ilvl w:val="0"/>
                <w:numId w:val="2"/>
              </w:numPr>
              <w:jc w:val="center"/>
              <w:rPr>
                <w:b/>
                <w:color w:val="auto"/>
                <w:kern w:val="0"/>
                <w:szCs w:val="21"/>
              </w:rPr>
            </w:pPr>
            <w:r>
              <w:rPr>
                <w:rFonts w:hint="eastAsia"/>
                <w:b/>
                <w:color w:val="auto"/>
                <w:kern w:val="0"/>
                <w:szCs w:val="21"/>
              </w:rPr>
              <w:t xml:space="preserve">  </w:t>
            </w:r>
            <w:r>
              <w:rPr>
                <w:b/>
                <w:color w:val="auto"/>
                <w:kern w:val="0"/>
                <w:szCs w:val="21"/>
              </w:rPr>
              <w:t>密封胶成分/组成表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4"/>
              <w:gridCol w:w="2461"/>
              <w:gridCol w:w="2648"/>
              <w:gridCol w:w="2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74" w:type="dxa"/>
                  <w:noWrap w:val="0"/>
                  <w:vAlign w:val="center"/>
                </w:tcPr>
                <w:p>
                  <w:pPr>
                    <w:jc w:val="center"/>
                    <w:rPr>
                      <w:color w:val="auto"/>
                      <w:szCs w:val="21"/>
                    </w:rPr>
                  </w:pPr>
                  <w:r>
                    <w:rPr>
                      <w:color w:val="auto"/>
                      <w:szCs w:val="21"/>
                    </w:rPr>
                    <w:t>序号</w:t>
                  </w:r>
                </w:p>
              </w:tc>
              <w:tc>
                <w:tcPr>
                  <w:tcW w:w="2461" w:type="dxa"/>
                  <w:noWrap w:val="0"/>
                  <w:vAlign w:val="center"/>
                </w:tcPr>
                <w:p>
                  <w:pPr>
                    <w:jc w:val="center"/>
                    <w:rPr>
                      <w:color w:val="auto"/>
                      <w:szCs w:val="21"/>
                    </w:rPr>
                  </w:pPr>
                  <w:r>
                    <w:rPr>
                      <w:color w:val="auto"/>
                      <w:szCs w:val="21"/>
                    </w:rPr>
                    <w:t>名称</w:t>
                  </w:r>
                </w:p>
              </w:tc>
              <w:tc>
                <w:tcPr>
                  <w:tcW w:w="2648" w:type="dxa"/>
                  <w:noWrap w:val="0"/>
                  <w:vAlign w:val="center"/>
                </w:tcPr>
                <w:p>
                  <w:pPr>
                    <w:jc w:val="center"/>
                    <w:rPr>
                      <w:color w:val="auto"/>
                      <w:szCs w:val="21"/>
                    </w:rPr>
                  </w:pPr>
                  <w:r>
                    <w:rPr>
                      <w:color w:val="auto"/>
                      <w:szCs w:val="21"/>
                    </w:rPr>
                    <w:t>CAS</w:t>
                  </w:r>
                </w:p>
              </w:tc>
              <w:tc>
                <w:tcPr>
                  <w:tcW w:w="2648" w:type="dxa"/>
                  <w:noWrap w:val="0"/>
                  <w:vAlign w:val="center"/>
                </w:tcPr>
                <w:p>
                  <w:pPr>
                    <w:jc w:val="center"/>
                    <w:rPr>
                      <w:color w:val="auto"/>
                      <w:szCs w:val="21"/>
                    </w:rPr>
                  </w:pPr>
                  <w:r>
                    <w:rPr>
                      <w:color w:val="auto"/>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74" w:type="dxa"/>
                  <w:noWrap w:val="0"/>
                  <w:vAlign w:val="center"/>
                </w:tcPr>
                <w:p>
                  <w:pPr>
                    <w:widowControl/>
                    <w:jc w:val="center"/>
                    <w:rPr>
                      <w:color w:val="auto"/>
                      <w:szCs w:val="21"/>
                    </w:rPr>
                  </w:pPr>
                  <w:r>
                    <w:rPr>
                      <w:color w:val="auto"/>
                      <w:szCs w:val="21"/>
                    </w:rPr>
                    <w:t>1</w:t>
                  </w:r>
                </w:p>
              </w:tc>
              <w:tc>
                <w:tcPr>
                  <w:tcW w:w="2461" w:type="dxa"/>
                  <w:noWrap w:val="0"/>
                  <w:vAlign w:val="center"/>
                </w:tcPr>
                <w:p>
                  <w:pPr>
                    <w:jc w:val="center"/>
                    <w:rPr>
                      <w:rFonts w:hint="eastAsia"/>
                      <w:color w:val="auto"/>
                      <w:szCs w:val="21"/>
                    </w:rPr>
                  </w:pPr>
                  <w:r>
                    <w:rPr>
                      <w:rFonts w:hint="eastAsia"/>
                      <w:color w:val="auto"/>
                      <w:szCs w:val="21"/>
                    </w:rPr>
                    <w:t>羟基封端的</w:t>
                  </w:r>
                  <w:r>
                    <w:rPr>
                      <w:color w:val="auto"/>
                      <w:szCs w:val="21"/>
                    </w:rPr>
                    <w:t>硅氧烷</w:t>
                  </w:r>
                  <w:r>
                    <w:rPr>
                      <w:rFonts w:hint="eastAsia"/>
                      <w:color w:val="auto"/>
                      <w:szCs w:val="21"/>
                    </w:rPr>
                    <w:t>和聚</w:t>
                  </w:r>
                  <w:r>
                    <w:rPr>
                      <w:color w:val="auto"/>
                      <w:szCs w:val="21"/>
                    </w:rPr>
                    <w:t>硅氧烷</w:t>
                  </w:r>
                </w:p>
              </w:tc>
              <w:tc>
                <w:tcPr>
                  <w:tcW w:w="2648" w:type="dxa"/>
                  <w:noWrap w:val="0"/>
                  <w:vAlign w:val="center"/>
                </w:tcPr>
                <w:p>
                  <w:pPr>
                    <w:jc w:val="center"/>
                    <w:rPr>
                      <w:color w:val="auto"/>
                      <w:szCs w:val="21"/>
                    </w:rPr>
                  </w:pPr>
                  <w:r>
                    <w:rPr>
                      <w:rFonts w:hint="eastAsia"/>
                      <w:color w:val="auto"/>
                      <w:szCs w:val="21"/>
                    </w:rPr>
                    <w:t>70131-67-8</w:t>
                  </w:r>
                </w:p>
              </w:tc>
              <w:tc>
                <w:tcPr>
                  <w:tcW w:w="2648" w:type="dxa"/>
                  <w:noWrap w:val="0"/>
                  <w:vAlign w:val="center"/>
                </w:tcPr>
                <w:p>
                  <w:pPr>
                    <w:jc w:val="center"/>
                    <w:rPr>
                      <w:color w:val="auto"/>
                      <w:szCs w:val="21"/>
                    </w:rPr>
                  </w:pPr>
                  <w:r>
                    <w:rPr>
                      <w:rFonts w:hint="eastAsia"/>
                      <w:color w:val="auto"/>
                      <w:szCs w:val="21"/>
                    </w:rPr>
                    <w:t>40</w:t>
                  </w:r>
                  <w:r>
                    <w:rPr>
                      <w:color w:val="auto"/>
                      <w:szCs w:val="21"/>
                    </w:rPr>
                    <w:t>~</w:t>
                  </w:r>
                  <w:r>
                    <w:rPr>
                      <w:rFonts w:hint="eastAsia"/>
                      <w:color w:val="auto"/>
                      <w:szCs w:val="21"/>
                    </w:rPr>
                    <w:t>60</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2" w:hRule="atLeast"/>
                <w:jc w:val="center"/>
              </w:trPr>
              <w:tc>
                <w:tcPr>
                  <w:tcW w:w="874" w:type="dxa"/>
                  <w:noWrap w:val="0"/>
                  <w:vAlign w:val="center"/>
                </w:tcPr>
                <w:p>
                  <w:pPr>
                    <w:widowControl/>
                    <w:jc w:val="center"/>
                    <w:rPr>
                      <w:color w:val="auto"/>
                      <w:szCs w:val="21"/>
                    </w:rPr>
                  </w:pPr>
                  <w:r>
                    <w:rPr>
                      <w:color w:val="auto"/>
                      <w:szCs w:val="21"/>
                    </w:rPr>
                    <w:t>2</w:t>
                  </w:r>
                </w:p>
              </w:tc>
              <w:tc>
                <w:tcPr>
                  <w:tcW w:w="2461" w:type="dxa"/>
                  <w:noWrap w:val="0"/>
                  <w:vAlign w:val="center"/>
                </w:tcPr>
                <w:p>
                  <w:pPr>
                    <w:jc w:val="center"/>
                    <w:rPr>
                      <w:color w:val="auto"/>
                      <w:szCs w:val="21"/>
                    </w:rPr>
                  </w:pPr>
                  <w:r>
                    <w:rPr>
                      <w:rFonts w:hint="eastAsia"/>
                      <w:color w:val="auto"/>
                      <w:szCs w:val="21"/>
                    </w:rPr>
                    <w:t>三[丁酮-O基]甲基</w:t>
                  </w:r>
                  <w:r>
                    <w:rPr>
                      <w:color w:val="auto"/>
                      <w:szCs w:val="21"/>
                    </w:rPr>
                    <w:t>硅烷</w:t>
                  </w:r>
                </w:p>
              </w:tc>
              <w:tc>
                <w:tcPr>
                  <w:tcW w:w="2648" w:type="dxa"/>
                  <w:noWrap w:val="0"/>
                  <w:vAlign w:val="center"/>
                </w:tcPr>
                <w:p>
                  <w:pPr>
                    <w:jc w:val="center"/>
                    <w:rPr>
                      <w:color w:val="auto"/>
                      <w:szCs w:val="21"/>
                    </w:rPr>
                  </w:pPr>
                  <w:r>
                    <w:rPr>
                      <w:color w:val="auto"/>
                      <w:szCs w:val="21"/>
                    </w:rPr>
                    <w:t>22</w:t>
                  </w:r>
                  <w:r>
                    <w:rPr>
                      <w:rFonts w:hint="eastAsia"/>
                      <w:color w:val="auto"/>
                      <w:szCs w:val="21"/>
                    </w:rPr>
                    <w:t>984-54-9</w:t>
                  </w:r>
                </w:p>
              </w:tc>
              <w:tc>
                <w:tcPr>
                  <w:tcW w:w="2648" w:type="dxa"/>
                  <w:noWrap w:val="0"/>
                  <w:vAlign w:val="center"/>
                </w:tcPr>
                <w:p>
                  <w:pPr>
                    <w:jc w:val="center"/>
                    <w:rPr>
                      <w:color w:val="auto"/>
                      <w:szCs w:val="21"/>
                    </w:rPr>
                  </w:pPr>
                  <w:r>
                    <w:rPr>
                      <w:rFonts w:hint="eastAsia"/>
                      <w:color w:val="auto"/>
                      <w:szCs w:val="21"/>
                    </w:rPr>
                    <w:t>5</w:t>
                  </w:r>
                  <w:r>
                    <w:rPr>
                      <w:color w:val="auto"/>
                      <w:szCs w:val="21"/>
                    </w:rPr>
                    <w:t>~</w:t>
                  </w:r>
                  <w:r>
                    <w:rPr>
                      <w:rFonts w:hint="eastAsia"/>
                      <w:color w:val="auto"/>
                      <w:szCs w:val="21"/>
                    </w:rPr>
                    <w:t>15</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874" w:type="dxa"/>
                  <w:noWrap w:val="0"/>
                  <w:vAlign w:val="center"/>
                </w:tcPr>
                <w:p>
                  <w:pPr>
                    <w:widowControl/>
                    <w:jc w:val="center"/>
                    <w:rPr>
                      <w:color w:val="auto"/>
                      <w:szCs w:val="21"/>
                    </w:rPr>
                  </w:pPr>
                  <w:r>
                    <w:rPr>
                      <w:color w:val="auto"/>
                      <w:szCs w:val="21"/>
                    </w:rPr>
                    <w:t>3</w:t>
                  </w:r>
                </w:p>
              </w:tc>
              <w:tc>
                <w:tcPr>
                  <w:tcW w:w="2461" w:type="dxa"/>
                  <w:noWrap w:val="0"/>
                  <w:vAlign w:val="center"/>
                </w:tcPr>
                <w:p>
                  <w:pPr>
                    <w:jc w:val="center"/>
                    <w:rPr>
                      <w:color w:val="auto"/>
                      <w:szCs w:val="21"/>
                    </w:rPr>
                  </w:pPr>
                  <w:r>
                    <w:rPr>
                      <w:color w:val="auto"/>
                      <w:szCs w:val="21"/>
                    </w:rPr>
                    <w:t>碳酸钙</w:t>
                  </w:r>
                </w:p>
              </w:tc>
              <w:tc>
                <w:tcPr>
                  <w:tcW w:w="2648" w:type="dxa"/>
                  <w:noWrap w:val="0"/>
                  <w:vAlign w:val="center"/>
                </w:tcPr>
                <w:p>
                  <w:pPr>
                    <w:jc w:val="center"/>
                    <w:rPr>
                      <w:color w:val="auto"/>
                      <w:szCs w:val="21"/>
                    </w:rPr>
                  </w:pPr>
                  <w:r>
                    <w:rPr>
                      <w:color w:val="auto"/>
                      <w:szCs w:val="21"/>
                    </w:rPr>
                    <w:t>471-34-1</w:t>
                  </w:r>
                </w:p>
              </w:tc>
              <w:tc>
                <w:tcPr>
                  <w:tcW w:w="2648" w:type="dxa"/>
                  <w:noWrap w:val="0"/>
                  <w:vAlign w:val="center"/>
                </w:tcPr>
                <w:p>
                  <w:pPr>
                    <w:jc w:val="center"/>
                    <w:rPr>
                      <w:color w:val="auto"/>
                      <w:szCs w:val="21"/>
                    </w:rPr>
                  </w:pPr>
                  <w:r>
                    <w:rPr>
                      <w:rFonts w:hint="eastAsia"/>
                      <w:color w:val="auto"/>
                      <w:szCs w:val="21"/>
                    </w:rPr>
                    <w:t>30</w:t>
                  </w:r>
                  <w:r>
                    <w:rPr>
                      <w:color w:val="auto"/>
                      <w:szCs w:val="21"/>
                    </w:rPr>
                    <w:t>~</w:t>
                  </w:r>
                  <w:r>
                    <w:rPr>
                      <w:rFonts w:hint="eastAsia"/>
                      <w:color w:val="auto"/>
                      <w:szCs w:val="21"/>
                    </w:rPr>
                    <w:t>60</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jc w:val="center"/>
              </w:trPr>
              <w:tc>
                <w:tcPr>
                  <w:tcW w:w="874" w:type="dxa"/>
                  <w:noWrap w:val="0"/>
                  <w:vAlign w:val="center"/>
                </w:tcPr>
                <w:p>
                  <w:pPr>
                    <w:widowControl/>
                    <w:jc w:val="center"/>
                    <w:rPr>
                      <w:color w:val="auto"/>
                      <w:szCs w:val="21"/>
                    </w:rPr>
                  </w:pPr>
                  <w:r>
                    <w:rPr>
                      <w:color w:val="auto"/>
                      <w:szCs w:val="21"/>
                    </w:rPr>
                    <w:t>4</w:t>
                  </w:r>
                </w:p>
              </w:tc>
              <w:tc>
                <w:tcPr>
                  <w:tcW w:w="2461" w:type="dxa"/>
                  <w:noWrap w:val="0"/>
                  <w:vAlign w:val="center"/>
                </w:tcPr>
                <w:p>
                  <w:pPr>
                    <w:jc w:val="center"/>
                    <w:rPr>
                      <w:color w:val="auto"/>
                      <w:szCs w:val="21"/>
                    </w:rPr>
                  </w:pPr>
                  <w:r>
                    <w:rPr>
                      <w:rFonts w:hint="eastAsia"/>
                      <w:color w:val="auto"/>
                      <w:szCs w:val="21"/>
                    </w:rPr>
                    <w:t>二氯二甲基硅烷与二氧化硅的反应产物</w:t>
                  </w:r>
                  <w:r>
                    <w:rPr>
                      <w:color w:val="auto"/>
                      <w:szCs w:val="21"/>
                    </w:rPr>
                    <w:t xml:space="preserve"> </w:t>
                  </w:r>
                </w:p>
              </w:tc>
              <w:tc>
                <w:tcPr>
                  <w:tcW w:w="2648" w:type="dxa"/>
                  <w:noWrap w:val="0"/>
                  <w:vAlign w:val="center"/>
                </w:tcPr>
                <w:p>
                  <w:pPr>
                    <w:jc w:val="center"/>
                    <w:rPr>
                      <w:rFonts w:hint="eastAsia"/>
                      <w:color w:val="auto"/>
                      <w:szCs w:val="21"/>
                    </w:rPr>
                  </w:pPr>
                  <w:r>
                    <w:rPr>
                      <w:rFonts w:hint="eastAsia"/>
                      <w:color w:val="auto"/>
                      <w:szCs w:val="21"/>
                    </w:rPr>
                    <w:t>68611-44-9</w:t>
                  </w:r>
                </w:p>
              </w:tc>
              <w:tc>
                <w:tcPr>
                  <w:tcW w:w="2648" w:type="dxa"/>
                  <w:noWrap w:val="0"/>
                  <w:vAlign w:val="center"/>
                </w:tcPr>
                <w:p>
                  <w:pPr>
                    <w:jc w:val="center"/>
                    <w:rPr>
                      <w:rFonts w:hint="eastAsia"/>
                      <w:color w:val="auto"/>
                      <w:szCs w:val="21"/>
                    </w:rPr>
                  </w:pPr>
                  <w:r>
                    <w:rPr>
                      <w:rFonts w:hint="eastAsia"/>
                      <w:color w:val="auto"/>
                      <w:szCs w:val="21"/>
                    </w:rPr>
                    <w:t>1</w:t>
                  </w:r>
                  <w:r>
                    <w:rPr>
                      <w:color w:val="auto"/>
                      <w:szCs w:val="21"/>
                    </w:rPr>
                    <w:t>~</w:t>
                  </w:r>
                  <w:r>
                    <w:rPr>
                      <w:rFonts w:hint="eastAsia"/>
                      <w:color w:val="auto"/>
                      <w:szCs w:val="21"/>
                    </w:rPr>
                    <w:t>10%</w:t>
                  </w:r>
                </w:p>
              </w:tc>
            </w:tr>
          </w:tbl>
          <w:p>
            <w:pPr>
              <w:pStyle w:val="7"/>
              <w:spacing w:before="0" w:after="0" w:line="360" w:lineRule="auto"/>
              <w:ind w:firstLine="482" w:firstLineChars="200"/>
              <w:rPr>
                <w:rFonts w:hint="eastAsia"/>
                <w:color w:val="auto"/>
                <w:sz w:val="24"/>
              </w:rPr>
            </w:pPr>
            <w:r>
              <w:rPr>
                <w:color w:val="auto"/>
                <w:sz w:val="24"/>
                <w:szCs w:val="24"/>
              </w:rPr>
              <w:t>本项目</w:t>
            </w:r>
            <w:r>
              <w:rPr>
                <w:rFonts w:hint="eastAsia"/>
                <w:color w:val="auto"/>
                <w:sz w:val="24"/>
                <w:szCs w:val="24"/>
              </w:rPr>
              <w:t>密封胶与</w:t>
            </w:r>
            <w:r>
              <w:rPr>
                <w:color w:val="auto"/>
                <w:sz w:val="24"/>
              </w:rPr>
              <w:t>《胶粘剂挥发性有机化合物限量》（GB3</w:t>
            </w:r>
            <w:r>
              <w:rPr>
                <w:rFonts w:hint="eastAsia"/>
                <w:color w:val="auto"/>
                <w:sz w:val="24"/>
              </w:rPr>
              <w:t>3372</w:t>
            </w:r>
            <w:r>
              <w:rPr>
                <w:color w:val="auto"/>
                <w:sz w:val="24"/>
              </w:rPr>
              <w:t>-2020）相符性分析</w:t>
            </w:r>
            <w:r>
              <w:rPr>
                <w:rFonts w:hint="eastAsia"/>
                <w:color w:val="auto"/>
                <w:sz w:val="24"/>
              </w:rPr>
              <w:t>：</w:t>
            </w:r>
          </w:p>
          <w:p>
            <w:pPr>
              <w:spacing w:line="360" w:lineRule="auto"/>
              <w:ind w:firstLine="480" w:firstLineChars="200"/>
              <w:rPr>
                <w:bCs/>
                <w:color w:val="auto"/>
                <w:kern w:val="0"/>
                <w:sz w:val="24"/>
              </w:rPr>
            </w:pPr>
            <w:r>
              <w:rPr>
                <w:rFonts w:hint="eastAsia"/>
                <w:color w:val="auto"/>
                <w:sz w:val="24"/>
              </w:rPr>
              <w:t>根据建设单位提供的检测报告，</w:t>
            </w:r>
            <w:r>
              <w:rPr>
                <w:color w:val="auto"/>
                <w:sz w:val="24"/>
              </w:rPr>
              <w:t>本项目</w:t>
            </w:r>
            <w:r>
              <w:rPr>
                <w:rFonts w:hint="eastAsia"/>
                <w:color w:val="auto"/>
                <w:sz w:val="24"/>
              </w:rPr>
              <w:t>密封胶VOC</w:t>
            </w:r>
            <w:r>
              <w:rPr>
                <w:color w:val="auto"/>
                <w:sz w:val="24"/>
              </w:rPr>
              <w:t>含量为</w:t>
            </w:r>
            <w:r>
              <w:rPr>
                <w:rFonts w:hint="eastAsia"/>
                <w:color w:val="auto"/>
                <w:sz w:val="24"/>
              </w:rPr>
              <w:t>4</w:t>
            </w:r>
            <w:r>
              <w:rPr>
                <w:color w:val="auto"/>
                <w:sz w:val="24"/>
              </w:rPr>
              <w:t>g/</w:t>
            </w:r>
            <w:r>
              <w:rPr>
                <w:rFonts w:hint="eastAsia"/>
                <w:color w:val="auto"/>
                <w:sz w:val="24"/>
              </w:rPr>
              <w:t>kg</w:t>
            </w:r>
            <w:r>
              <w:rPr>
                <w:color w:val="auto"/>
                <w:sz w:val="24"/>
              </w:rPr>
              <w:t>，能够满足《胶粘剂挥发性有机化合物限量》（GB3</w:t>
            </w:r>
            <w:r>
              <w:rPr>
                <w:rFonts w:hint="eastAsia"/>
                <w:color w:val="auto"/>
                <w:sz w:val="24"/>
              </w:rPr>
              <w:t>3372</w:t>
            </w:r>
            <w:r>
              <w:rPr>
                <w:color w:val="auto"/>
                <w:sz w:val="24"/>
              </w:rPr>
              <w:t>-2020）规定本体型胶粘剂</w:t>
            </w:r>
            <w:r>
              <w:rPr>
                <w:rFonts w:hint="eastAsia"/>
                <w:color w:val="auto"/>
                <w:sz w:val="24"/>
              </w:rPr>
              <w:t>-有机硅类</w:t>
            </w:r>
            <w:r>
              <w:rPr>
                <w:color w:val="auto"/>
                <w:sz w:val="24"/>
              </w:rPr>
              <w:t>VOC含量</w:t>
            </w:r>
            <w:r>
              <w:rPr>
                <w:rFonts w:hint="eastAsia"/>
                <w:color w:val="auto"/>
                <w:sz w:val="24"/>
              </w:rPr>
              <w:t>100</w:t>
            </w:r>
            <w:r>
              <w:rPr>
                <w:color w:val="auto"/>
                <w:sz w:val="24"/>
              </w:rPr>
              <w:t>g/</w:t>
            </w:r>
            <w:r>
              <w:rPr>
                <w:rFonts w:hint="eastAsia"/>
                <w:color w:val="auto"/>
                <w:sz w:val="24"/>
              </w:rPr>
              <w:t>kg</w:t>
            </w:r>
            <w:r>
              <w:rPr>
                <w:color w:val="auto"/>
                <w:sz w:val="24"/>
              </w:rPr>
              <w:t>（</w:t>
            </w:r>
            <w:r>
              <w:rPr>
                <w:rFonts w:hint="eastAsia"/>
                <w:color w:val="auto"/>
                <w:sz w:val="24"/>
              </w:rPr>
              <w:t>装配</w:t>
            </w:r>
            <w:r>
              <w:rPr>
                <w:color w:val="auto"/>
                <w:sz w:val="24"/>
              </w:rPr>
              <w:t>）的限值要求。</w:t>
            </w:r>
          </w:p>
          <w:p>
            <w:pPr>
              <w:adjustRightInd w:val="0"/>
              <w:spacing w:line="360" w:lineRule="auto"/>
              <w:ind w:firstLine="480" w:firstLineChars="200"/>
              <w:rPr>
                <w:bCs/>
                <w:color w:val="auto"/>
                <w:kern w:val="0"/>
                <w:sz w:val="24"/>
              </w:rPr>
            </w:pPr>
            <w:r>
              <w:rPr>
                <w:bCs/>
                <w:color w:val="auto"/>
                <w:kern w:val="0"/>
                <w:sz w:val="24"/>
              </w:rPr>
              <w:t>（3）</w:t>
            </w:r>
            <w:r>
              <w:rPr>
                <w:color w:val="auto"/>
                <w:sz w:val="24"/>
              </w:rPr>
              <w:t>助焊剂</w:t>
            </w:r>
          </w:p>
          <w:p>
            <w:pPr>
              <w:widowControl/>
              <w:spacing w:line="360" w:lineRule="auto"/>
              <w:ind w:firstLine="480" w:firstLineChars="200"/>
              <w:jc w:val="left"/>
              <w:rPr>
                <w:bCs/>
                <w:color w:val="auto"/>
                <w:kern w:val="0"/>
                <w:sz w:val="24"/>
              </w:rPr>
            </w:pPr>
            <w:r>
              <w:rPr>
                <w:bCs/>
                <w:color w:val="auto"/>
                <w:kern w:val="0"/>
                <w:sz w:val="24"/>
              </w:rPr>
              <w:t>在焊接工艺中能帮助和促进焊接过程，同时具有保护、阻止氧化反应的化学物质</w:t>
            </w:r>
            <w:r>
              <w:rPr>
                <w:rFonts w:hint="eastAsia"/>
                <w:bCs/>
                <w:color w:val="auto"/>
                <w:kern w:val="0"/>
                <w:sz w:val="24"/>
              </w:rPr>
              <w:t>。</w:t>
            </w:r>
            <w:r>
              <w:rPr>
                <w:bCs/>
                <w:color w:val="auto"/>
                <w:kern w:val="0"/>
                <w:sz w:val="24"/>
              </w:rPr>
              <w:t>无色透明液体</w:t>
            </w:r>
            <w:r>
              <w:rPr>
                <w:rFonts w:hint="eastAsia"/>
                <w:bCs/>
                <w:color w:val="auto"/>
                <w:kern w:val="0"/>
                <w:sz w:val="24"/>
              </w:rPr>
              <w:t>，有醇类清香气味，</w:t>
            </w:r>
            <w:r>
              <w:rPr>
                <w:bCs/>
                <w:color w:val="auto"/>
                <w:kern w:val="0"/>
                <w:sz w:val="24"/>
              </w:rPr>
              <w:t>相对密度为0.8</w:t>
            </w:r>
            <w:r>
              <w:rPr>
                <w:rFonts w:hint="eastAsia"/>
                <w:bCs/>
                <w:color w:val="auto"/>
                <w:kern w:val="0"/>
                <w:sz w:val="24"/>
              </w:rPr>
              <w:t>（水的密度：1g/cm3）</w:t>
            </w:r>
            <w:r>
              <w:rPr>
                <w:bCs/>
                <w:color w:val="auto"/>
                <w:kern w:val="0"/>
                <w:sz w:val="24"/>
              </w:rPr>
              <w:t>，沸点76~83℃，闪点11.7~12℃，易燃可与空气形成爆炸性混合物，</w:t>
            </w:r>
            <w:r>
              <w:rPr>
                <w:color w:val="auto"/>
                <w:kern w:val="0"/>
                <w:sz w:val="24"/>
                <w:lang w:bidi="ar"/>
              </w:rPr>
              <w:t>LD50:5045mg</w:t>
            </w:r>
            <w:r>
              <w:rPr>
                <w:rFonts w:hint="eastAsia"/>
                <w:color w:val="auto"/>
                <w:kern w:val="0"/>
                <w:sz w:val="24"/>
                <w:lang w:bidi="ar"/>
              </w:rPr>
              <w:t>/</w:t>
            </w:r>
            <w:r>
              <w:rPr>
                <w:color w:val="auto"/>
                <w:kern w:val="0"/>
                <w:sz w:val="24"/>
                <w:lang w:bidi="ar"/>
              </w:rPr>
              <w:t>kg(大鼠吞食)。</w:t>
            </w:r>
            <w:r>
              <w:rPr>
                <w:bCs/>
                <w:color w:val="auto"/>
                <w:kern w:val="0"/>
                <w:sz w:val="24"/>
              </w:rPr>
              <w:t>主要</w:t>
            </w:r>
            <w:r>
              <w:rPr>
                <w:bCs/>
                <w:color w:val="auto"/>
                <w:sz w:val="24"/>
              </w:rPr>
              <w:t>成分/组分见下表：</w:t>
            </w:r>
          </w:p>
          <w:p>
            <w:pPr>
              <w:widowControl/>
              <w:numPr>
                <w:ilvl w:val="0"/>
                <w:numId w:val="2"/>
              </w:numPr>
              <w:jc w:val="center"/>
              <w:rPr>
                <w:b/>
                <w:color w:val="auto"/>
                <w:kern w:val="0"/>
                <w:szCs w:val="21"/>
              </w:rPr>
            </w:pPr>
            <w:r>
              <w:rPr>
                <w:rFonts w:hint="eastAsia"/>
                <w:b/>
                <w:color w:val="auto"/>
                <w:kern w:val="0"/>
                <w:szCs w:val="21"/>
              </w:rPr>
              <w:t xml:space="preserve">  </w:t>
            </w:r>
            <w:r>
              <w:rPr>
                <w:b/>
                <w:color w:val="auto"/>
                <w:kern w:val="0"/>
                <w:szCs w:val="21"/>
              </w:rPr>
              <w:t>助焊剂成分/组成表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5"/>
              <w:gridCol w:w="2457"/>
              <w:gridCol w:w="2649"/>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875" w:type="dxa"/>
                  <w:noWrap w:val="0"/>
                  <w:vAlign w:val="center"/>
                </w:tcPr>
                <w:p>
                  <w:pPr>
                    <w:jc w:val="center"/>
                    <w:rPr>
                      <w:color w:val="auto"/>
                      <w:szCs w:val="21"/>
                    </w:rPr>
                  </w:pPr>
                  <w:r>
                    <w:rPr>
                      <w:color w:val="auto"/>
                      <w:szCs w:val="21"/>
                    </w:rPr>
                    <w:t>序号</w:t>
                  </w:r>
                </w:p>
              </w:tc>
              <w:tc>
                <w:tcPr>
                  <w:tcW w:w="2457" w:type="dxa"/>
                  <w:noWrap w:val="0"/>
                  <w:vAlign w:val="center"/>
                </w:tcPr>
                <w:p>
                  <w:pPr>
                    <w:jc w:val="center"/>
                    <w:rPr>
                      <w:color w:val="auto"/>
                      <w:szCs w:val="21"/>
                    </w:rPr>
                  </w:pPr>
                  <w:r>
                    <w:rPr>
                      <w:color w:val="auto"/>
                      <w:szCs w:val="21"/>
                    </w:rPr>
                    <w:t>名称</w:t>
                  </w:r>
                </w:p>
              </w:tc>
              <w:tc>
                <w:tcPr>
                  <w:tcW w:w="2649" w:type="dxa"/>
                  <w:noWrap w:val="0"/>
                  <w:vAlign w:val="center"/>
                </w:tcPr>
                <w:p>
                  <w:pPr>
                    <w:jc w:val="center"/>
                    <w:rPr>
                      <w:color w:val="auto"/>
                      <w:szCs w:val="21"/>
                    </w:rPr>
                  </w:pPr>
                  <w:r>
                    <w:rPr>
                      <w:color w:val="auto"/>
                      <w:szCs w:val="21"/>
                    </w:rPr>
                    <w:t>CAS</w:t>
                  </w:r>
                </w:p>
              </w:tc>
              <w:tc>
                <w:tcPr>
                  <w:tcW w:w="2650" w:type="dxa"/>
                  <w:noWrap w:val="0"/>
                  <w:vAlign w:val="center"/>
                </w:tcPr>
                <w:p>
                  <w:pPr>
                    <w:jc w:val="center"/>
                    <w:rPr>
                      <w:color w:val="auto"/>
                      <w:szCs w:val="21"/>
                    </w:rPr>
                  </w:pPr>
                  <w:r>
                    <w:rPr>
                      <w:rFonts w:hint="eastAsia"/>
                      <w:color w:val="auto"/>
                      <w:szCs w:val="21"/>
                    </w:rPr>
                    <w:t>最大</w:t>
                  </w:r>
                  <w:r>
                    <w:rPr>
                      <w:color w:val="auto"/>
                      <w:szCs w:val="21"/>
                    </w:rPr>
                    <w:t>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875" w:type="dxa"/>
                  <w:noWrap w:val="0"/>
                  <w:vAlign w:val="center"/>
                </w:tcPr>
                <w:p>
                  <w:pPr>
                    <w:widowControl/>
                    <w:jc w:val="center"/>
                    <w:rPr>
                      <w:color w:val="auto"/>
                      <w:szCs w:val="21"/>
                    </w:rPr>
                  </w:pPr>
                  <w:r>
                    <w:rPr>
                      <w:color w:val="auto"/>
                      <w:szCs w:val="21"/>
                    </w:rPr>
                    <w:t>1</w:t>
                  </w:r>
                </w:p>
              </w:tc>
              <w:tc>
                <w:tcPr>
                  <w:tcW w:w="2457" w:type="dxa"/>
                  <w:noWrap w:val="0"/>
                  <w:vAlign w:val="center"/>
                </w:tcPr>
                <w:p>
                  <w:pPr>
                    <w:jc w:val="center"/>
                    <w:rPr>
                      <w:rFonts w:hint="eastAsia"/>
                      <w:color w:val="auto"/>
                      <w:szCs w:val="21"/>
                    </w:rPr>
                  </w:pPr>
                  <w:r>
                    <w:rPr>
                      <w:rFonts w:hint="eastAsia"/>
                      <w:color w:val="auto"/>
                      <w:szCs w:val="21"/>
                    </w:rPr>
                    <w:t>成膜剂</w:t>
                  </w:r>
                </w:p>
              </w:tc>
              <w:tc>
                <w:tcPr>
                  <w:tcW w:w="2649" w:type="dxa"/>
                  <w:noWrap w:val="0"/>
                  <w:vAlign w:val="center"/>
                </w:tcPr>
                <w:p>
                  <w:pPr>
                    <w:jc w:val="center"/>
                    <w:rPr>
                      <w:color w:val="auto"/>
                      <w:szCs w:val="21"/>
                    </w:rPr>
                  </w:pPr>
                  <w:r>
                    <w:rPr>
                      <w:rFonts w:hint="eastAsia"/>
                      <w:color w:val="auto"/>
                      <w:szCs w:val="21"/>
                    </w:rPr>
                    <w:t>683-98-1</w:t>
                  </w:r>
                </w:p>
              </w:tc>
              <w:tc>
                <w:tcPr>
                  <w:tcW w:w="2650" w:type="dxa"/>
                  <w:noWrap w:val="0"/>
                  <w:vAlign w:val="center"/>
                </w:tcPr>
                <w:p>
                  <w:pPr>
                    <w:jc w:val="center"/>
                    <w:rPr>
                      <w:color w:val="auto"/>
                      <w:szCs w:val="21"/>
                    </w:rPr>
                  </w:pPr>
                  <w:r>
                    <w:rPr>
                      <w:rFonts w:hint="eastAsia"/>
                      <w:color w:val="auto"/>
                      <w:szCs w:val="21"/>
                    </w:rPr>
                    <w:t>0.5</w:t>
                  </w:r>
                  <w:r>
                    <w:rPr>
                      <w:color w:val="auto"/>
                      <w:szCs w:val="21"/>
                    </w:rPr>
                    <w:t>~</w:t>
                  </w:r>
                  <w:r>
                    <w:rPr>
                      <w:rFonts w:hint="eastAsia"/>
                      <w:color w:val="auto"/>
                      <w:szCs w:val="21"/>
                    </w:rPr>
                    <w:t>1</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875" w:type="dxa"/>
                  <w:noWrap w:val="0"/>
                  <w:vAlign w:val="center"/>
                </w:tcPr>
                <w:p>
                  <w:pPr>
                    <w:widowControl/>
                    <w:jc w:val="center"/>
                    <w:rPr>
                      <w:color w:val="auto"/>
                      <w:szCs w:val="21"/>
                    </w:rPr>
                  </w:pPr>
                  <w:r>
                    <w:rPr>
                      <w:color w:val="auto"/>
                      <w:szCs w:val="21"/>
                    </w:rPr>
                    <w:t>2</w:t>
                  </w:r>
                </w:p>
              </w:tc>
              <w:tc>
                <w:tcPr>
                  <w:tcW w:w="2457" w:type="dxa"/>
                  <w:noWrap w:val="0"/>
                  <w:vAlign w:val="center"/>
                </w:tcPr>
                <w:p>
                  <w:pPr>
                    <w:jc w:val="center"/>
                    <w:rPr>
                      <w:color w:val="auto"/>
                      <w:szCs w:val="21"/>
                    </w:rPr>
                  </w:pPr>
                  <w:r>
                    <w:rPr>
                      <w:color w:val="auto"/>
                      <w:szCs w:val="21"/>
                    </w:rPr>
                    <w:t>丁二酸</w:t>
                  </w:r>
                </w:p>
              </w:tc>
              <w:tc>
                <w:tcPr>
                  <w:tcW w:w="2649" w:type="dxa"/>
                  <w:noWrap w:val="0"/>
                  <w:vAlign w:val="center"/>
                </w:tcPr>
                <w:p>
                  <w:pPr>
                    <w:jc w:val="center"/>
                    <w:rPr>
                      <w:color w:val="auto"/>
                      <w:szCs w:val="21"/>
                    </w:rPr>
                  </w:pPr>
                  <w:r>
                    <w:rPr>
                      <w:color w:val="auto"/>
                      <w:szCs w:val="21"/>
                    </w:rPr>
                    <w:t>110-15-6</w:t>
                  </w:r>
                </w:p>
              </w:tc>
              <w:tc>
                <w:tcPr>
                  <w:tcW w:w="2650" w:type="dxa"/>
                  <w:noWrap w:val="0"/>
                  <w:vAlign w:val="center"/>
                </w:tcPr>
                <w:p>
                  <w:pPr>
                    <w:jc w:val="center"/>
                    <w:rPr>
                      <w:rFonts w:hint="eastAsia"/>
                      <w:color w:val="auto"/>
                      <w:szCs w:val="21"/>
                    </w:rPr>
                  </w:pPr>
                  <w:r>
                    <w:rPr>
                      <w:rFonts w:hint="eastAsia"/>
                      <w:color w:val="auto"/>
                      <w:szCs w:val="21"/>
                    </w:rPr>
                    <w:t>0.4</w:t>
                  </w:r>
                  <w:r>
                    <w:rPr>
                      <w:color w:val="auto"/>
                      <w:szCs w:val="21"/>
                    </w:rPr>
                    <w:t>~</w:t>
                  </w:r>
                  <w:r>
                    <w:rPr>
                      <w:rFonts w:hint="eastAsia"/>
                      <w:color w:val="auto"/>
                      <w:szCs w:val="21"/>
                    </w:rPr>
                    <w:t>1.4</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 w:hRule="atLeast"/>
                <w:jc w:val="center"/>
              </w:trPr>
              <w:tc>
                <w:tcPr>
                  <w:tcW w:w="875" w:type="dxa"/>
                  <w:noWrap w:val="0"/>
                  <w:vAlign w:val="center"/>
                </w:tcPr>
                <w:p>
                  <w:pPr>
                    <w:widowControl/>
                    <w:jc w:val="center"/>
                    <w:rPr>
                      <w:color w:val="auto"/>
                      <w:szCs w:val="21"/>
                    </w:rPr>
                  </w:pPr>
                  <w:r>
                    <w:rPr>
                      <w:color w:val="auto"/>
                      <w:szCs w:val="21"/>
                    </w:rPr>
                    <w:t>3</w:t>
                  </w:r>
                </w:p>
              </w:tc>
              <w:tc>
                <w:tcPr>
                  <w:tcW w:w="2457" w:type="dxa"/>
                  <w:noWrap w:val="0"/>
                  <w:vAlign w:val="center"/>
                </w:tcPr>
                <w:p>
                  <w:pPr>
                    <w:jc w:val="center"/>
                    <w:rPr>
                      <w:color w:val="auto"/>
                      <w:szCs w:val="21"/>
                    </w:rPr>
                  </w:pPr>
                  <w:r>
                    <w:rPr>
                      <w:color w:val="auto"/>
                      <w:szCs w:val="21"/>
                    </w:rPr>
                    <w:t>醇类溶剂</w:t>
                  </w:r>
                </w:p>
              </w:tc>
              <w:tc>
                <w:tcPr>
                  <w:tcW w:w="2649" w:type="dxa"/>
                  <w:noWrap w:val="0"/>
                  <w:vAlign w:val="center"/>
                </w:tcPr>
                <w:p>
                  <w:pPr>
                    <w:jc w:val="center"/>
                    <w:rPr>
                      <w:color w:val="auto"/>
                      <w:szCs w:val="21"/>
                    </w:rPr>
                  </w:pPr>
                  <w:r>
                    <w:rPr>
                      <w:rFonts w:hint="eastAsia"/>
                      <w:color w:val="auto"/>
                      <w:szCs w:val="21"/>
                    </w:rPr>
                    <w:t>67-63-0</w:t>
                  </w:r>
                </w:p>
              </w:tc>
              <w:tc>
                <w:tcPr>
                  <w:tcW w:w="2650" w:type="dxa"/>
                  <w:noWrap w:val="0"/>
                  <w:vAlign w:val="center"/>
                </w:tcPr>
                <w:p>
                  <w:pPr>
                    <w:jc w:val="center"/>
                    <w:rPr>
                      <w:color w:val="auto"/>
                      <w:szCs w:val="21"/>
                    </w:rPr>
                  </w:pPr>
                  <w:r>
                    <w:rPr>
                      <w:rFonts w:hint="eastAsia"/>
                      <w:color w:val="auto"/>
                      <w:szCs w:val="21"/>
                    </w:rPr>
                    <w:t>88.2</w:t>
                  </w:r>
                  <w:r>
                    <w:rPr>
                      <w:color w:val="auto"/>
                      <w:szCs w:val="21"/>
                    </w:rPr>
                    <w:t>~</w:t>
                  </w:r>
                  <w:r>
                    <w:rPr>
                      <w:rFonts w:hint="eastAsia"/>
                      <w:color w:val="auto"/>
                      <w:szCs w:val="21"/>
                    </w:rPr>
                    <w:t>96.0</w:t>
                  </w: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6" w:hRule="atLeast"/>
                <w:jc w:val="center"/>
              </w:trPr>
              <w:tc>
                <w:tcPr>
                  <w:tcW w:w="875" w:type="dxa"/>
                  <w:noWrap w:val="0"/>
                  <w:vAlign w:val="center"/>
                </w:tcPr>
                <w:p>
                  <w:pPr>
                    <w:widowControl/>
                    <w:jc w:val="center"/>
                    <w:rPr>
                      <w:rFonts w:hint="eastAsia"/>
                      <w:color w:val="auto"/>
                      <w:szCs w:val="21"/>
                    </w:rPr>
                  </w:pPr>
                  <w:r>
                    <w:rPr>
                      <w:rFonts w:hint="eastAsia"/>
                      <w:color w:val="auto"/>
                      <w:szCs w:val="21"/>
                    </w:rPr>
                    <w:t>4</w:t>
                  </w:r>
                </w:p>
              </w:tc>
              <w:tc>
                <w:tcPr>
                  <w:tcW w:w="2457" w:type="dxa"/>
                  <w:noWrap w:val="0"/>
                  <w:vAlign w:val="center"/>
                </w:tcPr>
                <w:p>
                  <w:pPr>
                    <w:jc w:val="center"/>
                    <w:rPr>
                      <w:rFonts w:hint="eastAsia"/>
                      <w:color w:val="auto"/>
                      <w:szCs w:val="21"/>
                    </w:rPr>
                  </w:pPr>
                  <w:r>
                    <w:rPr>
                      <w:rFonts w:hint="eastAsia"/>
                      <w:color w:val="auto"/>
                      <w:szCs w:val="21"/>
                    </w:rPr>
                    <w:t>其他</w:t>
                  </w:r>
                </w:p>
              </w:tc>
              <w:tc>
                <w:tcPr>
                  <w:tcW w:w="2649" w:type="dxa"/>
                  <w:noWrap w:val="0"/>
                  <w:vAlign w:val="center"/>
                </w:tcPr>
                <w:p>
                  <w:pPr>
                    <w:jc w:val="center"/>
                    <w:rPr>
                      <w:rFonts w:hint="eastAsia"/>
                      <w:color w:val="auto"/>
                      <w:szCs w:val="21"/>
                    </w:rPr>
                  </w:pPr>
                  <w:r>
                    <w:rPr>
                      <w:rFonts w:hint="eastAsia"/>
                      <w:color w:val="auto"/>
                      <w:szCs w:val="21"/>
                    </w:rPr>
                    <w:t>/</w:t>
                  </w:r>
                </w:p>
              </w:tc>
              <w:tc>
                <w:tcPr>
                  <w:tcW w:w="2650" w:type="dxa"/>
                  <w:noWrap w:val="0"/>
                  <w:vAlign w:val="center"/>
                </w:tcPr>
                <w:p>
                  <w:pPr>
                    <w:jc w:val="center"/>
                    <w:rPr>
                      <w:color w:val="auto"/>
                      <w:szCs w:val="21"/>
                    </w:rPr>
                  </w:pPr>
                  <w:r>
                    <w:rPr>
                      <w:rFonts w:hint="eastAsia"/>
                      <w:color w:val="auto"/>
                      <w:szCs w:val="21"/>
                    </w:rPr>
                    <w:t>5</w:t>
                  </w:r>
                  <w:r>
                    <w:rPr>
                      <w:color w:val="auto"/>
                      <w:szCs w:val="21"/>
                    </w:rPr>
                    <w:t>%</w:t>
                  </w:r>
                </w:p>
              </w:tc>
            </w:tr>
          </w:tbl>
          <w:p>
            <w:pPr>
              <w:adjustRightInd w:val="0"/>
              <w:spacing w:line="360" w:lineRule="auto"/>
              <w:ind w:firstLine="480" w:firstLineChars="200"/>
              <w:rPr>
                <w:bCs/>
                <w:color w:val="auto"/>
                <w:kern w:val="0"/>
                <w:sz w:val="24"/>
              </w:rPr>
            </w:pPr>
            <w:r>
              <w:rPr>
                <w:bCs/>
                <w:color w:val="auto"/>
                <w:kern w:val="0"/>
                <w:sz w:val="24"/>
              </w:rPr>
              <w:t>（4）酒精</w:t>
            </w:r>
          </w:p>
          <w:p>
            <w:pPr>
              <w:spacing w:line="360" w:lineRule="auto"/>
              <w:ind w:firstLine="480" w:firstLineChars="200"/>
              <w:rPr>
                <w:color w:val="auto"/>
                <w:sz w:val="24"/>
              </w:rPr>
            </w:pPr>
            <w:r>
              <w:rPr>
                <w:color w:val="auto"/>
                <w:sz w:val="24"/>
              </w:rPr>
              <w:t>酒精又称乙醇，无色液体，有酒香。熔点-114.1℃，沸点78.3℃，相对密度0.79</w:t>
            </w:r>
            <w:r>
              <w:rPr>
                <w:rFonts w:hint="eastAsia"/>
                <w:color w:val="auto"/>
                <w:sz w:val="24"/>
              </w:rPr>
              <w:t>（水的密度：1g/cm3）</w:t>
            </w:r>
            <w:r>
              <w:rPr>
                <w:color w:val="auto"/>
                <w:sz w:val="24"/>
              </w:rPr>
              <w:t>，相对蒸气密度1.59，饱和蒸气压5.33kPa（19℃），燃烧热1365.5kJ/mol，临界温度243.1℃，临界压力6.38MPa，闪点12℃，引燃温度363℃，与水混溶，可混溶于醚、氯仿、甘油等多数有机溶剂。爆炸上限：19.0%(V/V)、爆炸下限：3.3%(V/V)；LD50：7060mg/kg（兔经口）LC50：37620mg/m3·10h（大鼠吸入）。</w:t>
            </w:r>
          </w:p>
          <w:p>
            <w:pPr>
              <w:pStyle w:val="54"/>
              <w:numPr>
                <w:ilvl w:val="0"/>
                <w:numId w:val="4"/>
              </w:numPr>
              <w:spacing w:line="360" w:lineRule="auto"/>
              <w:jc w:val="both"/>
              <w:rPr>
                <w:rFonts w:ascii="Times New Roman"/>
                <w:color w:val="auto"/>
                <w:sz w:val="24"/>
              </w:rPr>
            </w:pPr>
            <w:r>
              <w:rPr>
                <w:rFonts w:ascii="Times New Roman"/>
                <w:color w:val="auto"/>
                <w:sz w:val="24"/>
              </w:rPr>
              <w:t>二甲苯</w:t>
            </w:r>
          </w:p>
          <w:p>
            <w:pPr>
              <w:spacing w:line="360" w:lineRule="auto"/>
              <w:ind w:firstLine="480" w:firstLineChars="200"/>
              <w:rPr>
                <w:color w:val="auto"/>
                <w:sz w:val="24"/>
              </w:rPr>
            </w:pPr>
            <w:r>
              <w:rPr>
                <w:color w:val="auto"/>
                <w:sz w:val="24"/>
              </w:rPr>
              <w:t>无色透明液体，有类似甲苯的气味。熔点-25.5℃，沸点144.4℃，相对密度0.88</w:t>
            </w:r>
            <w:r>
              <w:rPr>
                <w:rFonts w:hint="eastAsia"/>
              </w:rPr>
              <w:t>（水的密度：1g/cm3）</w:t>
            </w:r>
            <w:r>
              <w:rPr>
                <w:color w:val="auto"/>
                <w:sz w:val="24"/>
              </w:rPr>
              <w:t>，相对蒸气密度3.66，饱和蒸气压1.33kPa（32℃），燃烧热4563.3kJ/mol，临界温度357.2℃，临界压力3.7MPa，闪点30℃，引燃温度463℃，不溶于水，可混溶于乙醇、乙醚、氯仿等多数有机溶剂。爆炸上限：7.0%(V/V)、爆炸下限：1.0%(V/V)，毒性LD50：1364mg/kg（小鼠静脉）。</w:t>
            </w:r>
          </w:p>
          <w:p>
            <w:pPr>
              <w:pStyle w:val="54"/>
              <w:numPr>
                <w:ilvl w:val="0"/>
                <w:numId w:val="4"/>
              </w:numPr>
              <w:spacing w:line="360" w:lineRule="auto"/>
              <w:jc w:val="both"/>
              <w:rPr>
                <w:rFonts w:ascii="Times New Roman"/>
                <w:color w:val="auto"/>
                <w:sz w:val="24"/>
              </w:rPr>
            </w:pPr>
            <w:r>
              <w:rPr>
                <w:rFonts w:ascii="Times New Roman"/>
                <w:color w:val="auto"/>
                <w:sz w:val="24"/>
              </w:rPr>
              <w:t>EVA</w:t>
            </w:r>
          </w:p>
          <w:p>
            <w:pPr>
              <w:pStyle w:val="54"/>
              <w:spacing w:line="360" w:lineRule="auto"/>
              <w:ind w:firstLineChars="200"/>
              <w:jc w:val="both"/>
              <w:rPr>
                <w:rFonts w:ascii="Times New Roman"/>
                <w:color w:val="auto"/>
                <w:sz w:val="24"/>
              </w:rPr>
            </w:pPr>
            <w:r>
              <w:rPr>
                <w:rFonts w:ascii="Times New Roman"/>
                <w:color w:val="auto"/>
                <w:sz w:val="24"/>
              </w:rPr>
              <w:t>EVA是“</w:t>
            </w:r>
            <w:r>
              <w:rPr>
                <w:rFonts w:ascii="Times New Roman"/>
                <w:color w:val="auto"/>
                <w:sz w:val="24"/>
              </w:rPr>
              <w:fldChar w:fldCharType="begin"/>
            </w:r>
            <w:r>
              <w:rPr>
                <w:rFonts w:ascii="Times New Roman"/>
                <w:color w:val="auto"/>
                <w:sz w:val="24"/>
              </w:rPr>
              <w:instrText xml:space="preserve"> HYPERLINK "https://baike.baidu.com/item/%E4%B9%99%E7%83%AF-%E9%86%8B%E9%85%B8%E4%B9%99%E7%83%AF%E5%85%B1%E8%81%9A%E7%89%A9" \t "https://baike.baidu.com/item/eva/_blank" </w:instrText>
            </w:r>
            <w:r>
              <w:rPr>
                <w:rFonts w:ascii="Times New Roman"/>
                <w:color w:val="auto"/>
                <w:sz w:val="24"/>
              </w:rPr>
              <w:fldChar w:fldCharType="separate"/>
            </w:r>
            <w:r>
              <w:rPr>
                <w:rFonts w:ascii="Times New Roman"/>
                <w:color w:val="auto"/>
                <w:sz w:val="24"/>
              </w:rPr>
              <w:t>乙烯-醋酸乙烯共聚物</w:t>
            </w:r>
            <w:r>
              <w:rPr>
                <w:rFonts w:ascii="Times New Roman"/>
                <w:color w:val="auto"/>
                <w:sz w:val="24"/>
              </w:rPr>
              <w:fldChar w:fldCharType="end"/>
            </w:r>
            <w:r>
              <w:rPr>
                <w:rFonts w:ascii="Times New Roman"/>
                <w:color w:val="auto"/>
                <w:sz w:val="24"/>
              </w:rPr>
              <w:t>“及其制成的橡塑发泡材料，分子式(C</w:t>
            </w:r>
            <w:r>
              <w:rPr>
                <w:rFonts w:ascii="Times New Roman"/>
                <w:color w:val="auto"/>
                <w:sz w:val="24"/>
                <w:vertAlign w:val="subscript"/>
              </w:rPr>
              <w:t>2</w:t>
            </w:r>
            <w:r>
              <w:rPr>
                <w:rFonts w:ascii="Times New Roman"/>
                <w:color w:val="auto"/>
                <w:sz w:val="24"/>
              </w:rPr>
              <w:t>H</w:t>
            </w:r>
            <w:r>
              <w:rPr>
                <w:rFonts w:ascii="Times New Roman"/>
                <w:color w:val="auto"/>
                <w:sz w:val="24"/>
                <w:vertAlign w:val="subscript"/>
              </w:rPr>
              <w:t>4</w:t>
            </w:r>
            <w:r>
              <w:rPr>
                <w:rFonts w:ascii="Times New Roman"/>
                <w:color w:val="auto"/>
                <w:sz w:val="24"/>
              </w:rPr>
              <w:t>)x.(C</w:t>
            </w:r>
            <w:r>
              <w:rPr>
                <w:rFonts w:ascii="Times New Roman"/>
                <w:color w:val="auto"/>
                <w:sz w:val="24"/>
                <w:vertAlign w:val="subscript"/>
              </w:rPr>
              <w:t>4</w:t>
            </w:r>
            <w:r>
              <w:rPr>
                <w:rFonts w:ascii="Times New Roman"/>
                <w:color w:val="auto"/>
                <w:sz w:val="24"/>
              </w:rPr>
              <w:t>H</w:t>
            </w:r>
            <w:r>
              <w:rPr>
                <w:rFonts w:ascii="Times New Roman"/>
                <w:color w:val="auto"/>
                <w:sz w:val="24"/>
                <w:vertAlign w:val="subscript"/>
              </w:rPr>
              <w:t>6</w:t>
            </w:r>
            <w:r>
              <w:rPr>
                <w:rFonts w:ascii="Times New Roman"/>
                <w:color w:val="auto"/>
                <w:sz w:val="24"/>
              </w:rPr>
              <w:t>O</w:t>
            </w:r>
            <w:r>
              <w:rPr>
                <w:rFonts w:ascii="Times New Roman"/>
                <w:color w:val="auto"/>
                <w:sz w:val="24"/>
                <w:vertAlign w:val="subscript"/>
              </w:rPr>
              <w:t>2</w:t>
            </w:r>
            <w:r>
              <w:rPr>
                <w:rFonts w:ascii="Times New Roman"/>
                <w:color w:val="auto"/>
                <w:sz w:val="24"/>
              </w:rPr>
              <w:t>)y，用于制作冰箱导管、煤气管、土建板材、容器和日用品等。EVA橡塑制品是新型环保塑料发泡材料，具有良好的缓冲、抗震、隔热、防潮、抗化学腐蚀等优点，且无毒、不吸水。</w:t>
            </w:r>
          </w:p>
          <w:p>
            <w:pPr>
              <w:widowControl/>
              <w:adjustRightInd w:val="0"/>
              <w:snapToGrid w:val="0"/>
              <w:spacing w:line="360" w:lineRule="auto"/>
              <w:ind w:firstLine="482" w:firstLineChars="200"/>
              <w:rPr>
                <w:b/>
                <w:bCs/>
                <w:color w:val="auto"/>
                <w:sz w:val="24"/>
              </w:rPr>
            </w:pPr>
            <w:r>
              <w:rPr>
                <w:rFonts w:hint="eastAsia"/>
                <w:b/>
                <w:bCs/>
                <w:color w:val="auto"/>
                <w:sz w:val="24"/>
              </w:rPr>
              <w:t>（</w:t>
            </w:r>
            <w:r>
              <w:rPr>
                <w:rFonts w:hint="eastAsia"/>
                <w:b/>
                <w:bCs/>
                <w:color w:val="auto"/>
                <w:sz w:val="24"/>
                <w:lang w:eastAsia="zh-CN"/>
              </w:rPr>
              <w:t>五</w:t>
            </w:r>
            <w:r>
              <w:rPr>
                <w:rFonts w:hint="eastAsia"/>
                <w:b/>
                <w:bCs/>
                <w:color w:val="auto"/>
                <w:sz w:val="24"/>
              </w:rPr>
              <w:t>）主要生产设施</w:t>
            </w:r>
          </w:p>
          <w:p>
            <w:pPr>
              <w:pStyle w:val="50"/>
              <w:ind w:firstLine="420"/>
              <w:jc w:val="both"/>
              <w:rPr>
                <w:rFonts w:hint="eastAsia"/>
                <w:b w:val="0"/>
                <w:bCs w:val="0"/>
                <w:color w:val="auto"/>
              </w:rPr>
            </w:pPr>
            <w:r>
              <w:rPr>
                <w:rFonts w:hint="eastAsia"/>
                <w:b w:val="0"/>
                <w:bCs w:val="0"/>
                <w:color w:val="auto"/>
              </w:rPr>
              <w:t>本项目扩建后新增主要生产设施见下表。</w:t>
            </w:r>
          </w:p>
          <w:p>
            <w:pPr>
              <w:widowControl/>
              <w:numPr>
                <w:ilvl w:val="0"/>
                <w:numId w:val="2"/>
              </w:numPr>
              <w:jc w:val="center"/>
              <w:rPr>
                <w:rFonts w:hint="eastAsia"/>
                <w:b/>
                <w:color w:val="auto"/>
                <w:kern w:val="0"/>
                <w:szCs w:val="21"/>
              </w:rPr>
            </w:pPr>
            <w:r>
              <w:rPr>
                <w:b/>
                <w:color w:val="auto"/>
                <w:kern w:val="0"/>
                <w:szCs w:val="21"/>
              </w:rPr>
              <w:t>项目</w:t>
            </w:r>
            <w:r>
              <w:rPr>
                <w:rFonts w:hint="eastAsia"/>
                <w:b/>
                <w:color w:val="auto"/>
                <w:kern w:val="0"/>
                <w:szCs w:val="21"/>
              </w:rPr>
              <w:t>扩建新增主要生产设施</w:t>
            </w:r>
            <w:r>
              <w:rPr>
                <w:b/>
                <w:color w:val="auto"/>
                <w:kern w:val="0"/>
                <w:szCs w:val="21"/>
              </w:rPr>
              <w:t>一览表</w:t>
            </w:r>
          </w:p>
          <w:tbl>
            <w:tblPr>
              <w:tblStyle w:val="20"/>
              <w:tblW w:w="0" w:type="auto"/>
              <w:jc w:val="center"/>
              <w:tblLayout w:type="autofit"/>
              <w:tblCellMar>
                <w:top w:w="0" w:type="dxa"/>
                <w:left w:w="108" w:type="dxa"/>
                <w:bottom w:w="0" w:type="dxa"/>
                <w:right w:w="108" w:type="dxa"/>
              </w:tblCellMar>
            </w:tblPr>
            <w:tblGrid>
              <w:gridCol w:w="722"/>
              <w:gridCol w:w="1057"/>
              <w:gridCol w:w="2810"/>
              <w:gridCol w:w="1287"/>
              <w:gridCol w:w="2765"/>
            </w:tblGrid>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
                      <w:bCs/>
                      <w:color w:val="auto"/>
                      <w:szCs w:val="21"/>
                    </w:rPr>
                  </w:pPr>
                  <w:r>
                    <w:rPr>
                      <w:rFonts w:hint="eastAsia" w:ascii="宋体" w:hAnsi="宋体" w:cs="宋体"/>
                      <w:b/>
                      <w:bCs/>
                      <w:color w:val="auto"/>
                      <w:kern w:val="0"/>
                      <w:szCs w:val="21"/>
                      <w:lang w:bidi="ar"/>
                    </w:rPr>
                    <w:t>序号</w:t>
                  </w:r>
                </w:p>
              </w:tc>
              <w:tc>
                <w:tcPr>
                  <w:tcW w:w="105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
                      <w:bCs/>
                      <w:color w:val="auto"/>
                      <w:szCs w:val="21"/>
                    </w:rPr>
                  </w:pPr>
                  <w:r>
                    <w:rPr>
                      <w:rFonts w:hint="eastAsia" w:ascii="宋体" w:hAnsi="宋体" w:cs="宋体"/>
                      <w:b/>
                      <w:bCs/>
                      <w:color w:val="auto"/>
                      <w:kern w:val="0"/>
                      <w:szCs w:val="21"/>
                      <w:lang w:bidi="ar"/>
                    </w:rPr>
                    <w:t>类别</w:t>
                  </w:r>
                </w:p>
              </w:tc>
              <w:tc>
                <w:tcPr>
                  <w:tcW w:w="281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
                      <w:bCs/>
                      <w:color w:val="auto"/>
                      <w:szCs w:val="21"/>
                    </w:rPr>
                  </w:pPr>
                  <w:r>
                    <w:rPr>
                      <w:rFonts w:hint="eastAsia" w:ascii="宋体" w:hAnsi="宋体" w:cs="宋体"/>
                      <w:b/>
                      <w:bCs/>
                      <w:color w:val="auto"/>
                      <w:kern w:val="0"/>
                      <w:szCs w:val="21"/>
                      <w:lang w:bidi="ar"/>
                    </w:rPr>
                    <w:t>设备名称</w:t>
                  </w:r>
                </w:p>
              </w:tc>
              <w:tc>
                <w:tcPr>
                  <w:tcW w:w="1287"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eastAsia="宋体"/>
                      <w:b/>
                      <w:bCs/>
                      <w:color w:val="auto"/>
                      <w:szCs w:val="21"/>
                      <w:lang w:eastAsia="zh-CN"/>
                    </w:rPr>
                  </w:pPr>
                  <w:r>
                    <w:rPr>
                      <w:rFonts w:hint="eastAsia" w:ascii="宋体" w:hAnsi="宋体" w:cs="宋体"/>
                      <w:b/>
                      <w:bCs/>
                      <w:color w:val="auto"/>
                      <w:kern w:val="0"/>
                      <w:szCs w:val="21"/>
                      <w:lang w:bidi="ar"/>
                    </w:rPr>
                    <w:t>数量</w:t>
                  </w:r>
                  <w:r>
                    <w:rPr>
                      <w:rFonts w:hint="eastAsia" w:ascii="宋体" w:hAnsi="宋体" w:cs="宋体"/>
                      <w:b/>
                      <w:bCs/>
                      <w:color w:val="auto"/>
                      <w:kern w:val="0"/>
                      <w:szCs w:val="21"/>
                      <w:lang w:eastAsia="zh-CN" w:bidi="ar"/>
                    </w:rPr>
                    <w:t>（台）</w:t>
                  </w:r>
                </w:p>
              </w:tc>
              <w:tc>
                <w:tcPr>
                  <w:tcW w:w="2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b/>
                      <w:bCs/>
                      <w:color w:val="auto"/>
                      <w:szCs w:val="21"/>
                    </w:rPr>
                  </w:pPr>
                  <w:r>
                    <w:rPr>
                      <w:rFonts w:hint="eastAsia" w:ascii="宋体" w:hAnsi="宋体" w:cs="宋体"/>
                      <w:b/>
                      <w:bCs/>
                      <w:color w:val="auto"/>
                      <w:kern w:val="0"/>
                      <w:szCs w:val="21"/>
                      <w:lang w:bidi="ar"/>
                    </w:rPr>
                    <w:t>主要功能</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w:t>
                  </w:r>
                </w:p>
              </w:tc>
              <w:tc>
                <w:tcPr>
                  <w:tcW w:w="105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主体工程</w:t>
                  </w: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裁切机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12</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自动裁切铺</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划焊一体机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20</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自动划焊</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3</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塞膜机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16</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自动划焊</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排版机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16</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自动排版</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5</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汇流条焊接机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自动划焊</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6</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EL</w:t>
                  </w:r>
                  <w:r>
                    <w:rPr>
                      <w:rFonts w:hint="eastAsia" w:ascii="宋体" w:hAnsi="宋体" w:cs="宋体"/>
                      <w:color w:val="auto"/>
                      <w:kern w:val="0"/>
                      <w:szCs w:val="21"/>
                      <w:lang w:bidi="ar"/>
                    </w:rPr>
                    <w:t>测试仪</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13</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EL</w:t>
                  </w: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7</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电加热层压机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8</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层压</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8</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接线盒自动安装</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9</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高效边框涂胶机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8</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10</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接线盒打胶机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8</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11</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接线盒焊接机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12</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自动灌胶机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13</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自动盖盒盖</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装框、接线盒安装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14</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IV</w:t>
                  </w:r>
                  <w:r>
                    <w:rPr>
                      <w:rFonts w:hint="eastAsia" w:ascii="宋体" w:hAnsi="宋体" w:cs="宋体"/>
                      <w:color w:val="auto"/>
                      <w:kern w:val="0"/>
                      <w:szCs w:val="21"/>
                      <w:lang w:bidi="ar"/>
                    </w:rPr>
                    <w:t>测试仪</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5</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15</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自动贴条码</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自动贴标</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16</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自动贴标机</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5</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自动贴标</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17</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自动分档</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18</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层前</w:t>
                  </w:r>
                  <w:r>
                    <w:rPr>
                      <w:rStyle w:val="40"/>
                      <w:color w:val="auto"/>
                      <w:sz w:val="21"/>
                      <w:szCs w:val="21"/>
                      <w:lang w:bidi="ar"/>
                    </w:rPr>
                    <w:t>EL/</w:t>
                  </w:r>
                  <w:r>
                    <w:rPr>
                      <w:rFonts w:hint="eastAsia" w:ascii="宋体" w:hAnsi="宋体" w:cs="宋体"/>
                      <w:color w:val="auto"/>
                      <w:kern w:val="0"/>
                      <w:szCs w:val="21"/>
                      <w:lang w:bidi="ar"/>
                    </w:rPr>
                    <w:t>外观</w:t>
                  </w:r>
                  <w:r>
                    <w:rPr>
                      <w:rStyle w:val="40"/>
                      <w:color w:val="auto"/>
                      <w:sz w:val="21"/>
                      <w:szCs w:val="21"/>
                      <w:lang w:bidi="ar"/>
                    </w:rPr>
                    <w:t>AI</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19</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层后</w:t>
                  </w:r>
                  <w:r>
                    <w:rPr>
                      <w:rStyle w:val="40"/>
                      <w:color w:val="auto"/>
                      <w:sz w:val="21"/>
                      <w:szCs w:val="21"/>
                      <w:lang w:bidi="ar"/>
                    </w:rPr>
                    <w:t>EL/</w:t>
                  </w:r>
                  <w:r>
                    <w:rPr>
                      <w:rFonts w:hint="eastAsia" w:ascii="宋体" w:hAnsi="宋体" w:cs="宋体"/>
                      <w:color w:val="auto"/>
                      <w:kern w:val="0"/>
                      <w:szCs w:val="21"/>
                      <w:lang w:bidi="ar"/>
                    </w:rPr>
                    <w:t>外观</w:t>
                  </w:r>
                  <w:r>
                    <w:rPr>
                      <w:rStyle w:val="40"/>
                      <w:color w:val="auto"/>
                      <w:sz w:val="21"/>
                      <w:szCs w:val="21"/>
                      <w:lang w:bidi="ar"/>
                    </w:rPr>
                    <w:t>AI</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20</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背面外观</w:t>
                  </w:r>
                  <w:r>
                    <w:rPr>
                      <w:rStyle w:val="40"/>
                      <w:color w:val="auto"/>
                      <w:sz w:val="21"/>
                      <w:szCs w:val="21"/>
                      <w:lang w:bidi="ar"/>
                    </w:rPr>
                    <w:t>AI</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21</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离线</w:t>
                  </w:r>
                  <w:r>
                    <w:rPr>
                      <w:rStyle w:val="40"/>
                      <w:color w:val="auto"/>
                      <w:sz w:val="21"/>
                      <w:szCs w:val="21"/>
                      <w:lang w:bidi="ar"/>
                    </w:rPr>
                    <w:t>EL&amp;</w:t>
                  </w:r>
                  <w:r>
                    <w:rPr>
                      <w:rFonts w:hint="eastAsia" w:ascii="宋体" w:hAnsi="宋体" w:cs="宋体"/>
                      <w:color w:val="auto"/>
                      <w:kern w:val="0"/>
                      <w:szCs w:val="21"/>
                      <w:lang w:bidi="ar"/>
                    </w:rPr>
                    <w:t>外观</w:t>
                  </w:r>
                  <w:r>
                    <w:rPr>
                      <w:rStyle w:val="40"/>
                      <w:color w:val="auto"/>
                      <w:sz w:val="21"/>
                      <w:szCs w:val="21"/>
                      <w:lang w:bidi="ar"/>
                    </w:rPr>
                    <w:t>AI</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22</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削边后线扫</w:t>
                  </w:r>
                  <w:r>
                    <w:rPr>
                      <w:rStyle w:val="40"/>
                      <w:color w:val="auto"/>
                      <w:sz w:val="21"/>
                      <w:szCs w:val="21"/>
                      <w:lang w:bidi="ar"/>
                    </w:rPr>
                    <w:t>AI</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测试</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23</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自动包装线</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1</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包装</w:t>
                  </w:r>
                </w:p>
              </w:tc>
            </w:tr>
            <w:tr>
              <w:tblPrEx>
                <w:tblCellMar>
                  <w:top w:w="0" w:type="dxa"/>
                  <w:left w:w="108" w:type="dxa"/>
                  <w:bottom w:w="0" w:type="dxa"/>
                  <w:right w:w="108" w:type="dxa"/>
                </w:tblCellMar>
              </w:tblPrEx>
              <w:trPr>
                <w:trHeight w:val="288" w:hRule="atLeast"/>
                <w:jc w:val="center"/>
              </w:trPr>
              <w:tc>
                <w:tcPr>
                  <w:tcW w:w="722"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24</w:t>
                  </w:r>
                </w:p>
              </w:tc>
              <w:tc>
                <w:tcPr>
                  <w:tcW w:w="105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color w:val="auto"/>
                      <w:szCs w:val="21"/>
                    </w:rPr>
                  </w:pPr>
                </w:p>
              </w:tc>
              <w:tc>
                <w:tcPr>
                  <w:tcW w:w="2810"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自动传输线</w:t>
                  </w:r>
                </w:p>
              </w:tc>
              <w:tc>
                <w:tcPr>
                  <w:tcW w:w="128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color w:val="auto"/>
                      <w:kern w:val="0"/>
                      <w:szCs w:val="21"/>
                      <w:lang w:bidi="ar"/>
                    </w:rPr>
                    <w:t>4</w:t>
                  </w:r>
                </w:p>
              </w:tc>
              <w:tc>
                <w:tcPr>
                  <w:tcW w:w="2765"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color w:val="auto"/>
                      <w:szCs w:val="21"/>
                    </w:rPr>
                  </w:pPr>
                  <w:r>
                    <w:rPr>
                      <w:rFonts w:hint="eastAsia" w:ascii="宋体" w:hAnsi="宋体" w:cs="宋体"/>
                      <w:color w:val="auto"/>
                      <w:kern w:val="0"/>
                      <w:szCs w:val="21"/>
                      <w:lang w:bidi="ar"/>
                    </w:rPr>
                    <w:t>公用</w:t>
                  </w:r>
                </w:p>
              </w:tc>
            </w:tr>
          </w:tbl>
          <w:p>
            <w:pPr>
              <w:widowControl/>
              <w:adjustRightInd w:val="0"/>
              <w:snapToGrid w:val="0"/>
              <w:spacing w:line="360" w:lineRule="auto"/>
              <w:ind w:firstLine="201" w:firstLineChars="200"/>
              <w:rPr>
                <w:rFonts w:hint="eastAsia"/>
                <w:b/>
                <w:bCs/>
                <w:color w:val="auto"/>
                <w:sz w:val="10"/>
                <w:szCs w:val="10"/>
              </w:rPr>
            </w:pPr>
          </w:p>
          <w:p>
            <w:pPr>
              <w:widowControl/>
              <w:numPr>
                <w:ilvl w:val="0"/>
                <w:numId w:val="0"/>
              </w:numPr>
              <w:adjustRightInd w:val="0"/>
              <w:snapToGrid w:val="0"/>
              <w:spacing w:line="360" w:lineRule="auto"/>
              <w:ind w:firstLine="482" w:firstLineChars="200"/>
              <w:rPr>
                <w:rFonts w:hint="eastAsia"/>
                <w:b/>
                <w:bCs/>
                <w:color w:val="auto"/>
                <w:sz w:val="24"/>
              </w:rPr>
            </w:pPr>
            <w:r>
              <w:rPr>
                <w:rFonts w:hint="eastAsia"/>
                <w:b/>
                <w:bCs/>
                <w:color w:val="auto"/>
                <w:sz w:val="24"/>
                <w:lang w:eastAsia="zh-CN"/>
              </w:rPr>
              <w:t>（六）</w:t>
            </w:r>
            <w:r>
              <w:rPr>
                <w:rFonts w:hint="eastAsia"/>
                <w:b/>
                <w:bCs/>
                <w:color w:val="auto"/>
                <w:sz w:val="24"/>
              </w:rPr>
              <w:t>水平衡分析</w:t>
            </w:r>
          </w:p>
          <w:p>
            <w:pPr>
              <w:spacing w:line="360" w:lineRule="auto"/>
              <w:ind w:firstLine="480" w:firstLineChars="200"/>
              <w:rPr>
                <w:color w:val="auto"/>
              </w:rPr>
            </w:pPr>
            <w:r>
              <w:rPr>
                <w:color w:val="auto"/>
                <w:sz w:val="24"/>
              </w:rPr>
              <w:t>本项目</w:t>
            </w:r>
            <w:r>
              <w:rPr>
                <w:rFonts w:hint="eastAsia"/>
                <w:color w:val="auto"/>
                <w:sz w:val="24"/>
              </w:rPr>
              <w:t>用水</w:t>
            </w:r>
            <w:r>
              <w:rPr>
                <w:color w:val="auto"/>
                <w:sz w:val="24"/>
              </w:rPr>
              <w:t>主要有</w:t>
            </w:r>
            <w:r>
              <w:rPr>
                <w:rFonts w:hint="eastAsia"/>
                <w:color w:val="auto"/>
                <w:sz w:val="24"/>
              </w:rPr>
              <w:t>生活用水、保洁用水、循环却系统用水，废水主要有</w:t>
            </w:r>
            <w:r>
              <w:rPr>
                <w:color w:val="auto"/>
                <w:sz w:val="24"/>
              </w:rPr>
              <w:t>生活污水、保洁废水、冷却系统排水、</w:t>
            </w:r>
            <w:r>
              <w:rPr>
                <w:rFonts w:hint="eastAsia"/>
                <w:color w:val="auto"/>
                <w:sz w:val="24"/>
              </w:rPr>
              <w:t>蒸汽冷凝水</w:t>
            </w:r>
            <w:r>
              <w:rPr>
                <w:color w:val="auto"/>
                <w:sz w:val="24"/>
              </w:rPr>
              <w:t>等</w:t>
            </w:r>
            <w:r>
              <w:rPr>
                <w:bCs/>
                <w:color w:val="auto"/>
                <w:sz w:val="24"/>
              </w:rPr>
              <w:t>，</w:t>
            </w:r>
            <w:r>
              <w:rPr>
                <w:rFonts w:hint="eastAsia"/>
                <w:bCs/>
                <w:color w:val="auto"/>
                <w:sz w:val="24"/>
              </w:rPr>
              <w:t>本项目用</w:t>
            </w:r>
            <w:r>
              <w:rPr>
                <w:rFonts w:hint="eastAsia"/>
                <w:bCs/>
                <w:color w:val="auto"/>
                <w:sz w:val="24"/>
                <w:lang w:eastAsia="zh-CN"/>
              </w:rPr>
              <w:t>、</w:t>
            </w:r>
            <w:r>
              <w:rPr>
                <w:rFonts w:hint="eastAsia"/>
                <w:bCs/>
                <w:color w:val="auto"/>
                <w:sz w:val="24"/>
              </w:rPr>
              <w:t>排水</w:t>
            </w:r>
            <w:r>
              <w:rPr>
                <w:bCs/>
                <w:color w:val="auto"/>
                <w:sz w:val="24"/>
              </w:rPr>
              <w:t>情况如下。</w:t>
            </w:r>
          </w:p>
          <w:p>
            <w:pPr>
              <w:spacing w:line="360" w:lineRule="auto"/>
              <w:ind w:firstLine="480" w:firstLineChars="200"/>
              <w:rPr>
                <w:color w:val="auto"/>
              </w:rPr>
            </w:pPr>
            <w:r>
              <w:rPr>
                <w:color w:val="auto"/>
                <w:kern w:val="0"/>
                <w:sz w:val="24"/>
                <w:lang w:bidi="ar"/>
              </w:rPr>
              <w:t>①生活污水：</w:t>
            </w:r>
            <w:r>
              <w:rPr>
                <w:color w:val="auto"/>
                <w:sz w:val="24"/>
              </w:rPr>
              <w:t>本项目新增劳动定员</w:t>
            </w:r>
            <w:r>
              <w:rPr>
                <w:rFonts w:hint="eastAsia"/>
                <w:color w:val="auto"/>
                <w:sz w:val="24"/>
              </w:rPr>
              <w:t>36</w:t>
            </w:r>
            <w:r>
              <w:rPr>
                <w:rFonts w:hint="eastAsia"/>
                <w:color w:val="auto"/>
                <w:sz w:val="24"/>
                <w:lang w:val="en-US" w:eastAsia="zh-CN"/>
              </w:rPr>
              <w:t>4</w:t>
            </w:r>
            <w:r>
              <w:rPr>
                <w:color w:val="auto"/>
                <w:sz w:val="24"/>
              </w:rPr>
              <w:t>人</w:t>
            </w:r>
            <w:r>
              <w:rPr>
                <w:rFonts w:hint="eastAsia"/>
                <w:color w:val="auto"/>
                <w:sz w:val="24"/>
              </w:rPr>
              <w:t>，</w:t>
            </w:r>
            <w:r>
              <w:rPr>
                <w:rFonts w:hint="eastAsia"/>
                <w:color w:val="auto"/>
                <w:sz w:val="24"/>
                <w:szCs w:val="21"/>
              </w:rPr>
              <w:t>根据《安徽省行业用水定额》（DB34/T679-2019），办公生活用水以60L/（人·d）计，</w:t>
            </w:r>
            <w:r>
              <w:rPr>
                <w:bCs/>
                <w:color w:val="auto"/>
                <w:sz w:val="24"/>
              </w:rPr>
              <w:t>项目最大年工作日</w:t>
            </w:r>
            <w:r>
              <w:rPr>
                <w:rFonts w:hint="eastAsia"/>
                <w:bCs/>
                <w:color w:val="auto"/>
                <w:sz w:val="24"/>
              </w:rPr>
              <w:t>为</w:t>
            </w:r>
            <w:r>
              <w:rPr>
                <w:bCs/>
                <w:color w:val="auto"/>
                <w:sz w:val="24"/>
              </w:rPr>
              <w:t>350d，</w:t>
            </w:r>
            <w:r>
              <w:rPr>
                <w:rFonts w:hint="eastAsia"/>
                <w:bCs/>
                <w:color w:val="auto"/>
                <w:sz w:val="24"/>
              </w:rPr>
              <w:t>则</w:t>
            </w:r>
            <w:r>
              <w:rPr>
                <w:bCs/>
                <w:color w:val="auto"/>
                <w:sz w:val="24"/>
              </w:rPr>
              <w:t>生活用水量为</w:t>
            </w:r>
            <w:r>
              <w:rPr>
                <w:rFonts w:hint="eastAsia"/>
                <w:bCs/>
                <w:color w:val="auto"/>
                <w:sz w:val="24"/>
              </w:rPr>
              <w:t>21.</w:t>
            </w:r>
            <w:r>
              <w:rPr>
                <w:rFonts w:hint="eastAsia"/>
                <w:bCs/>
                <w:color w:val="auto"/>
                <w:sz w:val="24"/>
                <w:lang w:val="en-US" w:eastAsia="zh-CN"/>
              </w:rPr>
              <w:t>84</w:t>
            </w:r>
            <w:r>
              <w:rPr>
                <w:color w:val="auto"/>
                <w:sz w:val="24"/>
              </w:rPr>
              <w:t>m</w:t>
            </w:r>
            <w:r>
              <w:rPr>
                <w:color w:val="auto"/>
                <w:sz w:val="24"/>
                <w:vertAlign w:val="superscript"/>
              </w:rPr>
              <w:t>3</w:t>
            </w:r>
            <w:r>
              <w:rPr>
                <w:color w:val="auto"/>
                <w:sz w:val="24"/>
              </w:rPr>
              <w:t>/d</w:t>
            </w:r>
            <w:r>
              <w:rPr>
                <w:rFonts w:hint="eastAsia"/>
                <w:color w:val="auto"/>
                <w:sz w:val="24"/>
              </w:rPr>
              <w:t>（76</w:t>
            </w:r>
            <w:r>
              <w:rPr>
                <w:rFonts w:hint="eastAsia"/>
                <w:color w:val="auto"/>
                <w:sz w:val="24"/>
                <w:lang w:val="en-US" w:eastAsia="zh-CN"/>
              </w:rPr>
              <w:t>44</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，排污系数以0.8计，生活污水产生量为</w:t>
            </w:r>
            <w:r>
              <w:rPr>
                <w:rFonts w:hint="eastAsia"/>
                <w:color w:val="auto"/>
                <w:sz w:val="24"/>
              </w:rPr>
              <w:t>17.</w:t>
            </w:r>
            <w:r>
              <w:rPr>
                <w:rFonts w:hint="eastAsia"/>
                <w:color w:val="auto"/>
                <w:sz w:val="24"/>
                <w:lang w:val="en-US" w:eastAsia="zh-CN"/>
              </w:rPr>
              <w:t>472</w:t>
            </w:r>
            <w:r>
              <w:rPr>
                <w:color w:val="auto"/>
                <w:sz w:val="24"/>
              </w:rPr>
              <w:t>m</w:t>
            </w:r>
            <w:r>
              <w:rPr>
                <w:color w:val="auto"/>
                <w:sz w:val="24"/>
                <w:vertAlign w:val="superscript"/>
              </w:rPr>
              <w:t>3</w:t>
            </w:r>
            <w:r>
              <w:rPr>
                <w:color w:val="auto"/>
                <w:sz w:val="24"/>
              </w:rPr>
              <w:t>/d</w:t>
            </w:r>
            <w:r>
              <w:rPr>
                <w:rFonts w:hint="eastAsia"/>
                <w:color w:val="auto"/>
                <w:sz w:val="24"/>
              </w:rPr>
              <w:t>（61</w:t>
            </w:r>
            <w:r>
              <w:rPr>
                <w:rFonts w:hint="eastAsia"/>
                <w:color w:val="auto"/>
                <w:sz w:val="24"/>
                <w:lang w:val="en-US" w:eastAsia="zh-CN"/>
              </w:rPr>
              <w:t>15.2</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经化粪池预处理后排入污水处理站处理。</w:t>
            </w:r>
          </w:p>
          <w:p>
            <w:pPr>
              <w:spacing w:line="360" w:lineRule="auto"/>
              <w:ind w:firstLine="480" w:firstLineChars="200"/>
              <w:rPr>
                <w:rFonts w:hint="eastAsia"/>
                <w:color w:val="auto"/>
              </w:rPr>
            </w:pPr>
            <w:r>
              <w:rPr>
                <w:color w:val="auto"/>
                <w:kern w:val="0"/>
                <w:sz w:val="24"/>
                <w:lang w:bidi="ar"/>
              </w:rPr>
              <w:t>②保洁废水：</w:t>
            </w:r>
            <w:r>
              <w:rPr>
                <w:rFonts w:hint="eastAsia"/>
                <w:color w:val="auto"/>
                <w:kern w:val="0"/>
                <w:sz w:val="24"/>
                <w:lang w:bidi="ar"/>
              </w:rPr>
              <w:t>本项目</w:t>
            </w:r>
            <w:r>
              <w:rPr>
                <w:rFonts w:hint="eastAsia"/>
                <w:color w:val="auto"/>
                <w:sz w:val="24"/>
              </w:rPr>
              <w:t>保洁面积按</w:t>
            </w:r>
            <w:r>
              <w:rPr>
                <w:rFonts w:hint="eastAsia"/>
                <w:color w:val="auto"/>
                <w:sz w:val="24"/>
                <w:lang w:val="en-US" w:eastAsia="zh-CN"/>
              </w:rPr>
              <w:t>18114</w:t>
            </w:r>
            <w:r>
              <w:rPr>
                <w:rFonts w:hint="eastAsia"/>
                <w:color w:val="auto"/>
                <w:sz w:val="24"/>
              </w:rPr>
              <w:t>m</w:t>
            </w:r>
            <w:r>
              <w:rPr>
                <w:rFonts w:hint="eastAsia"/>
                <w:color w:val="auto"/>
                <w:sz w:val="24"/>
                <w:vertAlign w:val="superscript"/>
              </w:rPr>
              <w:t>2</w:t>
            </w:r>
            <w:r>
              <w:rPr>
                <w:rFonts w:hint="eastAsia"/>
                <w:color w:val="auto"/>
                <w:sz w:val="24"/>
              </w:rPr>
              <w:t>（不包含厂房预留区域）计，保洁方式采用拖洗，用水定额以0.5L/（d•m</w:t>
            </w:r>
            <w:r>
              <w:rPr>
                <w:rFonts w:hint="eastAsia"/>
                <w:color w:val="auto"/>
                <w:sz w:val="24"/>
                <w:vertAlign w:val="superscript"/>
              </w:rPr>
              <w:t>2</w:t>
            </w:r>
            <w:r>
              <w:rPr>
                <w:rFonts w:hint="eastAsia"/>
                <w:color w:val="auto"/>
                <w:sz w:val="24"/>
              </w:rPr>
              <w:t>）计，则保洁用水量为</w:t>
            </w:r>
            <w:r>
              <w:rPr>
                <w:rFonts w:hint="eastAsia"/>
                <w:color w:val="auto"/>
                <w:sz w:val="24"/>
                <w:lang w:val="en-US" w:eastAsia="zh-CN"/>
              </w:rPr>
              <w:t>9.057</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3169.95</w:t>
            </w:r>
            <w:r>
              <w:rPr>
                <w:rFonts w:hint="eastAsia"/>
                <w:color w:val="auto"/>
                <w:sz w:val="24"/>
              </w:rPr>
              <w:t>m</w:t>
            </w:r>
            <w:r>
              <w:rPr>
                <w:rFonts w:hint="eastAsia"/>
                <w:color w:val="auto"/>
                <w:sz w:val="24"/>
                <w:vertAlign w:val="superscript"/>
              </w:rPr>
              <w:t>3</w:t>
            </w:r>
            <w:r>
              <w:rPr>
                <w:rFonts w:hint="eastAsia"/>
                <w:color w:val="auto"/>
                <w:sz w:val="24"/>
              </w:rPr>
              <w:t>/a）</w:t>
            </w:r>
            <w:r>
              <w:rPr>
                <w:rFonts w:hint="eastAsia"/>
                <w:color w:val="auto"/>
                <w:sz w:val="24"/>
                <w:lang w:eastAsia="zh-CN"/>
              </w:rPr>
              <w:t>；</w:t>
            </w:r>
            <w:r>
              <w:rPr>
                <w:rFonts w:hint="eastAsia"/>
                <w:color w:val="auto"/>
                <w:sz w:val="24"/>
              </w:rPr>
              <w:t>保洁废水产污系数以0.8计，则保洁废水产生量为</w:t>
            </w:r>
            <w:r>
              <w:rPr>
                <w:rFonts w:hint="eastAsia"/>
                <w:color w:val="auto"/>
                <w:sz w:val="24"/>
                <w:lang w:val="en-US" w:eastAsia="zh-CN"/>
              </w:rPr>
              <w:t>7.246</w:t>
            </w:r>
            <w:r>
              <w:rPr>
                <w:rFonts w:hint="eastAsia"/>
                <w:color w:val="auto"/>
                <w:sz w:val="24"/>
              </w:rPr>
              <w:t>m</w:t>
            </w:r>
            <w:r>
              <w:rPr>
                <w:rFonts w:hint="eastAsia"/>
                <w:color w:val="auto"/>
                <w:sz w:val="24"/>
                <w:vertAlign w:val="superscript"/>
              </w:rPr>
              <w:t>3</w:t>
            </w:r>
            <w:r>
              <w:rPr>
                <w:rFonts w:hint="eastAsia"/>
                <w:color w:val="auto"/>
                <w:sz w:val="24"/>
              </w:rPr>
              <w:t>/d（</w:t>
            </w:r>
            <w:r>
              <w:rPr>
                <w:rFonts w:hint="eastAsia"/>
                <w:color w:val="auto"/>
                <w:sz w:val="24"/>
                <w:lang w:val="en-US" w:eastAsia="zh-CN"/>
              </w:rPr>
              <w:t>2535.96</w:t>
            </w:r>
            <w:r>
              <w:rPr>
                <w:rFonts w:hint="eastAsia"/>
                <w:color w:val="auto"/>
                <w:sz w:val="24"/>
              </w:rPr>
              <w:t>m</w:t>
            </w:r>
            <w:r>
              <w:rPr>
                <w:rFonts w:hint="eastAsia"/>
                <w:color w:val="auto"/>
                <w:sz w:val="24"/>
                <w:vertAlign w:val="superscript"/>
              </w:rPr>
              <w:t>3</w:t>
            </w:r>
            <w:r>
              <w:rPr>
                <w:rFonts w:hint="eastAsia"/>
                <w:color w:val="auto"/>
                <w:sz w:val="24"/>
              </w:rPr>
              <w:t>/a），</w:t>
            </w:r>
            <w:r>
              <w:rPr>
                <w:color w:val="auto"/>
                <w:sz w:val="24"/>
              </w:rPr>
              <w:t>排入污水处理站处理。</w:t>
            </w:r>
          </w:p>
          <w:p>
            <w:pPr>
              <w:widowControl/>
              <w:spacing w:line="360" w:lineRule="auto"/>
              <w:ind w:firstLine="480" w:firstLineChars="200"/>
              <w:rPr>
                <w:rFonts w:hint="eastAsia"/>
                <w:color w:val="auto"/>
                <w:kern w:val="0"/>
                <w:sz w:val="24"/>
                <w:lang w:bidi="ar"/>
              </w:rPr>
            </w:pPr>
            <w:r>
              <w:rPr>
                <w:rFonts w:hint="eastAsia"/>
                <w:color w:val="auto"/>
                <w:kern w:val="0"/>
                <w:sz w:val="24"/>
                <w:lang w:bidi="ar"/>
              </w:rPr>
              <w:t>③</w:t>
            </w:r>
            <w:r>
              <w:rPr>
                <w:color w:val="auto"/>
                <w:kern w:val="0"/>
                <w:sz w:val="24"/>
                <w:highlight w:val="none"/>
                <w:lang w:bidi="ar"/>
              </w:rPr>
              <w:t>冷却系统排水</w:t>
            </w:r>
            <w:r>
              <w:rPr>
                <w:color w:val="auto"/>
                <w:kern w:val="0"/>
                <w:sz w:val="24"/>
                <w:lang w:bidi="ar"/>
              </w:rPr>
              <w:t>：</w:t>
            </w:r>
            <w:r>
              <w:rPr>
                <w:rFonts w:hint="eastAsia"/>
                <w:color w:val="auto"/>
                <w:kern w:val="0"/>
                <w:sz w:val="24"/>
                <w:lang w:bidi="ar"/>
              </w:rPr>
              <w:t>本项目循环冷却水系统用水量为</w:t>
            </w:r>
            <w:r>
              <w:rPr>
                <w:rFonts w:hint="eastAsia"/>
                <w:color w:val="auto"/>
                <w:sz w:val="24"/>
                <w:highlight w:val="none"/>
                <w:lang w:val="en-US" w:eastAsia="zh-CN"/>
              </w:rPr>
              <w:t>305</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106750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kern w:val="0"/>
                <w:sz w:val="24"/>
                <w:lang w:bidi="ar"/>
              </w:rPr>
              <w:t>，</w:t>
            </w:r>
            <w:r>
              <w:rPr>
                <w:color w:val="auto"/>
                <w:kern w:val="0"/>
                <w:sz w:val="24"/>
                <w:lang w:bidi="ar"/>
              </w:rPr>
              <w:t>采用</w:t>
            </w:r>
            <w:r>
              <w:rPr>
                <w:rFonts w:hint="eastAsia"/>
                <w:color w:val="auto"/>
                <w:kern w:val="0"/>
                <w:sz w:val="24"/>
                <w:lang w:bidi="ar"/>
              </w:rPr>
              <w:t>自来水</w:t>
            </w:r>
            <w:r>
              <w:rPr>
                <w:color w:val="auto"/>
                <w:kern w:val="0"/>
                <w:sz w:val="24"/>
                <w:lang w:bidi="ar"/>
              </w:rPr>
              <w:t>补水，循环使用</w:t>
            </w:r>
            <w:r>
              <w:rPr>
                <w:rFonts w:hint="eastAsia"/>
                <w:color w:val="auto"/>
                <w:kern w:val="0"/>
                <w:sz w:val="24"/>
                <w:lang w:bidi="ar"/>
              </w:rPr>
              <w:t>、</w:t>
            </w:r>
            <w:r>
              <w:rPr>
                <w:color w:val="auto"/>
                <w:kern w:val="0"/>
                <w:sz w:val="24"/>
                <w:lang w:bidi="ar"/>
              </w:rPr>
              <w:t>定期排水，</w:t>
            </w:r>
            <w:r>
              <w:rPr>
                <w:rFonts w:hint="eastAsia"/>
                <w:color w:val="auto"/>
                <w:kern w:val="0"/>
                <w:sz w:val="24"/>
                <w:lang w:bidi="ar"/>
              </w:rPr>
              <w:t>排水量为</w:t>
            </w:r>
            <w:r>
              <w:rPr>
                <w:rFonts w:hint="eastAsia"/>
                <w:color w:val="auto"/>
                <w:sz w:val="24"/>
                <w:highlight w:val="none"/>
                <w:lang w:val="en-US" w:eastAsia="zh-CN"/>
              </w:rPr>
              <w:t>76</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/d（</w:t>
            </w:r>
            <w:r>
              <w:rPr>
                <w:rFonts w:hint="eastAsia"/>
                <w:color w:val="auto"/>
                <w:sz w:val="24"/>
                <w:highlight w:val="none"/>
                <w:lang w:val="en-US" w:eastAsia="zh-CN"/>
              </w:rPr>
              <w:t>26600</w:t>
            </w:r>
            <w:r>
              <w:rPr>
                <w:rFonts w:hint="eastAsia"/>
                <w:color w:val="auto"/>
                <w:sz w:val="24"/>
                <w:highlight w:val="none"/>
              </w:rPr>
              <w:t>m</w:t>
            </w:r>
            <w:r>
              <w:rPr>
                <w:rFonts w:hint="eastAsia"/>
                <w:color w:val="auto"/>
                <w:sz w:val="24"/>
                <w:highlight w:val="none"/>
                <w:vertAlign w:val="superscript"/>
              </w:rPr>
              <w:t>3</w:t>
            </w:r>
            <w:r>
              <w:rPr>
                <w:rFonts w:hint="eastAsia"/>
                <w:color w:val="auto"/>
                <w:sz w:val="24"/>
                <w:highlight w:val="none"/>
              </w:rPr>
              <w:t>/a）</w:t>
            </w:r>
            <w:r>
              <w:rPr>
                <w:rFonts w:hint="eastAsia"/>
                <w:color w:val="auto"/>
                <w:kern w:val="0"/>
                <w:sz w:val="24"/>
                <w:lang w:bidi="ar"/>
              </w:rPr>
              <w:t>，</w:t>
            </w:r>
            <w:r>
              <w:rPr>
                <w:color w:val="auto"/>
                <w:sz w:val="24"/>
              </w:rPr>
              <w:t>排入污水处理站处理</w:t>
            </w:r>
            <w:r>
              <w:rPr>
                <w:rFonts w:hint="eastAsia"/>
                <w:color w:val="auto"/>
                <w:sz w:val="24"/>
              </w:rPr>
              <w:t>。</w:t>
            </w:r>
          </w:p>
          <w:p>
            <w:pPr>
              <w:widowControl/>
              <w:spacing w:line="360" w:lineRule="auto"/>
              <w:ind w:firstLine="480" w:firstLineChars="200"/>
              <w:rPr>
                <w:color w:val="auto"/>
              </w:rPr>
            </w:pPr>
            <w:r>
              <w:rPr>
                <w:rFonts w:hint="eastAsia" w:ascii="宋体" w:hAnsi="宋体" w:cs="宋体"/>
                <w:color w:val="auto"/>
                <w:kern w:val="0"/>
                <w:sz w:val="24"/>
                <w:lang w:bidi="ar"/>
              </w:rPr>
              <w:t>④</w:t>
            </w:r>
            <w:r>
              <w:rPr>
                <w:rFonts w:hint="eastAsia"/>
                <w:color w:val="auto"/>
                <w:kern w:val="0"/>
                <w:sz w:val="24"/>
                <w:highlight w:val="none"/>
                <w:lang w:bidi="ar"/>
              </w:rPr>
              <w:t>蒸汽冷凝水</w:t>
            </w:r>
            <w:r>
              <w:rPr>
                <w:color w:val="auto"/>
                <w:kern w:val="0"/>
                <w:sz w:val="24"/>
                <w:lang w:bidi="ar"/>
              </w:rPr>
              <w:t>：本项目</w:t>
            </w:r>
            <w:r>
              <w:rPr>
                <w:rFonts w:hint="eastAsia"/>
                <w:color w:val="auto"/>
                <w:kern w:val="0"/>
                <w:sz w:val="24"/>
                <w:lang w:bidi="ar"/>
              </w:rPr>
              <w:t>使用市政蒸汽进行车间采暖，蒸汽使用量平均为</w:t>
            </w:r>
            <w:r>
              <w:rPr>
                <w:rFonts w:hint="eastAsia"/>
                <w:color w:val="auto"/>
                <w:kern w:val="0"/>
                <w:sz w:val="24"/>
                <w:lang w:val="en-US" w:eastAsia="zh-CN" w:bidi="ar"/>
              </w:rPr>
              <w:t>18.5</w:t>
            </w:r>
            <w:r>
              <w:rPr>
                <w:color w:val="auto"/>
                <w:sz w:val="24"/>
              </w:rPr>
              <w:t>m</w:t>
            </w:r>
            <w:r>
              <w:rPr>
                <w:color w:val="auto"/>
                <w:sz w:val="24"/>
                <w:vertAlign w:val="superscript"/>
              </w:rPr>
              <w:t>3</w:t>
            </w:r>
            <w:r>
              <w:rPr>
                <w:color w:val="auto"/>
                <w:sz w:val="24"/>
              </w:rPr>
              <w:t>/d</w:t>
            </w:r>
            <w:r>
              <w:rPr>
                <w:rFonts w:hint="eastAsia"/>
                <w:color w:val="auto"/>
                <w:sz w:val="24"/>
              </w:rPr>
              <w:t>（</w:t>
            </w:r>
            <w:r>
              <w:rPr>
                <w:rFonts w:hint="eastAsia"/>
                <w:color w:val="auto"/>
                <w:sz w:val="24"/>
                <w:lang w:val="en-US" w:eastAsia="zh-CN"/>
              </w:rPr>
              <w:t>6475</w:t>
            </w:r>
            <w:r>
              <w:rPr>
                <w:color w:val="auto"/>
                <w:sz w:val="24"/>
              </w:rPr>
              <w:t>m</w:t>
            </w:r>
            <w:r>
              <w:rPr>
                <w:color w:val="auto"/>
                <w:sz w:val="24"/>
                <w:vertAlign w:val="superscript"/>
              </w:rPr>
              <w:t>3</w:t>
            </w:r>
            <w:r>
              <w:rPr>
                <w:color w:val="auto"/>
                <w:sz w:val="24"/>
              </w:rPr>
              <w:t>/</w:t>
            </w:r>
            <w:r>
              <w:rPr>
                <w:rFonts w:hint="eastAsia"/>
                <w:color w:val="auto"/>
                <w:sz w:val="24"/>
              </w:rPr>
              <w:t>a）</w:t>
            </w:r>
            <w:r>
              <w:rPr>
                <w:color w:val="auto"/>
                <w:kern w:val="0"/>
                <w:sz w:val="24"/>
                <w:lang w:bidi="ar"/>
              </w:rPr>
              <w:t>，</w:t>
            </w:r>
            <w:r>
              <w:rPr>
                <w:rFonts w:hint="eastAsia"/>
                <w:color w:val="auto"/>
                <w:kern w:val="0"/>
                <w:sz w:val="24"/>
                <w:lang w:bidi="ar"/>
              </w:rPr>
              <w:t>蒸汽冷凝水产生系数</w:t>
            </w:r>
            <w:r>
              <w:rPr>
                <w:rFonts w:hint="eastAsia"/>
                <w:color w:val="auto"/>
                <w:sz w:val="24"/>
              </w:rPr>
              <w:t>以0.9计，</w:t>
            </w:r>
            <w:r>
              <w:rPr>
                <w:color w:val="auto"/>
                <w:kern w:val="0"/>
                <w:sz w:val="24"/>
                <w:lang w:bidi="ar"/>
              </w:rPr>
              <w:t>则</w:t>
            </w:r>
            <w:r>
              <w:rPr>
                <w:rFonts w:hint="eastAsia"/>
                <w:color w:val="auto"/>
                <w:kern w:val="0"/>
                <w:sz w:val="24"/>
                <w:lang w:bidi="ar"/>
              </w:rPr>
              <w:t>蒸汽冷凝水产生量为</w:t>
            </w:r>
            <w:r>
              <w:rPr>
                <w:rFonts w:hint="eastAsia"/>
                <w:color w:val="auto"/>
                <w:kern w:val="0"/>
                <w:sz w:val="24"/>
                <w:lang w:val="en-US" w:eastAsia="zh-CN" w:bidi="ar"/>
              </w:rPr>
              <w:t>16.65</w:t>
            </w:r>
            <w:r>
              <w:rPr>
                <w:color w:val="auto"/>
                <w:sz w:val="24"/>
              </w:rPr>
              <w:t>m</w:t>
            </w:r>
            <w:r>
              <w:rPr>
                <w:color w:val="auto"/>
                <w:sz w:val="24"/>
                <w:vertAlign w:val="superscript"/>
              </w:rPr>
              <w:t>3</w:t>
            </w:r>
            <w:r>
              <w:rPr>
                <w:color w:val="auto"/>
                <w:sz w:val="24"/>
              </w:rPr>
              <w:t>/d</w:t>
            </w:r>
            <w:r>
              <w:rPr>
                <w:rFonts w:hint="eastAsia"/>
                <w:color w:val="auto"/>
                <w:sz w:val="24"/>
              </w:rPr>
              <w:t>（</w:t>
            </w:r>
            <w:r>
              <w:rPr>
                <w:rFonts w:hint="eastAsia"/>
                <w:color w:val="auto"/>
                <w:sz w:val="24"/>
                <w:lang w:val="en-US" w:eastAsia="zh-CN"/>
              </w:rPr>
              <w:t>5827.5</w:t>
            </w:r>
            <w:r>
              <w:rPr>
                <w:color w:val="auto"/>
                <w:sz w:val="24"/>
              </w:rPr>
              <w:t>m</w:t>
            </w:r>
            <w:r>
              <w:rPr>
                <w:color w:val="auto"/>
                <w:sz w:val="24"/>
                <w:vertAlign w:val="superscript"/>
              </w:rPr>
              <w:t>3</w:t>
            </w:r>
            <w:r>
              <w:rPr>
                <w:color w:val="auto"/>
                <w:sz w:val="24"/>
              </w:rPr>
              <w:t>/</w:t>
            </w:r>
            <w:r>
              <w:rPr>
                <w:rFonts w:hint="eastAsia"/>
                <w:color w:val="auto"/>
                <w:sz w:val="24"/>
              </w:rPr>
              <w:t>a），</w:t>
            </w:r>
            <w:r>
              <w:rPr>
                <w:color w:val="auto"/>
                <w:sz w:val="24"/>
              </w:rPr>
              <w:t>排入污水处理站处理</w:t>
            </w:r>
            <w:r>
              <w:rPr>
                <w:rFonts w:hint="eastAsia"/>
                <w:color w:val="auto"/>
                <w:sz w:val="24"/>
              </w:rPr>
              <w:t>。</w:t>
            </w:r>
          </w:p>
          <w:p>
            <w:pPr>
              <w:widowControl/>
              <w:spacing w:line="360" w:lineRule="auto"/>
              <w:ind w:firstLine="480" w:firstLineChars="200"/>
              <w:rPr>
                <w:color w:val="auto"/>
                <w:sz w:val="24"/>
              </w:rPr>
            </w:pPr>
            <w:r>
              <w:rPr>
                <w:color w:val="auto"/>
                <w:kern w:val="0"/>
                <w:sz w:val="24"/>
                <w:lang w:bidi="ar"/>
              </w:rPr>
              <w:t>本项目排水实行雨污分流，雨水排入市政雨水管网，废水</w:t>
            </w:r>
            <w:r>
              <w:rPr>
                <w:rFonts w:hint="eastAsia"/>
                <w:color w:val="auto"/>
                <w:kern w:val="0"/>
                <w:sz w:val="24"/>
                <w:lang w:bidi="ar"/>
              </w:rPr>
              <w:t>经新建一套处理能力为1000</w:t>
            </w:r>
            <w:r>
              <w:rPr>
                <w:color w:val="auto"/>
                <w:kern w:val="0"/>
                <w:sz w:val="24"/>
                <w:lang w:bidi="ar"/>
              </w:rPr>
              <w:t>m</w:t>
            </w:r>
            <w:r>
              <w:rPr>
                <w:color w:val="auto"/>
                <w:kern w:val="0"/>
                <w:sz w:val="24"/>
                <w:vertAlign w:val="superscript"/>
                <w:lang w:bidi="ar"/>
              </w:rPr>
              <w:t>3</w:t>
            </w:r>
            <w:r>
              <w:rPr>
                <w:color w:val="auto"/>
                <w:kern w:val="0"/>
                <w:sz w:val="24"/>
                <w:lang w:bidi="ar"/>
              </w:rPr>
              <w:t>/d的污水处理</w:t>
            </w:r>
            <w:r>
              <w:rPr>
                <w:rFonts w:hint="eastAsia"/>
                <w:color w:val="auto"/>
                <w:kern w:val="0"/>
                <w:sz w:val="24"/>
                <w:lang w:bidi="ar"/>
              </w:rPr>
              <w:t>站（</w:t>
            </w:r>
            <w:r>
              <w:rPr>
                <w:rFonts w:hint="eastAsia"/>
                <w:color w:val="auto"/>
                <w:kern w:val="0"/>
                <w:sz w:val="24"/>
                <w:lang w:eastAsia="zh-CN" w:bidi="ar"/>
              </w:rPr>
              <w:t>综合调节</w:t>
            </w:r>
            <w:r>
              <w:rPr>
                <w:rFonts w:hint="eastAsia"/>
                <w:color w:val="auto"/>
                <w:kern w:val="0"/>
                <w:sz w:val="24"/>
                <w:lang w:val="en-US" w:eastAsia="zh-CN" w:bidi="ar"/>
              </w:rPr>
              <w:t>+</w:t>
            </w:r>
            <w:r>
              <w:rPr>
                <w:rFonts w:hint="eastAsia"/>
                <w:color w:val="auto"/>
                <w:kern w:val="0"/>
                <w:sz w:val="24"/>
                <w:lang w:bidi="ar"/>
              </w:rPr>
              <w:t>水解酸化+好氧</w:t>
            </w:r>
            <w:r>
              <w:rPr>
                <w:rFonts w:hint="eastAsia"/>
                <w:color w:val="auto"/>
                <w:kern w:val="0"/>
                <w:sz w:val="24"/>
                <w:lang w:val="en-US" w:eastAsia="zh-CN" w:bidi="ar"/>
              </w:rPr>
              <w:t>+沉淀</w:t>
            </w:r>
            <w:r>
              <w:rPr>
                <w:rFonts w:hint="eastAsia"/>
                <w:color w:val="auto"/>
                <w:kern w:val="0"/>
                <w:sz w:val="24"/>
                <w:lang w:bidi="ar"/>
              </w:rPr>
              <w:t>）</w:t>
            </w:r>
            <w:r>
              <w:rPr>
                <w:color w:val="auto"/>
                <w:sz w:val="24"/>
                <w:szCs w:val="28"/>
              </w:rPr>
              <w:t>处理</w:t>
            </w:r>
            <w:r>
              <w:rPr>
                <w:rFonts w:hint="eastAsia"/>
                <w:color w:val="auto"/>
                <w:sz w:val="24"/>
                <w:szCs w:val="28"/>
                <w:lang w:eastAsia="zh-CN"/>
              </w:rPr>
              <w:t>满足接管限值后</w:t>
            </w:r>
            <w:r>
              <w:rPr>
                <w:color w:val="auto"/>
                <w:sz w:val="24"/>
                <w:szCs w:val="28"/>
              </w:rPr>
              <w:t>排入废水总排口，经市政污水管网</w:t>
            </w:r>
            <w:r>
              <w:rPr>
                <w:rFonts w:hint="eastAsia"/>
                <w:color w:val="auto"/>
                <w:sz w:val="24"/>
                <w:szCs w:val="28"/>
              </w:rPr>
              <w:t>进入</w:t>
            </w:r>
            <w:r>
              <w:rPr>
                <w:color w:val="auto"/>
                <w:sz w:val="24"/>
                <w:szCs w:val="28"/>
              </w:rPr>
              <w:t>西部组团污水处理厂深度处理达标后排入派河</w:t>
            </w:r>
            <w:r>
              <w:rPr>
                <w:rFonts w:hint="eastAsia"/>
                <w:color w:val="auto"/>
                <w:sz w:val="24"/>
                <w:szCs w:val="28"/>
                <w:lang w:eastAsia="zh-CN"/>
              </w:rPr>
              <w:t>。</w:t>
            </w:r>
            <w:r>
              <w:rPr>
                <w:color w:val="auto"/>
                <w:sz w:val="24"/>
                <w:szCs w:val="28"/>
              </w:rPr>
              <w:t>本</w:t>
            </w:r>
            <w:r>
              <w:rPr>
                <w:color w:val="auto"/>
                <w:sz w:val="24"/>
              </w:rPr>
              <w:t>项目</w:t>
            </w:r>
            <w:r>
              <w:rPr>
                <w:rFonts w:hint="eastAsia"/>
                <w:color w:val="auto"/>
                <w:sz w:val="24"/>
              </w:rPr>
              <w:t>及本项目扩建</w:t>
            </w:r>
            <w:r>
              <w:rPr>
                <w:color w:val="auto"/>
                <w:sz w:val="24"/>
              </w:rPr>
              <w:t>后全厂</w:t>
            </w:r>
            <w:r>
              <w:rPr>
                <w:rFonts w:hint="eastAsia"/>
                <w:color w:val="auto"/>
                <w:sz w:val="24"/>
                <w:lang w:eastAsia="zh-CN"/>
              </w:rPr>
              <w:t>用、</w:t>
            </w:r>
            <w:r>
              <w:rPr>
                <w:color w:val="auto"/>
                <w:sz w:val="24"/>
              </w:rPr>
              <w:t>排水平衡详见下图。</w:t>
            </w:r>
          </w:p>
          <w:p>
            <w:pPr>
              <w:widowControl/>
              <w:spacing w:line="360" w:lineRule="auto"/>
              <w:rPr>
                <w:color w:val="auto"/>
                <w:sz w:val="24"/>
              </w:rPr>
            </w:pPr>
            <w:r>
              <w:rPr>
                <w:color w:val="auto"/>
                <w:spacing w:val="4"/>
                <w:sz w:val="24"/>
              </w:rPr>
              <w:object>
                <v:shape id="_x0000_i1025" o:spt="75" type="#_x0000_t75" style="height:234.05pt;width:424.65pt;" o:ole="t" filled="f" o:preferrelative="t" stroked="f" coordsize="21600,21600">
                  <v:path/>
                  <v:fill on="f" focussize="0,0"/>
                  <v:stroke on="f"/>
                  <v:imagedata r:id="rId11" o:title=""/>
                  <o:lock v:ext="edit" aspectratio="f"/>
                  <w10:wrap type="none"/>
                  <w10:anchorlock/>
                </v:shape>
                <o:OLEObject Type="Embed" ProgID="Visio.Drawing.15" ShapeID="_x0000_i1025" DrawAspect="Content" ObjectID="_1468075725" r:id="rId10">
                  <o:LockedField>false</o:LockedField>
                </o:OLEObject>
              </w:object>
            </w:r>
          </w:p>
          <w:p>
            <w:pPr>
              <w:spacing w:line="360" w:lineRule="auto"/>
              <w:jc w:val="center"/>
              <w:rPr>
                <w:color w:val="auto"/>
                <w:spacing w:val="4"/>
                <w:sz w:val="24"/>
              </w:rPr>
            </w:pPr>
          </w:p>
          <w:p>
            <w:pPr>
              <w:spacing w:line="360" w:lineRule="auto"/>
              <w:ind w:left="315" w:leftChars="150"/>
              <w:jc w:val="center"/>
              <w:rPr>
                <w:b/>
                <w:bCs/>
                <w:color w:val="auto"/>
              </w:rPr>
            </w:pPr>
            <w:r>
              <w:rPr>
                <w:b/>
                <w:bCs/>
                <w:color w:val="auto"/>
              </w:rPr>
              <w:t>图</w:t>
            </w:r>
            <w:r>
              <w:rPr>
                <w:rFonts w:hint="eastAsia"/>
                <w:b/>
                <w:bCs/>
                <w:color w:val="auto"/>
              </w:rPr>
              <w:t>1</w:t>
            </w:r>
            <w:r>
              <w:rPr>
                <w:b/>
                <w:bCs/>
                <w:color w:val="auto"/>
              </w:rPr>
              <w:t xml:space="preserve"> 本项目用水平衡图（单位：m</w:t>
            </w:r>
            <w:r>
              <w:rPr>
                <w:b/>
                <w:bCs/>
                <w:color w:val="auto"/>
                <w:vertAlign w:val="superscript"/>
              </w:rPr>
              <w:t>3</w:t>
            </w:r>
            <w:r>
              <w:rPr>
                <w:b/>
                <w:bCs/>
                <w:color w:val="auto"/>
              </w:rPr>
              <w:t>/d）</w:t>
            </w:r>
          </w:p>
          <w:p>
            <w:pPr>
              <w:widowControl/>
              <w:numPr>
                <w:ilvl w:val="0"/>
                <w:numId w:val="2"/>
              </w:numPr>
              <w:jc w:val="center"/>
              <w:rPr>
                <w:rFonts w:hint="eastAsia"/>
                <w:b/>
                <w:color w:val="auto"/>
                <w:kern w:val="0"/>
                <w:szCs w:val="21"/>
              </w:rPr>
            </w:pPr>
            <w:r>
              <w:rPr>
                <w:rFonts w:hint="eastAsia"/>
                <w:b/>
                <w:color w:val="auto"/>
                <w:kern w:val="0"/>
                <w:szCs w:val="21"/>
              </w:rPr>
              <w:t>本项目扩建前后用排水变化量一览表 （m</w:t>
            </w:r>
            <w:r>
              <w:rPr>
                <w:rFonts w:hint="eastAsia"/>
                <w:b/>
                <w:color w:val="auto"/>
                <w:kern w:val="0"/>
                <w:szCs w:val="21"/>
                <w:vertAlign w:val="superscript"/>
              </w:rPr>
              <w:t>3</w:t>
            </w:r>
            <w:r>
              <w:rPr>
                <w:rFonts w:hint="eastAsia"/>
                <w:b/>
                <w:color w:val="auto"/>
                <w:kern w:val="0"/>
                <w:szCs w:val="21"/>
              </w:rPr>
              <w:t>/d）</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637"/>
              <w:gridCol w:w="1399"/>
              <w:gridCol w:w="1117"/>
              <w:gridCol w:w="1073"/>
              <w:gridCol w:w="917"/>
              <w:gridCol w:w="935"/>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52" w:type="dxa"/>
                  <w:vMerge w:val="restart"/>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序号</w:t>
                  </w:r>
                </w:p>
              </w:tc>
              <w:tc>
                <w:tcPr>
                  <w:tcW w:w="1637" w:type="dxa"/>
                  <w:vMerge w:val="restart"/>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用/排水环节</w:t>
                  </w:r>
                </w:p>
              </w:tc>
              <w:tc>
                <w:tcPr>
                  <w:tcW w:w="3589" w:type="dxa"/>
                  <w:gridSpan w:val="3"/>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用水</w:t>
                  </w:r>
                </w:p>
              </w:tc>
              <w:tc>
                <w:tcPr>
                  <w:tcW w:w="2856" w:type="dxa"/>
                  <w:gridSpan w:val="3"/>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52" w:type="dxa"/>
                  <w:vMerge w:val="continue"/>
                  <w:noWrap w:val="0"/>
                  <w:vAlign w:val="center"/>
                </w:tcPr>
                <w:p>
                  <w:pPr>
                    <w:widowControl/>
                    <w:jc w:val="center"/>
                    <w:textAlignment w:val="center"/>
                    <w:rPr>
                      <w:rFonts w:hint="default" w:ascii="Times New Roman" w:hAnsi="Times New Roman" w:cs="Times New Roman"/>
                      <w:b/>
                      <w:bCs/>
                      <w:color w:val="auto"/>
                      <w:sz w:val="21"/>
                      <w:szCs w:val="21"/>
                    </w:rPr>
                  </w:pPr>
                </w:p>
              </w:tc>
              <w:tc>
                <w:tcPr>
                  <w:tcW w:w="1637" w:type="dxa"/>
                  <w:vMerge w:val="continue"/>
                  <w:noWrap w:val="0"/>
                  <w:vAlign w:val="center"/>
                </w:tcPr>
                <w:p>
                  <w:pPr>
                    <w:widowControl/>
                    <w:jc w:val="center"/>
                    <w:textAlignment w:val="center"/>
                    <w:rPr>
                      <w:rFonts w:hint="default" w:ascii="Times New Roman" w:hAnsi="Times New Roman" w:cs="Times New Roman"/>
                      <w:b/>
                      <w:bCs/>
                      <w:color w:val="auto"/>
                      <w:sz w:val="21"/>
                      <w:szCs w:val="21"/>
                    </w:rPr>
                  </w:pPr>
                </w:p>
              </w:tc>
              <w:tc>
                <w:tcPr>
                  <w:tcW w:w="1399"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扩建前</w:t>
                  </w:r>
                </w:p>
              </w:tc>
              <w:tc>
                <w:tcPr>
                  <w:tcW w:w="1117"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本项目</w:t>
                  </w:r>
                </w:p>
              </w:tc>
              <w:tc>
                <w:tcPr>
                  <w:tcW w:w="1073"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扩建后</w:t>
                  </w:r>
                </w:p>
              </w:tc>
              <w:tc>
                <w:tcPr>
                  <w:tcW w:w="917"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扩建前</w:t>
                  </w:r>
                </w:p>
              </w:tc>
              <w:tc>
                <w:tcPr>
                  <w:tcW w:w="935"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本项目</w:t>
                  </w:r>
                </w:p>
              </w:tc>
              <w:tc>
                <w:tcPr>
                  <w:tcW w:w="1004" w:type="dxa"/>
                  <w:noWrap w:val="0"/>
                  <w:vAlign w:val="center"/>
                </w:tcPr>
                <w:p>
                  <w:pPr>
                    <w:widowControl/>
                    <w:jc w:val="center"/>
                    <w:textAlignment w:val="center"/>
                    <w:rPr>
                      <w:rFonts w:hint="default" w:ascii="Times New Roman" w:hAnsi="Times New Roman" w:cs="Times New Roman"/>
                      <w:b/>
                      <w:bCs/>
                      <w:color w:val="auto"/>
                      <w:kern w:val="0"/>
                      <w:sz w:val="21"/>
                      <w:szCs w:val="21"/>
                      <w:lang w:bidi="ar"/>
                    </w:rPr>
                  </w:pPr>
                  <w:r>
                    <w:rPr>
                      <w:rFonts w:hint="default" w:ascii="Times New Roman" w:hAnsi="Times New Roman" w:cs="Times New Roman"/>
                      <w:b/>
                      <w:bCs/>
                      <w:color w:val="auto"/>
                      <w:kern w:val="0"/>
                      <w:sz w:val="21"/>
                      <w:szCs w:val="21"/>
                      <w:lang w:bidi="ar"/>
                    </w:rPr>
                    <w:t>扩建后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办公生活用水</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r>
                    <w:rPr>
                      <w:rFonts w:hint="default" w:ascii="Times New Roman" w:hAnsi="Times New Roman" w:cs="Times New Roman"/>
                      <w:color w:val="auto"/>
                      <w:kern w:val="0"/>
                      <w:sz w:val="21"/>
                      <w:szCs w:val="21"/>
                      <w:lang w:val="en-US" w:eastAsia="zh-CN" w:bidi="ar"/>
                    </w:rPr>
                    <w:t>2</w:t>
                  </w:r>
                  <w:r>
                    <w:rPr>
                      <w:rFonts w:hint="default" w:ascii="Times New Roman" w:hAnsi="Times New Roman" w:cs="Times New Roman"/>
                      <w:color w:val="auto"/>
                      <w:kern w:val="0"/>
                      <w:sz w:val="21"/>
                      <w:szCs w:val="21"/>
                      <w:lang w:bidi="ar"/>
                    </w:rPr>
                    <w:t>1.9</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21.</w:t>
                  </w:r>
                  <w:r>
                    <w:rPr>
                      <w:rFonts w:hint="default" w:ascii="Times New Roman" w:hAnsi="Times New Roman" w:cs="Times New Roman"/>
                      <w:color w:val="auto"/>
                      <w:kern w:val="0"/>
                      <w:sz w:val="21"/>
                      <w:szCs w:val="21"/>
                      <w:lang w:val="en-US" w:eastAsia="zh-CN" w:bidi="ar"/>
                    </w:rPr>
                    <w:t>84</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143.74</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93.33</w:t>
                  </w:r>
                </w:p>
              </w:tc>
              <w:tc>
                <w:tcPr>
                  <w:tcW w:w="935"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17.</w:t>
                  </w:r>
                  <w:r>
                    <w:rPr>
                      <w:rFonts w:hint="default" w:ascii="Times New Roman" w:hAnsi="Times New Roman" w:cs="Times New Roman"/>
                      <w:color w:val="auto"/>
                      <w:kern w:val="0"/>
                      <w:sz w:val="21"/>
                      <w:szCs w:val="21"/>
                      <w:lang w:val="en-US" w:eastAsia="zh-CN" w:bidi="ar"/>
                    </w:rPr>
                    <w:t>472</w:t>
                  </w:r>
                </w:p>
              </w:tc>
              <w:tc>
                <w:tcPr>
                  <w:tcW w:w="10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保洁用水</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w:t>
                  </w:r>
                  <w:r>
                    <w:rPr>
                      <w:rFonts w:hint="default" w:ascii="Times New Roman" w:hAnsi="Times New Roman" w:cs="Times New Roman"/>
                      <w:color w:val="auto"/>
                      <w:kern w:val="0"/>
                      <w:sz w:val="21"/>
                      <w:szCs w:val="21"/>
                      <w:lang w:val="en-US" w:eastAsia="zh-CN" w:bidi="ar"/>
                    </w:rPr>
                    <w:t>6</w:t>
                  </w:r>
                  <w:r>
                    <w:rPr>
                      <w:rFonts w:hint="default" w:ascii="Times New Roman" w:hAnsi="Times New Roman" w:cs="Times New Roman"/>
                      <w:color w:val="auto"/>
                      <w:kern w:val="0"/>
                      <w:sz w:val="21"/>
                      <w:szCs w:val="21"/>
                      <w:lang w:bidi="ar"/>
                    </w:rPr>
                    <w:t>.625</w:t>
                  </w:r>
                </w:p>
              </w:tc>
              <w:tc>
                <w:tcPr>
                  <w:tcW w:w="1117"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9.057</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35.682</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20.7</w:t>
                  </w:r>
                </w:p>
              </w:tc>
              <w:tc>
                <w:tcPr>
                  <w:tcW w:w="93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7.246</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27.946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纯水制备系统</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228.5</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228.5</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7</w:t>
                  </w:r>
                </w:p>
              </w:tc>
              <w:tc>
                <w:tcPr>
                  <w:tcW w:w="935"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4</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rPr>
                    <w:t>循环冷却系统</w:t>
                  </w:r>
                </w:p>
              </w:tc>
              <w:tc>
                <w:tcPr>
                  <w:tcW w:w="1399"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bidi="ar"/>
                    </w:rPr>
                    <w:t>11</w:t>
                  </w:r>
                  <w:r>
                    <w:rPr>
                      <w:rFonts w:hint="default" w:ascii="Times New Roman" w:hAnsi="Times New Roman" w:cs="Times New Roman"/>
                      <w:color w:val="auto"/>
                      <w:kern w:val="0"/>
                      <w:sz w:val="21"/>
                      <w:szCs w:val="21"/>
                      <w:lang w:val="en-US" w:eastAsia="zh-CN" w:bidi="ar"/>
                    </w:rPr>
                    <w:t>08</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val="en-US" w:eastAsia="zh-CN" w:bidi="ar"/>
                    </w:rPr>
                    <w:t>305</w:t>
                  </w:r>
                </w:p>
              </w:tc>
              <w:tc>
                <w:tcPr>
                  <w:tcW w:w="10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1413</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187</w:t>
                  </w:r>
                </w:p>
              </w:tc>
              <w:tc>
                <w:tcPr>
                  <w:tcW w:w="93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76</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5</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工艺冷却系统</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w:t>
                  </w:r>
                  <w:r>
                    <w:rPr>
                      <w:rFonts w:hint="eastAsia" w:ascii="Times New Roman" w:hAnsi="Times New Roman" w:cs="Times New Roman"/>
                      <w:color w:val="auto"/>
                      <w:kern w:val="0"/>
                      <w:sz w:val="21"/>
                      <w:szCs w:val="21"/>
                      <w:lang w:val="en-US" w:eastAsia="zh-CN" w:bidi="ar"/>
                    </w:rPr>
                    <w:t>3</w:t>
                  </w:r>
                  <w:r>
                    <w:rPr>
                      <w:rFonts w:hint="default" w:ascii="Times New Roman" w:hAnsi="Times New Roman" w:cs="Times New Roman"/>
                      <w:color w:val="auto"/>
                      <w:kern w:val="0"/>
                      <w:sz w:val="21"/>
                      <w:szCs w:val="21"/>
                      <w:lang w:val="en-US" w:eastAsia="zh-CN" w:bidi="ar"/>
                    </w:rPr>
                    <w:t>0</w:t>
                  </w:r>
                  <w:r>
                    <w:rPr>
                      <w:rFonts w:hint="default" w:ascii="Times New Roman" w:hAnsi="Times New Roman" w:cs="Times New Roman"/>
                      <w:color w:val="auto"/>
                      <w:kern w:val="0"/>
                      <w:sz w:val="21"/>
                      <w:szCs w:val="21"/>
                      <w:lang w:bidi="ar"/>
                    </w:rPr>
                    <w:t>（纯水）</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w:t>
                  </w:r>
                </w:p>
              </w:tc>
              <w:tc>
                <w:tcPr>
                  <w:tcW w:w="935"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w:t>
                  </w:r>
                  <w:r>
                    <w:rPr>
                      <w:rFonts w:hint="eastAsia" w:ascii="Times New Roman" w:hAnsi="Times New Roman" w:cs="Times New Roman"/>
                      <w:i w:val="0"/>
                      <w:iCs w:val="0"/>
                      <w:color w:val="000000"/>
                      <w:kern w:val="0"/>
                      <w:sz w:val="21"/>
                      <w:szCs w:val="21"/>
                      <w:u w:val="none"/>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6</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供热锅炉补水</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1.5（纯水）</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917"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935"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7</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蒸汽冷凝水</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37</w:t>
                  </w:r>
                </w:p>
              </w:tc>
              <w:tc>
                <w:tcPr>
                  <w:tcW w:w="1117"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18.5</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val="en-US" w:bidi="ar"/>
                    </w:rPr>
                  </w:pPr>
                  <w:r>
                    <w:rPr>
                      <w:rFonts w:hint="default" w:ascii="Times New Roman" w:hAnsi="Times New Roman" w:eastAsia="宋体" w:cs="Times New Roman"/>
                      <w:i w:val="0"/>
                      <w:iCs w:val="0"/>
                      <w:color w:val="000000"/>
                      <w:kern w:val="0"/>
                      <w:sz w:val="21"/>
                      <w:szCs w:val="21"/>
                      <w:u w:val="none"/>
                      <w:lang w:val="en-US" w:eastAsia="zh-CN" w:bidi="ar"/>
                    </w:rPr>
                    <w:t>55.5</w:t>
                  </w:r>
                </w:p>
              </w:tc>
              <w:tc>
                <w:tcPr>
                  <w:tcW w:w="9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33.3</w:t>
                  </w:r>
                </w:p>
              </w:tc>
              <w:tc>
                <w:tcPr>
                  <w:tcW w:w="93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highlight w:val="none"/>
                      <w:lang w:val="en-US" w:eastAsia="zh-CN" w:bidi="ar"/>
                    </w:rPr>
                    <w:t>16.65</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52"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8</w:t>
                  </w:r>
                </w:p>
              </w:tc>
              <w:tc>
                <w:tcPr>
                  <w:tcW w:w="1637" w:type="dxa"/>
                  <w:noWrap w:val="0"/>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绿化用水</w:t>
                  </w:r>
                </w:p>
              </w:tc>
              <w:tc>
                <w:tcPr>
                  <w:tcW w:w="1399"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100</w:t>
                  </w:r>
                </w:p>
              </w:tc>
              <w:tc>
                <w:tcPr>
                  <w:tcW w:w="11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917"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0</w:t>
                  </w:r>
                </w:p>
              </w:tc>
              <w:tc>
                <w:tcPr>
                  <w:tcW w:w="935" w:type="dxa"/>
                  <w:noWrap w:val="0"/>
                  <w:vAlign w:val="center"/>
                </w:tcPr>
                <w:p>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highlight w:val="none"/>
                      <w:lang w:bidi="ar"/>
                    </w:rPr>
                    <w:t>0</w:t>
                  </w:r>
                </w:p>
              </w:tc>
              <w:tc>
                <w:tcPr>
                  <w:tcW w:w="1004"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189" w:type="dxa"/>
                  <w:gridSpan w:val="2"/>
                  <w:noWrap w:val="0"/>
                  <w:vAlign w:val="center"/>
                </w:tcPr>
                <w:p>
                  <w:pPr>
                    <w:widowControl/>
                    <w:jc w:val="center"/>
                    <w:textAlignment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lang w:bidi="ar"/>
                    </w:rPr>
                    <w:t>合计</w:t>
                  </w:r>
                </w:p>
              </w:tc>
              <w:tc>
                <w:tcPr>
                  <w:tcW w:w="1399" w:type="dxa"/>
                  <w:noWrap w:val="0"/>
                  <w:vAlign w:val="center"/>
                </w:tcPr>
                <w:p>
                  <w:pPr>
                    <w:keepNext w:val="0"/>
                    <w:keepLines w:val="0"/>
                    <w:widowControl/>
                    <w:suppressLineNumbers w:val="0"/>
                    <w:jc w:val="righ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1733.525</w:t>
                  </w:r>
                </w:p>
              </w:tc>
              <w:tc>
                <w:tcPr>
                  <w:tcW w:w="1117" w:type="dxa"/>
                  <w:noWrap w:val="0"/>
                  <w:vAlign w:val="center"/>
                </w:tcPr>
                <w:p>
                  <w:pPr>
                    <w:keepNext w:val="0"/>
                    <w:keepLines w:val="0"/>
                    <w:widowControl/>
                    <w:suppressLineNumbers w:val="0"/>
                    <w:jc w:val="righ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354.</w:t>
                  </w:r>
                  <w:r>
                    <w:rPr>
                      <w:rFonts w:hint="eastAsia" w:ascii="Times New Roman" w:hAnsi="Times New Roman" w:cs="Times New Roman"/>
                      <w:i w:val="0"/>
                      <w:iCs w:val="0"/>
                      <w:color w:val="000000"/>
                      <w:kern w:val="0"/>
                      <w:sz w:val="21"/>
                      <w:szCs w:val="21"/>
                      <w:u w:val="none"/>
                      <w:lang w:val="en-US" w:eastAsia="zh-CN" w:bidi="ar"/>
                    </w:rPr>
                    <w:t>45</w:t>
                  </w:r>
                  <w:r>
                    <w:rPr>
                      <w:rFonts w:hint="default" w:ascii="Times New Roman" w:hAnsi="Times New Roman" w:eastAsia="宋体" w:cs="Times New Roman"/>
                      <w:i w:val="0"/>
                      <w:iCs w:val="0"/>
                      <w:color w:val="000000"/>
                      <w:kern w:val="0"/>
                      <w:sz w:val="21"/>
                      <w:szCs w:val="21"/>
                      <w:u w:val="none"/>
                      <w:lang w:val="en-US" w:eastAsia="zh-CN" w:bidi="ar"/>
                    </w:rPr>
                    <w:t>7</w:t>
                  </w:r>
                </w:p>
              </w:tc>
              <w:tc>
                <w:tcPr>
                  <w:tcW w:w="1073" w:type="dxa"/>
                  <w:noWrap w:val="0"/>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2087.922</w:t>
                  </w:r>
                </w:p>
              </w:tc>
              <w:tc>
                <w:tcPr>
                  <w:tcW w:w="917"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501.83</w:t>
                  </w:r>
                </w:p>
              </w:tc>
              <w:tc>
                <w:tcPr>
                  <w:tcW w:w="935" w:type="dxa"/>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117.368</w:t>
                  </w:r>
                </w:p>
              </w:tc>
              <w:tc>
                <w:tcPr>
                  <w:tcW w:w="100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619.198</w:t>
                  </w:r>
                </w:p>
              </w:tc>
            </w:tr>
          </w:tbl>
          <w:p>
            <w:pPr>
              <w:pStyle w:val="3"/>
              <w:rPr>
                <w:color w:val="auto"/>
              </w:rPr>
            </w:pPr>
          </w:p>
          <w:p>
            <w:pPr>
              <w:spacing w:line="360" w:lineRule="auto"/>
              <w:jc w:val="center"/>
              <w:rPr>
                <w:color w:val="auto"/>
                <w:spacing w:val="4"/>
                <w:sz w:val="24"/>
              </w:rPr>
            </w:pPr>
            <w:r>
              <w:rPr>
                <w:color w:val="auto"/>
                <w:spacing w:val="4"/>
                <w:sz w:val="24"/>
              </w:rPr>
              <w:object>
                <v:shape id="_x0000_i1026" o:spt="75" type="#_x0000_t75" style="height:388.15pt;width:427.55pt;" o:ole="t" filled="f" o:preferrelative="t" stroked="f" coordsize="21600,21600">
                  <v:path/>
                  <v:fill on="f" focussize="0,0"/>
                  <v:stroke on="f"/>
                  <v:imagedata r:id="rId13" o:title=""/>
                  <o:lock v:ext="edit" aspectratio="f"/>
                  <w10:wrap type="none"/>
                  <w10:anchorlock/>
                </v:shape>
                <o:OLEObject Type="Embed" ProgID="Visio.Drawing.15" ShapeID="_x0000_i1026" DrawAspect="Content" ObjectID="_1468075726" r:id="rId12">
                  <o:LockedField>false</o:LockedField>
                </o:OLEObject>
              </w:object>
            </w:r>
          </w:p>
          <w:p>
            <w:pPr>
              <w:spacing w:line="360" w:lineRule="auto"/>
              <w:jc w:val="center"/>
              <w:rPr>
                <w:b/>
                <w:bCs/>
                <w:color w:val="auto"/>
              </w:rPr>
            </w:pPr>
            <w:r>
              <w:rPr>
                <w:b/>
                <w:bCs/>
                <w:color w:val="auto"/>
              </w:rPr>
              <w:t>图</w:t>
            </w:r>
            <w:r>
              <w:rPr>
                <w:rFonts w:hint="eastAsia"/>
                <w:b/>
                <w:bCs/>
                <w:color w:val="auto"/>
              </w:rPr>
              <w:t>2</w:t>
            </w:r>
            <w:r>
              <w:rPr>
                <w:b/>
                <w:bCs/>
                <w:color w:val="auto"/>
              </w:rPr>
              <w:t xml:space="preserve">  本项目</w:t>
            </w:r>
            <w:r>
              <w:rPr>
                <w:rFonts w:hint="eastAsia"/>
                <w:b/>
                <w:bCs/>
                <w:color w:val="auto"/>
              </w:rPr>
              <w:t>扩建</w:t>
            </w:r>
            <w:r>
              <w:rPr>
                <w:b/>
                <w:bCs/>
                <w:color w:val="auto"/>
              </w:rPr>
              <w:t>后全厂用水平衡图（单位：m</w:t>
            </w:r>
            <w:r>
              <w:rPr>
                <w:b/>
                <w:bCs/>
                <w:color w:val="auto"/>
                <w:vertAlign w:val="superscript"/>
              </w:rPr>
              <w:t>3</w:t>
            </w:r>
            <w:r>
              <w:rPr>
                <w:b/>
                <w:bCs/>
                <w:color w:val="auto"/>
              </w:rPr>
              <w:t>/d）</w:t>
            </w:r>
          </w:p>
          <w:p>
            <w:pPr>
              <w:widowControl/>
              <w:adjustRightInd w:val="0"/>
              <w:snapToGrid w:val="0"/>
              <w:spacing w:line="360" w:lineRule="auto"/>
              <w:ind w:firstLine="482" w:firstLineChars="200"/>
              <w:rPr>
                <w:rFonts w:hint="eastAsia"/>
                <w:b/>
                <w:bCs/>
                <w:color w:val="auto"/>
                <w:sz w:val="24"/>
              </w:rPr>
            </w:pPr>
            <w:r>
              <w:rPr>
                <w:rFonts w:hint="eastAsia"/>
                <w:b/>
                <w:bCs/>
                <w:color w:val="auto"/>
                <w:sz w:val="24"/>
              </w:rPr>
              <w:t>（</w:t>
            </w:r>
            <w:r>
              <w:rPr>
                <w:rFonts w:hint="eastAsia"/>
                <w:b/>
                <w:bCs/>
                <w:color w:val="auto"/>
                <w:sz w:val="24"/>
                <w:lang w:eastAsia="zh-CN"/>
              </w:rPr>
              <w:t>七</w:t>
            </w:r>
            <w:r>
              <w:rPr>
                <w:rFonts w:hint="eastAsia"/>
                <w:b/>
                <w:bCs/>
                <w:color w:val="auto"/>
                <w:sz w:val="24"/>
              </w:rPr>
              <w:t>）劳动定员及工作制度</w:t>
            </w:r>
          </w:p>
          <w:p>
            <w:pPr>
              <w:spacing w:line="360" w:lineRule="auto"/>
              <w:ind w:firstLine="480" w:firstLineChars="200"/>
              <w:rPr>
                <w:rFonts w:hint="eastAsia"/>
                <w:color w:val="auto"/>
                <w:sz w:val="24"/>
              </w:rPr>
            </w:pPr>
            <w:r>
              <w:rPr>
                <w:color w:val="auto"/>
                <w:sz w:val="24"/>
              </w:rPr>
              <w:t>本项目</w:t>
            </w:r>
            <w:r>
              <w:rPr>
                <w:rFonts w:hint="eastAsia"/>
                <w:color w:val="auto"/>
                <w:sz w:val="24"/>
              </w:rPr>
              <w:t>新增</w:t>
            </w:r>
            <w:r>
              <w:rPr>
                <w:color w:val="auto"/>
                <w:sz w:val="24"/>
              </w:rPr>
              <w:t>员工</w:t>
            </w:r>
            <w:r>
              <w:rPr>
                <w:rFonts w:hint="eastAsia"/>
                <w:color w:val="auto"/>
                <w:sz w:val="24"/>
              </w:rPr>
              <w:t>365</w:t>
            </w:r>
            <w:r>
              <w:rPr>
                <w:color w:val="auto"/>
                <w:sz w:val="24"/>
              </w:rPr>
              <w:t>人，年工作日3</w:t>
            </w:r>
            <w:r>
              <w:rPr>
                <w:rFonts w:hint="eastAsia"/>
                <w:color w:val="auto"/>
                <w:sz w:val="24"/>
              </w:rPr>
              <w:t>5</w:t>
            </w:r>
            <w:r>
              <w:rPr>
                <w:color w:val="auto"/>
                <w:sz w:val="24"/>
              </w:rPr>
              <w:t>0天，采用三班制，每班8小时。</w:t>
            </w:r>
          </w:p>
          <w:p>
            <w:pPr>
              <w:widowControl/>
              <w:numPr>
                <w:ilvl w:val="0"/>
                <w:numId w:val="0"/>
              </w:numPr>
              <w:adjustRightInd w:val="0"/>
              <w:snapToGrid w:val="0"/>
              <w:spacing w:line="360" w:lineRule="auto"/>
              <w:ind w:firstLine="482" w:firstLineChars="200"/>
              <w:rPr>
                <w:rFonts w:hint="eastAsia"/>
                <w:b/>
                <w:bCs/>
                <w:color w:val="auto"/>
                <w:sz w:val="24"/>
              </w:rPr>
            </w:pPr>
            <w:r>
              <w:rPr>
                <w:rFonts w:hint="eastAsia"/>
                <w:b/>
                <w:bCs/>
                <w:color w:val="auto"/>
                <w:sz w:val="24"/>
                <w:lang w:eastAsia="zh-CN"/>
              </w:rPr>
              <w:t>（八）</w:t>
            </w:r>
            <w:r>
              <w:rPr>
                <w:rFonts w:hint="eastAsia"/>
                <w:b/>
                <w:bCs/>
                <w:color w:val="auto"/>
                <w:sz w:val="24"/>
              </w:rPr>
              <w:t>厂区平面布置</w:t>
            </w:r>
          </w:p>
          <w:p>
            <w:pPr>
              <w:pStyle w:val="3"/>
              <w:spacing w:line="360" w:lineRule="auto"/>
              <w:ind w:left="0" w:leftChars="0" w:firstLine="480"/>
              <w:rPr>
                <w:color w:val="auto"/>
              </w:rPr>
            </w:pPr>
            <w:r>
              <w:rPr>
                <w:rFonts w:hint="eastAsia"/>
                <w:color w:val="auto"/>
                <w:sz w:val="24"/>
              </w:rPr>
              <w:t>本项目位于合肥市高新技术产业开发区999号</w:t>
            </w:r>
            <w:r>
              <w:rPr>
                <w:color w:val="auto"/>
                <w:sz w:val="24"/>
              </w:rPr>
              <w:t>合肥晶澳太阳能科技有限公司</w:t>
            </w:r>
            <w:r>
              <w:rPr>
                <w:rFonts w:hint="eastAsia"/>
                <w:color w:val="auto"/>
                <w:sz w:val="24"/>
                <w:lang w:eastAsia="zh-CN"/>
              </w:rPr>
              <w:t>现有厂区</w:t>
            </w:r>
            <w:r>
              <w:rPr>
                <w:rFonts w:hint="eastAsia"/>
                <w:color w:val="auto"/>
                <w:sz w:val="24"/>
              </w:rPr>
              <w:t>智慧工厂</w:t>
            </w:r>
            <w:r>
              <w:rPr>
                <w:rFonts w:hint="eastAsia"/>
                <w:color w:val="auto"/>
                <w:sz w:val="24"/>
                <w:lang w:eastAsia="zh-CN"/>
              </w:rPr>
              <w:t>（在</w:t>
            </w:r>
            <w:r>
              <w:rPr>
                <w:rFonts w:hint="eastAsia"/>
                <w:color w:val="auto"/>
                <w:sz w:val="24"/>
              </w:rPr>
              <w:t>建</w:t>
            </w:r>
            <w:r>
              <w:rPr>
                <w:rFonts w:hint="eastAsia"/>
                <w:color w:val="auto"/>
                <w:sz w:val="24"/>
                <w:lang w:eastAsia="zh-CN"/>
              </w:rPr>
              <w:t>）</w:t>
            </w:r>
            <w:r>
              <w:rPr>
                <w:rFonts w:hint="eastAsia"/>
                <w:color w:val="auto"/>
                <w:sz w:val="24"/>
              </w:rPr>
              <w:t>，智慧工厂位于厂区西侧，智慧仓库、原料仓库、动力站位于智慧工厂东侧，甲类仓库、危废仓库及污水处理站均位于厂区西南角。项目</w:t>
            </w:r>
            <w:r>
              <w:rPr>
                <w:color w:val="auto"/>
                <w:sz w:val="24"/>
              </w:rPr>
              <w:t>总平面布置图采用简洁舒展的布局，在功能上分区明确，设计路线清晰，平面布置合理</w:t>
            </w:r>
            <w:r>
              <w:rPr>
                <w:rFonts w:hint="eastAsia"/>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pPr>
              <w:pStyle w:val="18"/>
              <w:adjustRightInd w:val="0"/>
              <w:snapToGrid w:val="0"/>
              <w:spacing w:before="0" w:beforeAutospacing="0" w:after="0" w:afterAutospacing="0"/>
              <w:jc w:val="center"/>
              <w:rPr>
                <w:rFonts w:cs="宋体"/>
                <w:b/>
                <w:color w:val="auto"/>
                <w:sz w:val="21"/>
                <w:szCs w:val="21"/>
              </w:rPr>
            </w:pPr>
            <w:r>
              <w:rPr>
                <w:rFonts w:hint="eastAsia" w:cs="宋体"/>
                <w:b/>
                <w:color w:val="auto"/>
                <w:sz w:val="21"/>
                <w:szCs w:val="21"/>
              </w:rPr>
              <w:t>工艺流程和产排污环节</w:t>
            </w:r>
          </w:p>
        </w:tc>
        <w:tc>
          <w:tcPr>
            <w:tcW w:w="8860" w:type="dxa"/>
            <w:noWrap w:val="0"/>
            <w:vAlign w:val="top"/>
          </w:tcPr>
          <w:p>
            <w:pPr>
              <w:numPr>
                <w:ilvl w:val="0"/>
                <w:numId w:val="5"/>
              </w:numPr>
              <w:spacing w:line="360" w:lineRule="auto"/>
              <w:ind w:firstLine="482" w:firstLineChars="200"/>
              <w:rPr>
                <w:rFonts w:hint="eastAsia"/>
                <w:b/>
                <w:color w:val="auto"/>
                <w:sz w:val="24"/>
              </w:rPr>
            </w:pPr>
            <w:r>
              <w:rPr>
                <w:rFonts w:hint="eastAsia"/>
                <w:b/>
                <w:color w:val="auto"/>
                <w:sz w:val="24"/>
              </w:rPr>
              <w:t>施工期工艺流程及产污环节：</w:t>
            </w:r>
          </w:p>
          <w:p>
            <w:pPr>
              <w:spacing w:line="360" w:lineRule="auto"/>
              <w:ind w:firstLine="480" w:firstLineChars="200"/>
              <w:rPr>
                <w:rFonts w:hint="eastAsia"/>
                <w:b/>
                <w:color w:val="auto"/>
                <w:sz w:val="24"/>
              </w:rPr>
            </w:pPr>
            <w:r>
              <w:rPr>
                <w:rFonts w:hint="eastAsia"/>
                <w:color w:val="auto"/>
                <w:sz w:val="24"/>
              </w:rPr>
              <w:t>本项目利用</w:t>
            </w:r>
            <w:r>
              <w:rPr>
                <w:color w:val="auto"/>
                <w:sz w:val="24"/>
              </w:rPr>
              <w:t>合肥晶澳太阳能科技有限公司</w:t>
            </w:r>
            <w:r>
              <w:rPr>
                <w:rFonts w:hint="eastAsia"/>
                <w:color w:val="auto"/>
                <w:sz w:val="24"/>
              </w:rPr>
              <w:t>现有厂房进行扩建，不新增建筑，施工期的主要工作是新增设备安装调试。施工期产生的污染物主要为施工垃圾、施工人员生活污水及设备安装、调试产生的噪声等。</w:t>
            </w:r>
          </w:p>
          <w:p>
            <w:pPr>
              <w:spacing w:line="360" w:lineRule="auto"/>
              <w:ind w:firstLine="482" w:firstLineChars="200"/>
              <w:rPr>
                <w:rFonts w:hint="eastAsia"/>
                <w:b/>
                <w:color w:val="auto"/>
                <w:sz w:val="24"/>
              </w:rPr>
            </w:pPr>
            <w:r>
              <w:rPr>
                <w:rFonts w:hint="eastAsia"/>
                <w:b/>
                <w:color w:val="auto"/>
                <w:sz w:val="24"/>
              </w:rPr>
              <w:t>（二）运营期工艺流程及产污环节：</w:t>
            </w:r>
          </w:p>
          <w:p>
            <w:pPr>
              <w:spacing w:line="360" w:lineRule="auto"/>
              <w:ind w:firstLine="480" w:firstLineChars="200"/>
              <w:rPr>
                <w:color w:val="auto"/>
                <w:sz w:val="24"/>
              </w:rPr>
            </w:pPr>
            <w:r>
              <w:rPr>
                <w:rFonts w:hint="eastAsia"/>
                <w:color w:val="auto"/>
                <w:sz w:val="24"/>
              </w:rPr>
              <w:t>本项目主要产品为高效太阳能光伏组件，</w:t>
            </w:r>
            <w:r>
              <w:rPr>
                <w:rFonts w:hint="eastAsia"/>
                <w:color w:val="auto"/>
                <w:sz w:val="24"/>
                <w:lang w:eastAsia="zh-CN"/>
              </w:rPr>
              <w:t>生产设施</w:t>
            </w:r>
            <w:r>
              <w:rPr>
                <w:rFonts w:hint="eastAsia"/>
                <w:color w:val="auto"/>
                <w:sz w:val="24"/>
              </w:rPr>
              <w:t>具备</w:t>
            </w:r>
            <w:r>
              <w:rPr>
                <w:color w:val="auto"/>
                <w:sz w:val="24"/>
              </w:rPr>
              <w:t>18X</w:t>
            </w:r>
            <w:r>
              <w:rPr>
                <w:rFonts w:hint="eastAsia"/>
                <w:color w:val="auto"/>
                <w:sz w:val="24"/>
              </w:rPr>
              <w:t>组件生产能力、兼容</w:t>
            </w:r>
            <w:r>
              <w:rPr>
                <w:color w:val="auto"/>
                <w:sz w:val="24"/>
              </w:rPr>
              <w:t>230</w:t>
            </w:r>
            <w:r>
              <w:rPr>
                <w:rFonts w:hint="eastAsia"/>
                <w:color w:val="auto"/>
                <w:sz w:val="24"/>
              </w:rPr>
              <w:t>尺寸组件（</w:t>
            </w:r>
            <w:r>
              <w:rPr>
                <w:color w:val="auto"/>
                <w:sz w:val="24"/>
              </w:rPr>
              <w:t>2520*1450</w:t>
            </w:r>
            <w:r>
              <w:rPr>
                <w:rFonts w:hint="eastAsia"/>
                <w:color w:val="auto"/>
                <w:sz w:val="24"/>
              </w:rPr>
              <w:t>）组件各版型自动化生产技术要求。</w:t>
            </w:r>
            <w:r>
              <w:rPr>
                <w:color w:val="auto"/>
                <w:sz w:val="24"/>
              </w:rPr>
              <w:t>18X</w:t>
            </w:r>
            <w:r>
              <w:rPr>
                <w:rFonts w:hint="eastAsia"/>
                <w:color w:val="auto"/>
                <w:sz w:val="24"/>
              </w:rPr>
              <w:t>组件通过在增加电池片面积，相比传统</w:t>
            </w:r>
            <w:r>
              <w:rPr>
                <w:color w:val="auto"/>
                <w:sz w:val="24"/>
              </w:rPr>
              <w:t>16X</w:t>
            </w:r>
            <w:r>
              <w:rPr>
                <w:rFonts w:hint="eastAsia"/>
                <w:color w:val="auto"/>
                <w:sz w:val="24"/>
              </w:rPr>
              <w:t>电池片单块功率及转换效率更高、导电性更强。具体生产工艺流程如下：</w:t>
            </w:r>
          </w:p>
          <w:p>
            <w:pPr>
              <w:pStyle w:val="63"/>
              <w:spacing w:line="360" w:lineRule="auto"/>
              <w:jc w:val="center"/>
              <w:rPr>
                <w:b/>
                <w:bCs/>
                <w:color w:val="auto"/>
              </w:rPr>
            </w:pPr>
            <w:r>
              <w:rPr>
                <w:rFonts w:hint="eastAsia"/>
                <w:color w:val="auto"/>
              </w:rPr>
              <w:object>
                <v:shape id="_x0000_i1027" o:spt="75" type="#_x0000_t75" style="height:543.5pt;width:434.35pt;" o:ole="t" filled="f" o:preferrelative="t" stroked="f" coordsize="21600,21600">
                  <v:path/>
                  <v:fill on="f" focussize="0,0"/>
                  <v:stroke on="f"/>
                  <v:imagedata r:id="rId15" o:title=""/>
                  <o:lock v:ext="edit" aspectratio="t"/>
                  <w10:wrap type="none"/>
                  <w10:anchorlock/>
                </v:shape>
                <o:OLEObject Type="Embed" ProgID="" ShapeID="_x0000_i1027" DrawAspect="Content" ObjectID="_1468075727" r:id="rId14">
                  <o:LockedField>false</o:LockedField>
                </o:OLEObject>
              </w:object>
            </w:r>
            <w:r>
              <w:rPr>
                <w:b/>
                <w:bCs/>
                <w:color w:val="auto"/>
                <w:sz w:val="21"/>
                <w:szCs w:val="21"/>
              </w:rPr>
              <w:t>图</w:t>
            </w:r>
            <w:r>
              <w:rPr>
                <w:rFonts w:hint="eastAsia"/>
                <w:b/>
                <w:bCs/>
                <w:color w:val="auto"/>
                <w:sz w:val="21"/>
                <w:szCs w:val="21"/>
                <w:lang w:val="en-US" w:eastAsia="zh-CN"/>
              </w:rPr>
              <w:t>4</w:t>
            </w:r>
            <w:r>
              <w:rPr>
                <w:b/>
                <w:bCs/>
                <w:color w:val="auto"/>
                <w:sz w:val="21"/>
                <w:szCs w:val="21"/>
              </w:rPr>
              <w:t xml:space="preserve"> 项目生产工艺流程及产污节点图</w:t>
            </w:r>
          </w:p>
          <w:p>
            <w:pPr>
              <w:autoSpaceDE w:val="0"/>
              <w:autoSpaceDN w:val="0"/>
              <w:spacing w:line="360" w:lineRule="auto"/>
              <w:ind w:firstLine="482" w:firstLineChars="200"/>
              <w:rPr>
                <w:b/>
                <w:color w:val="auto"/>
                <w:kern w:val="0"/>
                <w:sz w:val="24"/>
              </w:rPr>
            </w:pPr>
            <w:r>
              <w:rPr>
                <w:b/>
                <w:color w:val="auto"/>
                <w:kern w:val="0"/>
                <w:sz w:val="24"/>
              </w:rPr>
              <w:t>工艺</w:t>
            </w:r>
            <w:r>
              <w:rPr>
                <w:rFonts w:hint="eastAsia"/>
                <w:b/>
                <w:color w:val="auto"/>
                <w:kern w:val="0"/>
                <w:sz w:val="24"/>
              </w:rPr>
              <w:t>流程</w:t>
            </w:r>
            <w:r>
              <w:rPr>
                <w:b/>
                <w:color w:val="auto"/>
                <w:kern w:val="0"/>
                <w:sz w:val="24"/>
              </w:rPr>
              <w:t>简述：</w:t>
            </w:r>
          </w:p>
          <w:p>
            <w:pPr>
              <w:spacing w:line="360" w:lineRule="auto"/>
              <w:ind w:firstLine="480" w:firstLineChars="200"/>
              <w:rPr>
                <w:color w:val="auto"/>
                <w:sz w:val="24"/>
              </w:rPr>
            </w:pPr>
            <w:r>
              <w:rPr>
                <w:color w:val="auto"/>
                <w:sz w:val="24"/>
              </w:rPr>
              <w:t>（1）自动上光伏玻璃：自动上玻璃机通过机械手上吸盘和电脑中设定程序，将放置在指定位置的光伏玻璃转移至流水线上。</w:t>
            </w:r>
          </w:p>
          <w:p>
            <w:pPr>
              <w:spacing w:line="360" w:lineRule="auto"/>
              <w:ind w:firstLine="480" w:firstLineChars="200"/>
              <w:rPr>
                <w:color w:val="auto"/>
                <w:sz w:val="24"/>
              </w:rPr>
            </w:pPr>
            <w:r>
              <w:rPr>
                <w:color w:val="auto"/>
                <w:sz w:val="24"/>
              </w:rPr>
              <w:t>（2）自动</w:t>
            </w:r>
            <w:r>
              <w:rPr>
                <w:rFonts w:hint="eastAsia"/>
                <w:color w:val="auto"/>
                <w:sz w:val="24"/>
              </w:rPr>
              <w:t>裁切铺</w:t>
            </w:r>
            <w:r>
              <w:rPr>
                <w:color w:val="auto"/>
                <w:sz w:val="24"/>
              </w:rPr>
              <w:t>：卷材EVA膜固定于裁切机上，通过激光感应其经过滚轮的长度，按照预设程序设计尺寸进行裁切，该过程产生废边角料（S3）。</w:t>
            </w:r>
          </w:p>
          <w:p>
            <w:pPr>
              <w:spacing w:line="360" w:lineRule="auto"/>
              <w:ind w:firstLine="480" w:firstLineChars="200"/>
              <w:rPr>
                <w:color w:val="auto"/>
                <w:sz w:val="24"/>
              </w:rPr>
            </w:pPr>
            <w:r>
              <w:rPr>
                <w:color w:val="auto"/>
                <w:sz w:val="24"/>
              </w:rPr>
              <w:t>（4）自动划焊：将设备中全片电池，利用激光切割成半片，后续使用红外线加热焊接方式，将</w:t>
            </w:r>
            <w:r>
              <w:rPr>
                <w:rFonts w:hint="eastAsia"/>
                <w:color w:val="auto"/>
                <w:sz w:val="24"/>
              </w:rPr>
              <w:t>汇流带</w:t>
            </w:r>
            <w:r>
              <w:rPr>
                <w:color w:val="auto"/>
                <w:sz w:val="24"/>
              </w:rPr>
              <w:t>与电池片连接成电池串</w:t>
            </w:r>
            <w:r>
              <w:rPr>
                <w:rFonts w:hint="eastAsia"/>
                <w:color w:val="auto"/>
                <w:sz w:val="24"/>
              </w:rPr>
              <w:t>，焊接过程使用助焊剂</w:t>
            </w:r>
            <w:r>
              <w:rPr>
                <w:color w:val="auto"/>
                <w:sz w:val="24"/>
              </w:rPr>
              <w:t>。该过程产生焊接烟尘（G1）、助焊剂挥发有机废气（G2）、废边角料（S3）、不合格品（S2）及废助焊剂（S1）</w:t>
            </w:r>
            <w:r>
              <w:rPr>
                <w:rFonts w:hint="eastAsia"/>
                <w:color w:val="auto"/>
                <w:sz w:val="24"/>
              </w:rPr>
              <w:t>、废助焊剂包装桶（S6）</w:t>
            </w:r>
            <w:r>
              <w:rPr>
                <w:color w:val="auto"/>
                <w:sz w:val="24"/>
              </w:rPr>
              <w:t>；</w:t>
            </w:r>
          </w:p>
          <w:p>
            <w:pPr>
              <w:spacing w:line="360" w:lineRule="auto"/>
              <w:ind w:firstLine="480" w:firstLineChars="200"/>
              <w:rPr>
                <w:color w:val="auto"/>
                <w:sz w:val="24"/>
              </w:rPr>
            </w:pPr>
            <w:r>
              <w:rPr>
                <w:color w:val="auto"/>
                <w:sz w:val="24"/>
              </w:rPr>
              <w:t>（5）自动排版：将从焊机中焊接完成的电池串，通过排版机机械手小吸盘和传感器，转移至玻璃面EVA上，并按照计算机设定的串距进行排版。</w:t>
            </w:r>
          </w:p>
          <w:p>
            <w:pPr>
              <w:spacing w:line="360" w:lineRule="auto"/>
              <w:ind w:firstLine="480" w:firstLineChars="200"/>
              <w:rPr>
                <w:color w:val="auto"/>
                <w:sz w:val="24"/>
              </w:rPr>
            </w:pPr>
            <w:r>
              <w:rPr>
                <w:color w:val="auto"/>
                <w:sz w:val="24"/>
              </w:rPr>
              <w:t>（6）自动叠层：利用自动叠焊机电磁感应加热原理，将电池串进行串并联；自动贴胶带机粘贴固定胶带。</w:t>
            </w:r>
          </w:p>
          <w:p>
            <w:pPr>
              <w:spacing w:line="360" w:lineRule="auto"/>
              <w:ind w:firstLine="480" w:firstLineChars="200"/>
              <w:rPr>
                <w:rFonts w:hint="eastAsia" w:eastAsia="宋体"/>
                <w:color w:val="auto"/>
                <w:sz w:val="24"/>
                <w:lang w:eastAsia="zh-CN"/>
              </w:rPr>
            </w:pPr>
            <w:r>
              <w:rPr>
                <w:color w:val="auto"/>
                <w:sz w:val="24"/>
              </w:rPr>
              <w:t>（7）自动</w:t>
            </w:r>
            <w:r>
              <w:rPr>
                <w:rFonts w:hint="eastAsia"/>
                <w:color w:val="auto"/>
                <w:sz w:val="24"/>
                <w:lang w:eastAsia="zh-CN"/>
              </w:rPr>
              <w:t>裁切铺</w:t>
            </w:r>
            <w:r>
              <w:rPr>
                <w:color w:val="auto"/>
                <w:sz w:val="24"/>
              </w:rPr>
              <w:t>：卷材EVA、背板自动裁切后自动铺在叠焊完成的电池串上，双玻组件自动裁切铺设后自动合上层玻璃</w:t>
            </w:r>
            <w:r>
              <w:rPr>
                <w:rFonts w:hint="eastAsia"/>
                <w:color w:val="auto"/>
                <w:sz w:val="24"/>
                <w:lang w:eastAsia="zh-CN"/>
              </w:rPr>
              <w:t>，该过程产生废边角料</w:t>
            </w:r>
            <w:r>
              <w:rPr>
                <w:color w:val="auto"/>
                <w:sz w:val="24"/>
              </w:rPr>
              <w:t>（S3）</w:t>
            </w:r>
            <w:r>
              <w:rPr>
                <w:rFonts w:hint="eastAsia"/>
                <w:color w:val="auto"/>
                <w:sz w:val="24"/>
                <w:lang w:eastAsia="zh-CN"/>
              </w:rPr>
              <w:t>。</w:t>
            </w:r>
          </w:p>
          <w:p>
            <w:pPr>
              <w:spacing w:line="360" w:lineRule="auto"/>
              <w:ind w:firstLine="480" w:firstLineChars="200"/>
              <w:rPr>
                <w:color w:val="auto"/>
                <w:sz w:val="24"/>
              </w:rPr>
            </w:pPr>
            <w:r>
              <w:rPr>
                <w:color w:val="auto"/>
                <w:sz w:val="24"/>
              </w:rPr>
              <w:t>（8）</w:t>
            </w:r>
            <w:r>
              <w:rPr>
                <w:rFonts w:hint="eastAsia"/>
                <w:color w:val="auto"/>
                <w:sz w:val="24"/>
              </w:rPr>
              <w:t>IV检验、EL测试</w:t>
            </w:r>
            <w:r>
              <w:rPr>
                <w:color w:val="auto"/>
                <w:sz w:val="24"/>
              </w:rPr>
              <w:t>：自动拍摄组件正面照片，检查产品缺陷，有缺陷的进行返修；自动拍摄EL，检测电池片内部结构缺陷和焊接效果，不良返修。</w:t>
            </w:r>
          </w:p>
          <w:p>
            <w:pPr>
              <w:spacing w:line="360" w:lineRule="auto"/>
              <w:ind w:firstLine="480" w:firstLineChars="200"/>
              <w:rPr>
                <w:color w:val="auto"/>
                <w:sz w:val="24"/>
              </w:rPr>
            </w:pPr>
            <w:r>
              <w:rPr>
                <w:color w:val="auto"/>
                <w:sz w:val="24"/>
              </w:rPr>
              <w:t>（9）层压：将组件放入层压机中抽真空、加温至120℃、加压使EVA交联固化。同时双玻组件层压前封边，安装层压框。该过程产生EVA高温挥发的有机废气（G</w:t>
            </w:r>
            <w:r>
              <w:rPr>
                <w:rFonts w:hint="eastAsia"/>
                <w:color w:val="auto"/>
                <w:sz w:val="24"/>
              </w:rPr>
              <w:t>3</w:t>
            </w:r>
            <w:r>
              <w:rPr>
                <w:color w:val="auto"/>
                <w:sz w:val="24"/>
              </w:rPr>
              <w:t>）。</w:t>
            </w:r>
          </w:p>
          <w:p>
            <w:pPr>
              <w:spacing w:line="360" w:lineRule="auto"/>
              <w:ind w:firstLine="720" w:firstLineChars="300"/>
              <w:rPr>
                <w:color w:val="auto"/>
              </w:rPr>
            </w:pPr>
            <w:r>
              <w:rPr>
                <w:rFonts w:hint="eastAsia"/>
                <w:color w:val="auto"/>
                <w:sz w:val="24"/>
              </w:rPr>
              <w:t>EVA使用前需要进行</w:t>
            </w:r>
            <w:r>
              <w:rPr>
                <w:color w:val="auto"/>
                <w:sz w:val="24"/>
              </w:rPr>
              <w:t>抽检（EVA交联测试）</w:t>
            </w:r>
            <w:r>
              <w:rPr>
                <w:rFonts w:hint="eastAsia"/>
                <w:color w:val="auto"/>
                <w:sz w:val="24"/>
              </w:rPr>
              <w:t>，</w:t>
            </w:r>
            <w:r>
              <w:rPr>
                <w:color w:val="auto"/>
                <w:sz w:val="24"/>
              </w:rPr>
              <w:t>该过程主要通过二甲苯进行测试，EVA胶膜经加热固化形成交联，采用二甲苯溶剂萃取样品中未交联部分，从而测定交联度</w:t>
            </w:r>
            <w:r>
              <w:rPr>
                <w:rFonts w:hint="eastAsia"/>
                <w:color w:val="auto"/>
                <w:sz w:val="24"/>
              </w:rPr>
              <w:t>，</w:t>
            </w:r>
            <w:r>
              <w:rPr>
                <w:color w:val="auto"/>
                <w:sz w:val="24"/>
              </w:rPr>
              <w:t>在专用实验室通风橱内进行，进行全厂区产品EVA交联测试。该过程产生实验过程挥发的二甲苯废气（G</w:t>
            </w:r>
            <w:r>
              <w:rPr>
                <w:rFonts w:hint="eastAsia"/>
                <w:color w:val="auto"/>
                <w:sz w:val="24"/>
              </w:rPr>
              <w:t>7</w:t>
            </w:r>
            <w:r>
              <w:rPr>
                <w:color w:val="auto"/>
                <w:sz w:val="24"/>
              </w:rPr>
              <w:t>）、二甲苯废液（S4）。</w:t>
            </w:r>
          </w:p>
          <w:p>
            <w:pPr>
              <w:spacing w:line="360" w:lineRule="auto"/>
              <w:ind w:firstLine="480" w:firstLineChars="200"/>
              <w:rPr>
                <w:color w:val="auto"/>
                <w:sz w:val="24"/>
              </w:rPr>
            </w:pPr>
            <w:r>
              <w:rPr>
                <w:color w:val="auto"/>
                <w:sz w:val="24"/>
              </w:rPr>
              <w:t>（10）自动削边：削边机沿玻璃边削去多余的EVA和背板，双玻组件削边后撕除封边胶带并清洗。该过程产生废边角料（S3）。</w:t>
            </w:r>
          </w:p>
          <w:p>
            <w:pPr>
              <w:spacing w:line="360" w:lineRule="auto"/>
              <w:ind w:firstLine="480" w:firstLineChars="200"/>
              <w:rPr>
                <w:color w:val="auto"/>
                <w:sz w:val="24"/>
              </w:rPr>
            </w:pPr>
            <w:r>
              <w:rPr>
                <w:color w:val="auto"/>
                <w:sz w:val="24"/>
              </w:rPr>
              <w:t>（11）层压后外观检：检查层压后外观，识别不良品。</w:t>
            </w:r>
          </w:p>
          <w:p>
            <w:pPr>
              <w:spacing w:line="360" w:lineRule="auto"/>
              <w:ind w:firstLine="480" w:firstLineChars="200"/>
              <w:rPr>
                <w:rFonts w:hint="eastAsia"/>
                <w:color w:val="auto"/>
                <w:sz w:val="24"/>
              </w:rPr>
            </w:pPr>
            <w:r>
              <w:rPr>
                <w:color w:val="auto"/>
                <w:sz w:val="24"/>
              </w:rPr>
              <w:t>（12）装框、接线盒安装：装框机在铝边框槽内打上密封胶，将电池片、玻璃等封装保护起来。接线盒通过密封胶与组件背板/玻璃黏在一起，接线盒中二极管与组件汇流条</w:t>
            </w:r>
            <w:r>
              <w:rPr>
                <w:rFonts w:hint="eastAsia"/>
                <w:color w:val="auto"/>
                <w:sz w:val="24"/>
              </w:rPr>
              <w:t>使用</w:t>
            </w:r>
            <w:r>
              <w:rPr>
                <w:rFonts w:hint="eastAsia"/>
                <w:color w:val="auto"/>
                <w:sz w:val="24"/>
                <w:lang w:val="en-US" w:eastAsia="zh-CN"/>
              </w:rPr>
              <w:t>无铅</w:t>
            </w:r>
            <w:r>
              <w:rPr>
                <w:rFonts w:hint="eastAsia"/>
                <w:color w:val="auto"/>
                <w:sz w:val="24"/>
              </w:rPr>
              <w:t>焊丝</w:t>
            </w:r>
            <w:r>
              <w:rPr>
                <w:color w:val="auto"/>
                <w:sz w:val="24"/>
              </w:rPr>
              <w:t>进行焊接，使组件内部产生电力与外部电路连接。</w:t>
            </w:r>
            <w:r>
              <w:rPr>
                <w:rFonts w:hint="eastAsia"/>
                <w:color w:val="auto"/>
                <w:sz w:val="24"/>
              </w:rPr>
              <w:t>该过程产生焊接废气（G4），废密封胶包装桶（S6）。</w:t>
            </w:r>
          </w:p>
          <w:p>
            <w:pPr>
              <w:spacing w:line="360" w:lineRule="auto"/>
              <w:ind w:firstLine="480" w:firstLineChars="200"/>
              <w:rPr>
                <w:color w:val="auto"/>
                <w:sz w:val="24"/>
              </w:rPr>
            </w:pPr>
            <w:r>
              <w:rPr>
                <w:color w:val="auto"/>
                <w:sz w:val="24"/>
              </w:rPr>
              <w:t>（13）固化：打胶后在25±3℃温度高湿环境下固化3.5-4小时，加快密封胶的固化速度，使密封胶初步固化。该过程产生密封胶挥发的有机废气（G</w:t>
            </w:r>
            <w:r>
              <w:rPr>
                <w:rFonts w:hint="eastAsia"/>
                <w:color w:val="auto"/>
                <w:sz w:val="24"/>
              </w:rPr>
              <w:t>5</w:t>
            </w:r>
            <w:r>
              <w:rPr>
                <w:color w:val="auto"/>
                <w:sz w:val="24"/>
              </w:rPr>
              <w:t>）。</w:t>
            </w:r>
          </w:p>
          <w:p>
            <w:pPr>
              <w:spacing w:line="360" w:lineRule="auto"/>
              <w:ind w:firstLine="480" w:firstLineChars="200"/>
              <w:rPr>
                <w:color w:val="auto"/>
                <w:sz w:val="24"/>
              </w:rPr>
            </w:pPr>
            <w:r>
              <w:rPr>
                <w:color w:val="auto"/>
                <w:sz w:val="24"/>
              </w:rPr>
              <w:t>（14）擦拭清洗：使用酒精清洁组件背面和正面的脏污，并安装工装。该过程产生挥发的乙醇废气（G</w:t>
            </w:r>
            <w:r>
              <w:rPr>
                <w:rFonts w:hint="eastAsia"/>
                <w:color w:val="auto"/>
                <w:sz w:val="24"/>
              </w:rPr>
              <w:t>6</w:t>
            </w:r>
            <w:r>
              <w:rPr>
                <w:color w:val="auto"/>
                <w:sz w:val="24"/>
              </w:rPr>
              <w:t>）</w:t>
            </w:r>
            <w:r>
              <w:rPr>
                <w:rFonts w:hint="eastAsia"/>
                <w:color w:val="auto"/>
                <w:sz w:val="24"/>
              </w:rPr>
              <w:t>，废酒精包装桶（S6）</w:t>
            </w:r>
            <w:r>
              <w:rPr>
                <w:rFonts w:hint="eastAsia"/>
                <w:color w:val="auto"/>
                <w:sz w:val="24"/>
                <w:lang w:eastAsia="zh-CN"/>
              </w:rPr>
              <w:t>、废无尘布（</w:t>
            </w:r>
            <w:r>
              <w:rPr>
                <w:rFonts w:hint="eastAsia"/>
                <w:color w:val="auto"/>
                <w:sz w:val="24"/>
                <w:lang w:val="en-US" w:eastAsia="zh-CN"/>
              </w:rPr>
              <w:t>S5</w:t>
            </w:r>
            <w:r>
              <w:rPr>
                <w:rFonts w:hint="eastAsia"/>
                <w:color w:val="auto"/>
                <w:sz w:val="24"/>
                <w:lang w:eastAsia="zh-CN"/>
              </w:rPr>
              <w:t>）</w:t>
            </w:r>
            <w:r>
              <w:rPr>
                <w:color w:val="auto"/>
                <w:sz w:val="24"/>
              </w:rPr>
              <w:t>。</w:t>
            </w:r>
          </w:p>
          <w:p>
            <w:pPr>
              <w:spacing w:line="360" w:lineRule="auto"/>
              <w:ind w:firstLine="480" w:firstLineChars="200"/>
              <w:rPr>
                <w:color w:val="auto"/>
                <w:sz w:val="24"/>
              </w:rPr>
            </w:pPr>
            <w:r>
              <w:rPr>
                <w:color w:val="auto"/>
                <w:sz w:val="24"/>
              </w:rPr>
              <w:t>（15）IV测试：使用太阳光模拟器测试组件发电功率。</w:t>
            </w:r>
          </w:p>
          <w:p>
            <w:pPr>
              <w:spacing w:line="360" w:lineRule="auto"/>
              <w:ind w:firstLine="480" w:firstLineChars="200"/>
              <w:rPr>
                <w:color w:val="auto"/>
                <w:sz w:val="24"/>
              </w:rPr>
            </w:pPr>
            <w:r>
              <w:rPr>
                <w:color w:val="auto"/>
                <w:sz w:val="24"/>
              </w:rPr>
              <w:t>（16）安规测试：自动测试组件的绝缘性能、耐压性能、接地电阻，确保组件在高压高电流下的安全和可靠性。该过程产生不合格品（S2）。</w:t>
            </w:r>
          </w:p>
          <w:p>
            <w:pPr>
              <w:spacing w:line="360" w:lineRule="auto"/>
              <w:ind w:firstLine="480" w:firstLineChars="200"/>
              <w:rPr>
                <w:color w:val="auto"/>
                <w:sz w:val="24"/>
              </w:rPr>
            </w:pPr>
            <w:r>
              <w:rPr>
                <w:color w:val="auto"/>
                <w:sz w:val="24"/>
              </w:rPr>
              <w:t>（17）EL</w:t>
            </w:r>
            <w:r>
              <w:rPr>
                <w:rFonts w:hint="eastAsia"/>
                <w:color w:val="auto"/>
                <w:sz w:val="24"/>
              </w:rPr>
              <w:t>测试</w:t>
            </w:r>
            <w:r>
              <w:rPr>
                <w:color w:val="auto"/>
                <w:sz w:val="24"/>
              </w:rPr>
              <w:t xml:space="preserve"> ：自动测试组件电池内部缺陷及焊接不良，检查组件外观不良，不良组件进行降级和返修处理。该过程产生不合格品（S2）。</w:t>
            </w:r>
          </w:p>
          <w:p>
            <w:pPr>
              <w:spacing w:line="360" w:lineRule="auto"/>
              <w:ind w:firstLine="480" w:firstLineChars="200"/>
              <w:rPr>
                <w:color w:val="auto"/>
                <w:sz w:val="24"/>
              </w:rPr>
            </w:pPr>
            <w:r>
              <w:rPr>
                <w:color w:val="auto"/>
                <w:sz w:val="24"/>
              </w:rPr>
              <w:t>（</w:t>
            </w:r>
            <w:r>
              <w:rPr>
                <w:rFonts w:hint="eastAsia"/>
                <w:color w:val="auto"/>
                <w:sz w:val="24"/>
              </w:rPr>
              <w:t>18</w:t>
            </w:r>
            <w:r>
              <w:rPr>
                <w:color w:val="auto"/>
                <w:sz w:val="24"/>
              </w:rPr>
              <w:t>）自动贴标：粘贴铭牌和条码。</w:t>
            </w:r>
          </w:p>
          <w:p>
            <w:pPr>
              <w:spacing w:line="360" w:lineRule="auto"/>
              <w:ind w:firstLine="480" w:firstLineChars="200"/>
              <w:rPr>
                <w:rFonts w:hint="eastAsia"/>
                <w:color w:val="auto"/>
                <w:sz w:val="24"/>
              </w:rPr>
            </w:pPr>
            <w:r>
              <w:rPr>
                <w:color w:val="auto"/>
                <w:sz w:val="24"/>
              </w:rPr>
              <w:t>（</w:t>
            </w:r>
            <w:r>
              <w:rPr>
                <w:rFonts w:hint="eastAsia"/>
                <w:color w:val="auto"/>
                <w:sz w:val="24"/>
              </w:rPr>
              <w:t>19</w:t>
            </w:r>
            <w:r>
              <w:rPr>
                <w:color w:val="auto"/>
                <w:sz w:val="24"/>
              </w:rPr>
              <w:t>）自动分托包装：根据IV测试仪测试出的组件功率，将不同档位区间的组件进行自动分托后包装入库，该过程产生废包装材料（S</w:t>
            </w:r>
            <w:r>
              <w:rPr>
                <w:rFonts w:hint="eastAsia"/>
                <w:color w:val="auto"/>
                <w:sz w:val="24"/>
                <w:lang w:val="en-US" w:eastAsia="zh-CN"/>
              </w:rPr>
              <w:t>7</w:t>
            </w:r>
            <w:r>
              <w:rPr>
                <w:color w:val="auto"/>
                <w:sz w:val="24"/>
              </w:rPr>
              <w:t>）</w:t>
            </w:r>
            <w:r>
              <w:rPr>
                <w:rFonts w:hint="eastAsia"/>
                <w:color w:val="auto"/>
                <w:sz w:val="24"/>
              </w:rPr>
              <w:t>。</w:t>
            </w:r>
          </w:p>
          <w:p>
            <w:pPr>
              <w:pStyle w:val="3"/>
              <w:ind w:left="0" w:leftChars="0" w:firstLine="480"/>
              <w:rPr>
                <w:rFonts w:hint="eastAsia"/>
                <w:color w:val="auto"/>
              </w:rPr>
            </w:pPr>
            <w:r>
              <w:rPr>
                <w:rFonts w:hint="eastAsia"/>
                <w:color w:val="auto"/>
                <w:sz w:val="24"/>
              </w:rPr>
              <w:t>本项目生产过程污染物产生情况汇总如下：</w:t>
            </w:r>
          </w:p>
          <w:p>
            <w:pPr>
              <w:jc w:val="center"/>
              <w:rPr>
                <w:rFonts w:hint="eastAsia"/>
                <w:b/>
                <w:bCs/>
                <w:color w:val="auto"/>
              </w:rPr>
            </w:pPr>
            <w:r>
              <w:rPr>
                <w:rFonts w:hint="eastAsia"/>
                <w:b/>
                <w:bCs/>
                <w:color w:val="auto"/>
              </w:rPr>
              <w:t>表19  项目产污环节及污染因子一览表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107"/>
              <w:gridCol w:w="693"/>
              <w:gridCol w:w="2320"/>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noWrap w:val="0"/>
                  <w:vAlign w:val="center"/>
                </w:tcPr>
                <w:p>
                  <w:pPr>
                    <w:jc w:val="center"/>
                    <w:rPr>
                      <w:b/>
                      <w:bCs/>
                      <w:color w:val="auto"/>
                      <w:szCs w:val="21"/>
                    </w:rPr>
                  </w:pPr>
                  <w:r>
                    <w:rPr>
                      <w:b/>
                      <w:bCs/>
                      <w:color w:val="auto"/>
                      <w:szCs w:val="21"/>
                    </w:rPr>
                    <w:t>类别</w:t>
                  </w:r>
                </w:p>
              </w:tc>
              <w:tc>
                <w:tcPr>
                  <w:tcW w:w="2107" w:type="dxa"/>
                  <w:noWrap w:val="0"/>
                  <w:vAlign w:val="center"/>
                </w:tcPr>
                <w:p>
                  <w:pPr>
                    <w:jc w:val="center"/>
                    <w:rPr>
                      <w:b/>
                      <w:bCs/>
                      <w:color w:val="auto"/>
                      <w:szCs w:val="21"/>
                    </w:rPr>
                  </w:pPr>
                  <w:r>
                    <w:rPr>
                      <w:b/>
                      <w:bCs/>
                      <w:color w:val="auto"/>
                      <w:szCs w:val="21"/>
                    </w:rPr>
                    <w:t>产污环节</w:t>
                  </w:r>
                </w:p>
              </w:tc>
              <w:tc>
                <w:tcPr>
                  <w:tcW w:w="693" w:type="dxa"/>
                  <w:noWrap w:val="0"/>
                  <w:vAlign w:val="center"/>
                </w:tcPr>
                <w:p>
                  <w:pPr>
                    <w:jc w:val="center"/>
                    <w:rPr>
                      <w:rFonts w:hint="eastAsia"/>
                      <w:b/>
                      <w:bCs/>
                      <w:color w:val="auto"/>
                      <w:szCs w:val="21"/>
                    </w:rPr>
                  </w:pPr>
                  <w:r>
                    <w:rPr>
                      <w:rFonts w:hint="eastAsia"/>
                      <w:b/>
                      <w:bCs/>
                      <w:color w:val="auto"/>
                      <w:szCs w:val="21"/>
                    </w:rPr>
                    <w:t>编号</w:t>
                  </w:r>
                </w:p>
              </w:tc>
              <w:tc>
                <w:tcPr>
                  <w:tcW w:w="2320" w:type="dxa"/>
                  <w:noWrap w:val="0"/>
                  <w:vAlign w:val="center"/>
                </w:tcPr>
                <w:p>
                  <w:pPr>
                    <w:jc w:val="center"/>
                    <w:rPr>
                      <w:b/>
                      <w:bCs/>
                      <w:color w:val="auto"/>
                      <w:szCs w:val="21"/>
                    </w:rPr>
                  </w:pPr>
                  <w:r>
                    <w:rPr>
                      <w:b/>
                      <w:bCs/>
                      <w:color w:val="auto"/>
                      <w:szCs w:val="21"/>
                    </w:rPr>
                    <w:t>污染因子</w:t>
                  </w:r>
                </w:p>
              </w:tc>
              <w:tc>
                <w:tcPr>
                  <w:tcW w:w="2866" w:type="dxa"/>
                  <w:noWrap w:val="0"/>
                  <w:vAlign w:val="center"/>
                </w:tcPr>
                <w:p>
                  <w:pPr>
                    <w:jc w:val="center"/>
                    <w:rPr>
                      <w:rFonts w:hint="eastAsia"/>
                      <w:b/>
                      <w:bCs/>
                      <w:color w:val="auto"/>
                      <w:szCs w:val="21"/>
                    </w:rPr>
                  </w:pPr>
                  <w:r>
                    <w:rPr>
                      <w:rFonts w:hint="eastAsia"/>
                      <w:b/>
                      <w:bCs/>
                      <w:color w:val="auto"/>
                      <w:szCs w:val="21"/>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44" w:type="dxa"/>
                  <w:vMerge w:val="restart"/>
                  <w:noWrap w:val="0"/>
                  <w:vAlign w:val="center"/>
                </w:tcPr>
                <w:p>
                  <w:pPr>
                    <w:jc w:val="center"/>
                    <w:rPr>
                      <w:color w:val="auto"/>
                      <w:szCs w:val="21"/>
                    </w:rPr>
                  </w:pPr>
                  <w:r>
                    <w:rPr>
                      <w:rFonts w:hint="eastAsia"/>
                      <w:color w:val="auto"/>
                      <w:szCs w:val="21"/>
                    </w:rPr>
                    <w:t>废气</w:t>
                  </w:r>
                </w:p>
              </w:tc>
              <w:tc>
                <w:tcPr>
                  <w:tcW w:w="2107" w:type="dxa"/>
                  <w:vMerge w:val="restart"/>
                  <w:noWrap w:val="0"/>
                  <w:vAlign w:val="center"/>
                </w:tcPr>
                <w:p>
                  <w:pPr>
                    <w:jc w:val="center"/>
                    <w:rPr>
                      <w:color w:val="auto"/>
                      <w:szCs w:val="21"/>
                    </w:rPr>
                  </w:pPr>
                  <w:r>
                    <w:rPr>
                      <w:rFonts w:hint="eastAsia"/>
                      <w:color w:val="auto"/>
                      <w:szCs w:val="21"/>
                    </w:rPr>
                    <w:t>自动划焊</w:t>
                  </w:r>
                </w:p>
              </w:tc>
              <w:tc>
                <w:tcPr>
                  <w:tcW w:w="693" w:type="dxa"/>
                  <w:noWrap w:val="0"/>
                  <w:vAlign w:val="center"/>
                </w:tcPr>
                <w:p>
                  <w:pPr>
                    <w:jc w:val="center"/>
                    <w:rPr>
                      <w:color w:val="auto"/>
                      <w:szCs w:val="21"/>
                    </w:rPr>
                  </w:pPr>
                  <w:r>
                    <w:rPr>
                      <w:rFonts w:hint="eastAsia"/>
                      <w:color w:val="auto"/>
                      <w:szCs w:val="21"/>
                    </w:rPr>
                    <w:t>G1</w:t>
                  </w:r>
                </w:p>
              </w:tc>
              <w:tc>
                <w:tcPr>
                  <w:tcW w:w="2320" w:type="dxa"/>
                  <w:noWrap w:val="0"/>
                  <w:vAlign w:val="center"/>
                </w:tcPr>
                <w:p>
                  <w:pPr>
                    <w:jc w:val="center"/>
                    <w:rPr>
                      <w:color w:val="auto"/>
                      <w:szCs w:val="21"/>
                    </w:rPr>
                  </w:pPr>
                  <w:r>
                    <w:rPr>
                      <w:rFonts w:hint="eastAsia"/>
                      <w:color w:val="auto"/>
                    </w:rPr>
                    <w:t>颗粒物、锡及其化合物</w:t>
                  </w:r>
                </w:p>
              </w:tc>
              <w:tc>
                <w:tcPr>
                  <w:tcW w:w="2866" w:type="dxa"/>
                  <w:noWrap w:val="0"/>
                  <w:vAlign w:val="center"/>
                </w:tcPr>
                <w:p>
                  <w:pPr>
                    <w:jc w:val="center"/>
                    <w:rPr>
                      <w:rFonts w:hint="eastAsia" w:eastAsia="宋体"/>
                      <w:color w:val="auto"/>
                      <w:lang w:eastAsia="zh-CN"/>
                    </w:rPr>
                  </w:pPr>
                  <w:r>
                    <w:rPr>
                      <w:rFonts w:hint="eastAsia"/>
                      <w:color w:val="auto"/>
                      <w:lang w:eastAsia="zh-CN"/>
                    </w:rPr>
                    <w:t>袋式除尘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44" w:type="dxa"/>
                  <w:vMerge w:val="continue"/>
                  <w:noWrap w:val="0"/>
                  <w:vAlign w:val="center"/>
                </w:tcPr>
                <w:p>
                  <w:pPr>
                    <w:jc w:val="center"/>
                    <w:rPr>
                      <w:rFonts w:hint="eastAsia"/>
                      <w:color w:val="auto"/>
                      <w:szCs w:val="21"/>
                    </w:rPr>
                  </w:pPr>
                </w:p>
              </w:tc>
              <w:tc>
                <w:tcPr>
                  <w:tcW w:w="2107" w:type="dxa"/>
                  <w:vMerge w:val="continue"/>
                  <w:noWrap w:val="0"/>
                  <w:vAlign w:val="center"/>
                </w:tcPr>
                <w:p>
                  <w:pPr>
                    <w:jc w:val="center"/>
                    <w:rPr>
                      <w:rFonts w:hint="eastAsia"/>
                      <w:color w:val="auto"/>
                      <w:szCs w:val="21"/>
                    </w:rPr>
                  </w:pPr>
                </w:p>
              </w:tc>
              <w:tc>
                <w:tcPr>
                  <w:tcW w:w="693" w:type="dxa"/>
                  <w:noWrap w:val="0"/>
                  <w:vAlign w:val="center"/>
                </w:tcPr>
                <w:p>
                  <w:pPr>
                    <w:jc w:val="center"/>
                    <w:rPr>
                      <w:color w:val="auto"/>
                      <w:szCs w:val="21"/>
                    </w:rPr>
                  </w:pPr>
                  <w:r>
                    <w:rPr>
                      <w:rFonts w:hint="eastAsia"/>
                      <w:color w:val="auto"/>
                      <w:szCs w:val="21"/>
                    </w:rPr>
                    <w:t>G2</w:t>
                  </w:r>
                </w:p>
              </w:tc>
              <w:tc>
                <w:tcPr>
                  <w:tcW w:w="2320" w:type="dxa"/>
                  <w:noWrap w:val="0"/>
                  <w:vAlign w:val="center"/>
                </w:tcPr>
                <w:p>
                  <w:pPr>
                    <w:jc w:val="center"/>
                    <w:rPr>
                      <w:color w:val="auto"/>
                    </w:rPr>
                  </w:pPr>
                  <w:r>
                    <w:rPr>
                      <w:rFonts w:hint="eastAsia"/>
                      <w:color w:val="auto"/>
                    </w:rPr>
                    <w:t>非甲烷总烃</w:t>
                  </w:r>
                </w:p>
              </w:tc>
              <w:tc>
                <w:tcPr>
                  <w:tcW w:w="2866" w:type="dxa"/>
                  <w:noWrap w:val="0"/>
                  <w:vAlign w:val="center"/>
                </w:tcPr>
                <w:p>
                  <w:pPr>
                    <w:jc w:val="center"/>
                    <w:rPr>
                      <w:rFonts w:hint="eastAsia"/>
                      <w:color w:val="auto"/>
                    </w:rPr>
                  </w:pPr>
                  <w:r>
                    <w:rPr>
                      <w:rFonts w:hint="eastAsia"/>
                      <w:color w:val="auto"/>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color w:val="auto"/>
                      <w:szCs w:val="21"/>
                    </w:rPr>
                  </w:pPr>
                </w:p>
              </w:tc>
              <w:tc>
                <w:tcPr>
                  <w:tcW w:w="2107" w:type="dxa"/>
                  <w:noWrap w:val="0"/>
                  <w:vAlign w:val="center"/>
                </w:tcPr>
                <w:p>
                  <w:pPr>
                    <w:jc w:val="center"/>
                    <w:rPr>
                      <w:rFonts w:hint="eastAsia"/>
                      <w:color w:val="auto"/>
                      <w:szCs w:val="21"/>
                    </w:rPr>
                  </w:pPr>
                  <w:r>
                    <w:rPr>
                      <w:rFonts w:hint="eastAsia"/>
                      <w:color w:val="auto"/>
                      <w:szCs w:val="21"/>
                    </w:rPr>
                    <w:t>层压</w:t>
                  </w:r>
                </w:p>
              </w:tc>
              <w:tc>
                <w:tcPr>
                  <w:tcW w:w="693" w:type="dxa"/>
                  <w:noWrap w:val="0"/>
                  <w:vAlign w:val="center"/>
                </w:tcPr>
                <w:p>
                  <w:pPr>
                    <w:jc w:val="center"/>
                    <w:rPr>
                      <w:color w:val="auto"/>
                      <w:szCs w:val="21"/>
                    </w:rPr>
                  </w:pPr>
                  <w:r>
                    <w:rPr>
                      <w:rFonts w:hint="eastAsia"/>
                      <w:color w:val="auto"/>
                      <w:szCs w:val="21"/>
                    </w:rPr>
                    <w:t>G3</w:t>
                  </w:r>
                </w:p>
              </w:tc>
              <w:tc>
                <w:tcPr>
                  <w:tcW w:w="2320" w:type="dxa"/>
                  <w:noWrap w:val="0"/>
                  <w:vAlign w:val="center"/>
                </w:tcPr>
                <w:p>
                  <w:pPr>
                    <w:jc w:val="center"/>
                    <w:rPr>
                      <w:color w:val="auto"/>
                      <w:szCs w:val="21"/>
                    </w:rPr>
                  </w:pPr>
                  <w:r>
                    <w:rPr>
                      <w:rFonts w:hint="eastAsia"/>
                      <w:color w:val="auto"/>
                      <w:szCs w:val="21"/>
                    </w:rPr>
                    <w:t>非甲烷总烃</w:t>
                  </w:r>
                </w:p>
              </w:tc>
              <w:tc>
                <w:tcPr>
                  <w:tcW w:w="2866" w:type="dxa"/>
                  <w:noWrap w:val="0"/>
                  <w:vAlign w:val="center"/>
                </w:tcPr>
                <w:p>
                  <w:pPr>
                    <w:jc w:val="center"/>
                    <w:rPr>
                      <w:rFonts w:hint="eastAsia"/>
                      <w:color w:val="auto"/>
                      <w:szCs w:val="21"/>
                    </w:rPr>
                  </w:pPr>
                  <w:r>
                    <w:rPr>
                      <w:rFonts w:hint="eastAsia"/>
                      <w:color w:val="auto"/>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color w:val="auto"/>
                      <w:szCs w:val="21"/>
                    </w:rPr>
                  </w:pPr>
                </w:p>
              </w:tc>
              <w:tc>
                <w:tcPr>
                  <w:tcW w:w="2107" w:type="dxa"/>
                  <w:noWrap w:val="0"/>
                  <w:vAlign w:val="center"/>
                </w:tcPr>
                <w:p>
                  <w:pPr>
                    <w:jc w:val="center"/>
                    <w:rPr>
                      <w:color w:val="auto"/>
                      <w:sz w:val="24"/>
                    </w:rPr>
                  </w:pPr>
                  <w:r>
                    <w:rPr>
                      <w:rFonts w:hint="eastAsia"/>
                      <w:color w:val="auto"/>
                      <w:szCs w:val="21"/>
                    </w:rPr>
                    <w:t>接线盒安装</w:t>
                  </w:r>
                </w:p>
              </w:tc>
              <w:tc>
                <w:tcPr>
                  <w:tcW w:w="693" w:type="dxa"/>
                  <w:noWrap w:val="0"/>
                  <w:vAlign w:val="center"/>
                </w:tcPr>
                <w:p>
                  <w:pPr>
                    <w:jc w:val="center"/>
                    <w:rPr>
                      <w:rFonts w:hint="eastAsia"/>
                      <w:color w:val="auto"/>
                      <w:szCs w:val="21"/>
                    </w:rPr>
                  </w:pPr>
                  <w:r>
                    <w:rPr>
                      <w:rFonts w:hint="eastAsia"/>
                      <w:color w:val="auto"/>
                      <w:szCs w:val="21"/>
                    </w:rPr>
                    <w:t>G4</w:t>
                  </w:r>
                </w:p>
              </w:tc>
              <w:tc>
                <w:tcPr>
                  <w:tcW w:w="2320" w:type="dxa"/>
                  <w:noWrap w:val="0"/>
                  <w:vAlign w:val="center"/>
                </w:tcPr>
                <w:p>
                  <w:pPr>
                    <w:jc w:val="center"/>
                    <w:rPr>
                      <w:color w:val="auto"/>
                      <w:szCs w:val="21"/>
                    </w:rPr>
                  </w:pPr>
                  <w:r>
                    <w:rPr>
                      <w:rFonts w:hint="eastAsia"/>
                      <w:color w:val="auto"/>
                    </w:rPr>
                    <w:t>颗粒物、锡及其化合物</w:t>
                  </w:r>
                </w:p>
              </w:tc>
              <w:tc>
                <w:tcPr>
                  <w:tcW w:w="2866" w:type="dxa"/>
                  <w:noWrap w:val="0"/>
                  <w:vAlign w:val="center"/>
                </w:tcPr>
                <w:p>
                  <w:pPr>
                    <w:jc w:val="center"/>
                    <w:rPr>
                      <w:rFonts w:hint="eastAsia" w:eastAsia="宋体"/>
                      <w:color w:val="auto"/>
                      <w:lang w:eastAsia="zh-CN"/>
                    </w:rPr>
                  </w:pPr>
                  <w:r>
                    <w:rPr>
                      <w:rFonts w:hint="eastAsia"/>
                      <w:color w:val="auto"/>
                      <w:lang w:eastAsia="zh-CN"/>
                    </w:rPr>
                    <w:t>袋式除尘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color w:val="auto"/>
                      <w:szCs w:val="21"/>
                    </w:rPr>
                  </w:pPr>
                </w:p>
              </w:tc>
              <w:tc>
                <w:tcPr>
                  <w:tcW w:w="2107" w:type="dxa"/>
                  <w:noWrap w:val="0"/>
                  <w:vAlign w:val="center"/>
                </w:tcPr>
                <w:p>
                  <w:pPr>
                    <w:jc w:val="center"/>
                    <w:rPr>
                      <w:rFonts w:hint="eastAsia"/>
                      <w:color w:val="auto"/>
                      <w:szCs w:val="21"/>
                    </w:rPr>
                  </w:pPr>
                  <w:r>
                    <w:rPr>
                      <w:rFonts w:hint="eastAsia"/>
                      <w:color w:val="auto"/>
                      <w:szCs w:val="21"/>
                    </w:rPr>
                    <w:t>固化</w:t>
                  </w:r>
                </w:p>
              </w:tc>
              <w:tc>
                <w:tcPr>
                  <w:tcW w:w="693" w:type="dxa"/>
                  <w:noWrap w:val="0"/>
                  <w:vAlign w:val="center"/>
                </w:tcPr>
                <w:p>
                  <w:pPr>
                    <w:jc w:val="center"/>
                    <w:rPr>
                      <w:color w:val="auto"/>
                      <w:szCs w:val="21"/>
                    </w:rPr>
                  </w:pPr>
                  <w:r>
                    <w:rPr>
                      <w:rFonts w:hint="eastAsia"/>
                      <w:color w:val="auto"/>
                      <w:szCs w:val="21"/>
                    </w:rPr>
                    <w:t>G5</w:t>
                  </w:r>
                </w:p>
              </w:tc>
              <w:tc>
                <w:tcPr>
                  <w:tcW w:w="2320" w:type="dxa"/>
                  <w:noWrap w:val="0"/>
                  <w:vAlign w:val="center"/>
                </w:tcPr>
                <w:p>
                  <w:pPr>
                    <w:jc w:val="center"/>
                    <w:rPr>
                      <w:color w:val="auto"/>
                    </w:rPr>
                  </w:pPr>
                  <w:r>
                    <w:rPr>
                      <w:rFonts w:hint="eastAsia"/>
                      <w:color w:val="auto"/>
                      <w:szCs w:val="21"/>
                    </w:rPr>
                    <w:t>非甲烷总烃</w:t>
                  </w:r>
                </w:p>
              </w:tc>
              <w:tc>
                <w:tcPr>
                  <w:tcW w:w="2866" w:type="dxa"/>
                  <w:noWrap w:val="0"/>
                  <w:vAlign w:val="center"/>
                </w:tcPr>
                <w:p>
                  <w:pPr>
                    <w:jc w:val="center"/>
                    <w:rPr>
                      <w:rFonts w:hint="eastAsia"/>
                      <w:color w:val="auto"/>
                    </w:rPr>
                  </w:pPr>
                  <w:r>
                    <w:rPr>
                      <w:rFonts w:hint="eastAsia"/>
                      <w:color w:val="auto"/>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color w:val="auto"/>
                      <w:szCs w:val="21"/>
                    </w:rPr>
                  </w:pPr>
                </w:p>
              </w:tc>
              <w:tc>
                <w:tcPr>
                  <w:tcW w:w="2107" w:type="dxa"/>
                  <w:noWrap w:val="0"/>
                  <w:vAlign w:val="center"/>
                </w:tcPr>
                <w:p>
                  <w:pPr>
                    <w:jc w:val="center"/>
                    <w:rPr>
                      <w:rFonts w:hint="eastAsia"/>
                      <w:color w:val="auto"/>
                      <w:szCs w:val="21"/>
                    </w:rPr>
                  </w:pPr>
                  <w:r>
                    <w:rPr>
                      <w:rFonts w:hint="eastAsia"/>
                      <w:color w:val="auto"/>
                      <w:szCs w:val="21"/>
                    </w:rPr>
                    <w:t>擦拭清洗</w:t>
                  </w:r>
                </w:p>
              </w:tc>
              <w:tc>
                <w:tcPr>
                  <w:tcW w:w="693" w:type="dxa"/>
                  <w:noWrap w:val="0"/>
                  <w:vAlign w:val="center"/>
                </w:tcPr>
                <w:p>
                  <w:pPr>
                    <w:jc w:val="center"/>
                    <w:rPr>
                      <w:color w:val="auto"/>
                      <w:szCs w:val="21"/>
                    </w:rPr>
                  </w:pPr>
                  <w:r>
                    <w:rPr>
                      <w:rFonts w:hint="eastAsia"/>
                      <w:color w:val="auto"/>
                      <w:szCs w:val="21"/>
                    </w:rPr>
                    <w:t>G6</w:t>
                  </w:r>
                </w:p>
              </w:tc>
              <w:tc>
                <w:tcPr>
                  <w:tcW w:w="2320" w:type="dxa"/>
                  <w:noWrap w:val="0"/>
                  <w:vAlign w:val="center"/>
                </w:tcPr>
                <w:p>
                  <w:pPr>
                    <w:jc w:val="center"/>
                    <w:rPr>
                      <w:color w:val="auto"/>
                    </w:rPr>
                  </w:pPr>
                  <w:r>
                    <w:rPr>
                      <w:rFonts w:hint="eastAsia"/>
                      <w:color w:val="auto"/>
                      <w:szCs w:val="21"/>
                    </w:rPr>
                    <w:t>非甲烷总烃</w:t>
                  </w:r>
                </w:p>
              </w:tc>
              <w:tc>
                <w:tcPr>
                  <w:tcW w:w="2866" w:type="dxa"/>
                  <w:noWrap w:val="0"/>
                  <w:vAlign w:val="center"/>
                </w:tcPr>
                <w:p>
                  <w:pPr>
                    <w:jc w:val="center"/>
                    <w:rPr>
                      <w:color w:val="auto"/>
                    </w:rPr>
                  </w:pPr>
                  <w:r>
                    <w:rPr>
                      <w:rFonts w:hint="eastAsia"/>
                      <w:color w:val="auto"/>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644" w:type="dxa"/>
                  <w:vMerge w:val="continue"/>
                  <w:noWrap w:val="0"/>
                  <w:vAlign w:val="center"/>
                </w:tcPr>
                <w:p>
                  <w:pPr>
                    <w:jc w:val="center"/>
                    <w:rPr>
                      <w:color w:val="auto"/>
                      <w:szCs w:val="21"/>
                    </w:rPr>
                  </w:pPr>
                </w:p>
              </w:tc>
              <w:tc>
                <w:tcPr>
                  <w:tcW w:w="2107" w:type="dxa"/>
                  <w:noWrap w:val="0"/>
                  <w:vAlign w:val="center"/>
                </w:tcPr>
                <w:p>
                  <w:pPr>
                    <w:jc w:val="center"/>
                    <w:rPr>
                      <w:rFonts w:hint="eastAsia"/>
                      <w:color w:val="auto"/>
                      <w:szCs w:val="21"/>
                    </w:rPr>
                  </w:pPr>
                  <w:r>
                    <w:rPr>
                      <w:rFonts w:hint="eastAsia"/>
                      <w:color w:val="auto"/>
                      <w:szCs w:val="21"/>
                    </w:rPr>
                    <w:t>EVA抽检</w:t>
                  </w:r>
                </w:p>
              </w:tc>
              <w:tc>
                <w:tcPr>
                  <w:tcW w:w="693" w:type="dxa"/>
                  <w:noWrap w:val="0"/>
                  <w:vAlign w:val="center"/>
                </w:tcPr>
                <w:p>
                  <w:pPr>
                    <w:jc w:val="center"/>
                    <w:rPr>
                      <w:color w:val="auto"/>
                      <w:szCs w:val="21"/>
                    </w:rPr>
                  </w:pPr>
                  <w:r>
                    <w:rPr>
                      <w:rFonts w:hint="eastAsia"/>
                      <w:color w:val="auto"/>
                      <w:szCs w:val="21"/>
                    </w:rPr>
                    <w:t>G7</w:t>
                  </w:r>
                </w:p>
              </w:tc>
              <w:tc>
                <w:tcPr>
                  <w:tcW w:w="2320" w:type="dxa"/>
                  <w:noWrap w:val="0"/>
                  <w:vAlign w:val="center"/>
                </w:tcPr>
                <w:p>
                  <w:pPr>
                    <w:jc w:val="center"/>
                    <w:rPr>
                      <w:color w:val="auto"/>
                    </w:rPr>
                  </w:pPr>
                  <w:r>
                    <w:rPr>
                      <w:rFonts w:hint="eastAsia"/>
                      <w:color w:val="auto"/>
                    </w:rPr>
                    <w:t>二甲苯</w:t>
                  </w:r>
                </w:p>
              </w:tc>
              <w:tc>
                <w:tcPr>
                  <w:tcW w:w="2866" w:type="dxa"/>
                  <w:noWrap w:val="0"/>
                  <w:vAlign w:val="center"/>
                </w:tcPr>
                <w:p>
                  <w:pPr>
                    <w:jc w:val="center"/>
                    <w:rPr>
                      <w:color w:val="auto"/>
                    </w:rPr>
                  </w:pPr>
                  <w:r>
                    <w:rPr>
                      <w:rFonts w:hint="eastAsia"/>
                      <w:color w:val="auto"/>
                    </w:rPr>
                    <w:t>二级活性炭吸附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restart"/>
                  <w:noWrap w:val="0"/>
                  <w:vAlign w:val="center"/>
                </w:tcPr>
                <w:p>
                  <w:pPr>
                    <w:jc w:val="center"/>
                    <w:rPr>
                      <w:rFonts w:hint="eastAsia"/>
                      <w:color w:val="auto"/>
                      <w:szCs w:val="21"/>
                    </w:rPr>
                  </w:pPr>
                  <w:r>
                    <w:rPr>
                      <w:rFonts w:hint="eastAsia"/>
                      <w:color w:val="auto"/>
                      <w:szCs w:val="21"/>
                    </w:rPr>
                    <w:t>固体</w:t>
                  </w:r>
                </w:p>
                <w:p>
                  <w:pPr>
                    <w:jc w:val="center"/>
                    <w:rPr>
                      <w:color w:val="auto"/>
                      <w:szCs w:val="21"/>
                    </w:rPr>
                  </w:pPr>
                  <w:r>
                    <w:rPr>
                      <w:rFonts w:hint="eastAsia"/>
                      <w:color w:val="auto"/>
                      <w:szCs w:val="21"/>
                    </w:rPr>
                    <w:t>废物</w:t>
                  </w:r>
                </w:p>
              </w:tc>
              <w:tc>
                <w:tcPr>
                  <w:tcW w:w="2107" w:type="dxa"/>
                  <w:noWrap w:val="0"/>
                  <w:vAlign w:val="center"/>
                </w:tcPr>
                <w:p>
                  <w:pPr>
                    <w:jc w:val="center"/>
                    <w:rPr>
                      <w:rFonts w:hint="eastAsia"/>
                      <w:color w:val="auto"/>
                      <w:szCs w:val="21"/>
                    </w:rPr>
                  </w:pPr>
                  <w:r>
                    <w:rPr>
                      <w:rFonts w:hint="eastAsia"/>
                      <w:color w:val="auto"/>
                      <w:szCs w:val="21"/>
                    </w:rPr>
                    <w:t>自动划焊</w:t>
                  </w:r>
                </w:p>
              </w:tc>
              <w:tc>
                <w:tcPr>
                  <w:tcW w:w="693" w:type="dxa"/>
                  <w:noWrap w:val="0"/>
                  <w:vAlign w:val="center"/>
                </w:tcPr>
                <w:p>
                  <w:pPr>
                    <w:jc w:val="center"/>
                    <w:rPr>
                      <w:color w:val="auto"/>
                      <w:szCs w:val="21"/>
                    </w:rPr>
                  </w:pPr>
                  <w:r>
                    <w:rPr>
                      <w:rFonts w:hint="eastAsia"/>
                      <w:color w:val="auto"/>
                      <w:szCs w:val="21"/>
                    </w:rPr>
                    <w:t>S1</w:t>
                  </w:r>
                </w:p>
              </w:tc>
              <w:tc>
                <w:tcPr>
                  <w:tcW w:w="2320" w:type="dxa"/>
                  <w:noWrap w:val="0"/>
                  <w:vAlign w:val="center"/>
                </w:tcPr>
                <w:p>
                  <w:pPr>
                    <w:jc w:val="center"/>
                    <w:rPr>
                      <w:color w:val="auto"/>
                      <w:szCs w:val="21"/>
                    </w:rPr>
                  </w:pPr>
                  <w:r>
                    <w:rPr>
                      <w:rFonts w:hint="eastAsia"/>
                      <w:color w:val="auto"/>
                      <w:szCs w:val="21"/>
                    </w:rPr>
                    <w:t>废助焊剂</w:t>
                  </w:r>
                </w:p>
              </w:tc>
              <w:tc>
                <w:tcPr>
                  <w:tcW w:w="2866" w:type="dxa"/>
                  <w:noWrap w:val="0"/>
                  <w:vAlign w:val="center"/>
                </w:tcPr>
                <w:p>
                  <w:pPr>
                    <w:jc w:val="center"/>
                    <w:rPr>
                      <w:rFonts w:hint="eastAsia"/>
                      <w:color w:val="auto"/>
                      <w:szCs w:val="21"/>
                    </w:rPr>
                  </w:pPr>
                  <w:r>
                    <w:rPr>
                      <w:rFonts w:hint="eastAsia"/>
                      <w:color w:val="auto"/>
                      <w:szCs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color w:val="auto"/>
                      <w:szCs w:val="21"/>
                    </w:rPr>
                  </w:pPr>
                  <w:r>
                    <w:rPr>
                      <w:rFonts w:hint="eastAsia"/>
                      <w:color w:val="auto"/>
                      <w:szCs w:val="21"/>
                    </w:rPr>
                    <w:t>自动划焊、IV/安规/EL测试</w:t>
                  </w:r>
                </w:p>
              </w:tc>
              <w:tc>
                <w:tcPr>
                  <w:tcW w:w="693" w:type="dxa"/>
                  <w:noWrap w:val="0"/>
                  <w:vAlign w:val="center"/>
                </w:tcPr>
                <w:p>
                  <w:pPr>
                    <w:jc w:val="center"/>
                    <w:rPr>
                      <w:color w:val="auto"/>
                      <w:szCs w:val="21"/>
                    </w:rPr>
                  </w:pPr>
                  <w:r>
                    <w:rPr>
                      <w:rFonts w:hint="eastAsia"/>
                      <w:color w:val="auto"/>
                      <w:szCs w:val="21"/>
                    </w:rPr>
                    <w:t>S2</w:t>
                  </w:r>
                </w:p>
              </w:tc>
              <w:tc>
                <w:tcPr>
                  <w:tcW w:w="2320" w:type="dxa"/>
                  <w:noWrap w:val="0"/>
                  <w:vAlign w:val="center"/>
                </w:tcPr>
                <w:p>
                  <w:pPr>
                    <w:jc w:val="center"/>
                    <w:rPr>
                      <w:color w:val="auto"/>
                      <w:szCs w:val="21"/>
                    </w:rPr>
                  </w:pPr>
                  <w:r>
                    <w:rPr>
                      <w:rFonts w:hint="eastAsia"/>
                      <w:color w:val="auto"/>
                      <w:szCs w:val="21"/>
                    </w:rPr>
                    <w:t>不合格品</w:t>
                  </w:r>
                </w:p>
              </w:tc>
              <w:tc>
                <w:tcPr>
                  <w:tcW w:w="2866" w:type="dxa"/>
                  <w:noWrap w:val="0"/>
                  <w:vAlign w:val="center"/>
                </w:tcPr>
                <w:p>
                  <w:pPr>
                    <w:jc w:val="center"/>
                    <w:rPr>
                      <w:rFonts w:hint="eastAsia"/>
                      <w:color w:val="auto"/>
                      <w:szCs w:val="21"/>
                    </w:rPr>
                  </w:pPr>
                  <w:r>
                    <w:rPr>
                      <w:rFonts w:hint="eastAsia"/>
                      <w:color w:val="auto"/>
                      <w:szCs w:val="21"/>
                    </w:rPr>
                    <w:t>回收单位回收利用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color w:val="auto"/>
                      <w:szCs w:val="21"/>
                    </w:rPr>
                  </w:pPr>
                  <w:r>
                    <w:rPr>
                      <w:rFonts w:hint="eastAsia"/>
                      <w:color w:val="auto"/>
                      <w:szCs w:val="21"/>
                    </w:rPr>
                    <w:t>自动划焊、自动裁切铺、自动削边</w:t>
                  </w:r>
                </w:p>
              </w:tc>
              <w:tc>
                <w:tcPr>
                  <w:tcW w:w="693" w:type="dxa"/>
                  <w:noWrap w:val="0"/>
                  <w:vAlign w:val="center"/>
                </w:tcPr>
                <w:p>
                  <w:pPr>
                    <w:jc w:val="center"/>
                    <w:rPr>
                      <w:color w:val="auto"/>
                      <w:szCs w:val="21"/>
                    </w:rPr>
                  </w:pPr>
                  <w:r>
                    <w:rPr>
                      <w:rFonts w:hint="eastAsia"/>
                      <w:color w:val="auto"/>
                      <w:szCs w:val="21"/>
                    </w:rPr>
                    <w:t>S3</w:t>
                  </w:r>
                </w:p>
              </w:tc>
              <w:tc>
                <w:tcPr>
                  <w:tcW w:w="2320" w:type="dxa"/>
                  <w:noWrap w:val="0"/>
                  <w:vAlign w:val="center"/>
                </w:tcPr>
                <w:p>
                  <w:pPr>
                    <w:jc w:val="center"/>
                    <w:rPr>
                      <w:rFonts w:hint="eastAsia"/>
                      <w:color w:val="auto"/>
                      <w:szCs w:val="21"/>
                    </w:rPr>
                  </w:pPr>
                  <w:r>
                    <w:rPr>
                      <w:rFonts w:hint="eastAsia"/>
                      <w:color w:val="auto"/>
                      <w:szCs w:val="21"/>
                    </w:rPr>
                    <w:t>废边角料</w:t>
                  </w:r>
                </w:p>
              </w:tc>
              <w:tc>
                <w:tcPr>
                  <w:tcW w:w="2866" w:type="dxa"/>
                  <w:noWrap w:val="0"/>
                  <w:vAlign w:val="center"/>
                </w:tcPr>
                <w:p>
                  <w:pPr>
                    <w:jc w:val="center"/>
                    <w:rPr>
                      <w:rFonts w:hint="eastAsia"/>
                      <w:color w:val="auto"/>
                      <w:szCs w:val="21"/>
                    </w:rPr>
                  </w:pPr>
                  <w:r>
                    <w:rPr>
                      <w:rFonts w:hint="eastAsia"/>
                      <w:color w:val="auto"/>
                      <w:szCs w:val="21"/>
                    </w:rPr>
                    <w:t>回收单位回收利用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color w:val="auto"/>
                      <w:szCs w:val="21"/>
                    </w:rPr>
                  </w:pPr>
                  <w:r>
                    <w:rPr>
                      <w:rFonts w:hint="eastAsia"/>
                      <w:color w:val="auto"/>
                      <w:szCs w:val="21"/>
                    </w:rPr>
                    <w:t>EVA抽检</w:t>
                  </w:r>
                </w:p>
              </w:tc>
              <w:tc>
                <w:tcPr>
                  <w:tcW w:w="693" w:type="dxa"/>
                  <w:noWrap w:val="0"/>
                  <w:vAlign w:val="center"/>
                </w:tcPr>
                <w:p>
                  <w:pPr>
                    <w:jc w:val="center"/>
                    <w:rPr>
                      <w:color w:val="auto"/>
                      <w:szCs w:val="21"/>
                    </w:rPr>
                  </w:pPr>
                  <w:r>
                    <w:rPr>
                      <w:rFonts w:hint="eastAsia"/>
                      <w:color w:val="auto"/>
                      <w:szCs w:val="21"/>
                    </w:rPr>
                    <w:t>S4</w:t>
                  </w:r>
                </w:p>
              </w:tc>
              <w:tc>
                <w:tcPr>
                  <w:tcW w:w="2320" w:type="dxa"/>
                  <w:noWrap w:val="0"/>
                  <w:vAlign w:val="center"/>
                </w:tcPr>
                <w:p>
                  <w:pPr>
                    <w:jc w:val="center"/>
                    <w:rPr>
                      <w:rFonts w:hint="eastAsia"/>
                      <w:color w:val="auto"/>
                      <w:szCs w:val="21"/>
                    </w:rPr>
                  </w:pPr>
                  <w:r>
                    <w:rPr>
                      <w:rFonts w:hint="eastAsia"/>
                      <w:color w:val="auto"/>
                      <w:szCs w:val="21"/>
                    </w:rPr>
                    <w:t>二甲苯废液</w:t>
                  </w:r>
                </w:p>
              </w:tc>
              <w:tc>
                <w:tcPr>
                  <w:tcW w:w="2866" w:type="dxa"/>
                  <w:noWrap w:val="0"/>
                  <w:vAlign w:val="center"/>
                </w:tcPr>
                <w:p>
                  <w:pPr>
                    <w:jc w:val="center"/>
                    <w:rPr>
                      <w:rFonts w:hint="eastAsia"/>
                      <w:color w:val="auto"/>
                      <w:szCs w:val="21"/>
                    </w:rPr>
                  </w:pPr>
                  <w:r>
                    <w:rPr>
                      <w:rFonts w:hint="eastAsia"/>
                      <w:color w:val="auto"/>
                      <w:szCs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rFonts w:hint="eastAsia"/>
                      <w:color w:val="auto"/>
                      <w:szCs w:val="21"/>
                    </w:rPr>
                  </w:pPr>
                  <w:r>
                    <w:rPr>
                      <w:rFonts w:hint="eastAsia"/>
                      <w:color w:val="auto"/>
                      <w:szCs w:val="21"/>
                    </w:rPr>
                    <w:t>擦拭清洗</w:t>
                  </w:r>
                </w:p>
              </w:tc>
              <w:tc>
                <w:tcPr>
                  <w:tcW w:w="693" w:type="dxa"/>
                  <w:noWrap w:val="0"/>
                  <w:vAlign w:val="center"/>
                </w:tcPr>
                <w:p>
                  <w:pPr>
                    <w:jc w:val="center"/>
                    <w:rPr>
                      <w:rFonts w:hint="default" w:eastAsia="宋体"/>
                      <w:color w:val="auto"/>
                      <w:szCs w:val="21"/>
                      <w:lang w:val="en-US" w:eastAsia="zh-CN"/>
                    </w:rPr>
                  </w:pPr>
                  <w:r>
                    <w:rPr>
                      <w:rFonts w:hint="eastAsia"/>
                      <w:color w:val="auto"/>
                      <w:szCs w:val="21"/>
                      <w:lang w:val="en-US" w:eastAsia="zh-CN"/>
                    </w:rPr>
                    <w:t>S5</w:t>
                  </w:r>
                </w:p>
              </w:tc>
              <w:tc>
                <w:tcPr>
                  <w:tcW w:w="2320" w:type="dxa"/>
                  <w:noWrap w:val="0"/>
                  <w:vAlign w:val="center"/>
                </w:tcPr>
                <w:p>
                  <w:pPr>
                    <w:jc w:val="center"/>
                    <w:rPr>
                      <w:rFonts w:hint="eastAsia" w:eastAsia="宋体"/>
                      <w:color w:val="auto"/>
                      <w:szCs w:val="21"/>
                      <w:lang w:eastAsia="zh-CN"/>
                    </w:rPr>
                  </w:pPr>
                  <w:r>
                    <w:rPr>
                      <w:rFonts w:hint="eastAsia"/>
                      <w:color w:val="auto"/>
                      <w:szCs w:val="21"/>
                      <w:lang w:eastAsia="zh-CN"/>
                    </w:rPr>
                    <w:t>废无尘布</w:t>
                  </w:r>
                </w:p>
              </w:tc>
              <w:tc>
                <w:tcPr>
                  <w:tcW w:w="2866" w:type="dxa"/>
                  <w:noWrap w:val="0"/>
                  <w:vAlign w:val="center"/>
                </w:tcPr>
                <w:p>
                  <w:pPr>
                    <w:jc w:val="center"/>
                    <w:rPr>
                      <w:rFonts w:hint="eastAsia"/>
                      <w:color w:val="auto"/>
                      <w:szCs w:val="21"/>
                    </w:rPr>
                  </w:pPr>
                  <w:r>
                    <w:rPr>
                      <w:rFonts w:hint="eastAsia"/>
                      <w:color w:val="auto"/>
                      <w:szCs w:val="21"/>
                    </w:rPr>
                    <w:t>回收单位回收利用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rFonts w:hint="eastAsia"/>
                      <w:color w:val="auto"/>
                      <w:szCs w:val="21"/>
                    </w:rPr>
                  </w:pPr>
                  <w:r>
                    <w:rPr>
                      <w:rFonts w:hint="eastAsia"/>
                      <w:color w:val="auto"/>
                      <w:szCs w:val="21"/>
                    </w:rPr>
                    <w:t>自动划焊、装框、接线盒安装、擦拭清洗</w:t>
                  </w:r>
                </w:p>
              </w:tc>
              <w:tc>
                <w:tcPr>
                  <w:tcW w:w="693" w:type="dxa"/>
                  <w:noWrap w:val="0"/>
                  <w:vAlign w:val="center"/>
                </w:tcPr>
                <w:p>
                  <w:pPr>
                    <w:jc w:val="center"/>
                    <w:rPr>
                      <w:rFonts w:hint="eastAsia"/>
                      <w:color w:val="auto"/>
                      <w:szCs w:val="21"/>
                      <w:lang w:val="en-US" w:eastAsia="zh-CN"/>
                    </w:rPr>
                  </w:pPr>
                  <w:r>
                    <w:rPr>
                      <w:rFonts w:hint="eastAsia"/>
                      <w:color w:val="auto"/>
                      <w:szCs w:val="21"/>
                    </w:rPr>
                    <w:t>S6</w:t>
                  </w:r>
                </w:p>
              </w:tc>
              <w:tc>
                <w:tcPr>
                  <w:tcW w:w="2320" w:type="dxa"/>
                  <w:noWrap w:val="0"/>
                  <w:vAlign w:val="center"/>
                </w:tcPr>
                <w:p>
                  <w:pPr>
                    <w:jc w:val="center"/>
                    <w:rPr>
                      <w:rFonts w:hint="eastAsia"/>
                      <w:color w:val="auto"/>
                      <w:szCs w:val="21"/>
                      <w:lang w:eastAsia="zh-CN"/>
                    </w:rPr>
                  </w:pPr>
                  <w:r>
                    <w:rPr>
                      <w:rFonts w:hint="eastAsia"/>
                      <w:color w:val="auto"/>
                      <w:szCs w:val="21"/>
                    </w:rPr>
                    <w:t>废包装桶</w:t>
                  </w:r>
                </w:p>
              </w:tc>
              <w:tc>
                <w:tcPr>
                  <w:tcW w:w="2866" w:type="dxa"/>
                  <w:noWrap w:val="0"/>
                  <w:vAlign w:val="center"/>
                </w:tcPr>
                <w:p>
                  <w:pPr>
                    <w:jc w:val="center"/>
                    <w:rPr>
                      <w:rFonts w:hint="eastAsia"/>
                      <w:color w:val="auto"/>
                      <w:szCs w:val="21"/>
                    </w:rPr>
                  </w:pPr>
                  <w:r>
                    <w:rPr>
                      <w:rFonts w:hint="eastAsia"/>
                      <w:color w:val="auto"/>
                      <w:szCs w:val="21"/>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644" w:type="dxa"/>
                  <w:vMerge w:val="continue"/>
                  <w:noWrap w:val="0"/>
                  <w:vAlign w:val="center"/>
                </w:tcPr>
                <w:p>
                  <w:pPr>
                    <w:jc w:val="center"/>
                    <w:rPr>
                      <w:rFonts w:hint="eastAsia"/>
                      <w:color w:val="auto"/>
                      <w:szCs w:val="21"/>
                    </w:rPr>
                  </w:pPr>
                </w:p>
              </w:tc>
              <w:tc>
                <w:tcPr>
                  <w:tcW w:w="2107" w:type="dxa"/>
                  <w:noWrap w:val="0"/>
                  <w:vAlign w:val="center"/>
                </w:tcPr>
                <w:p>
                  <w:pPr>
                    <w:jc w:val="center"/>
                    <w:rPr>
                      <w:rFonts w:hint="eastAsia"/>
                      <w:color w:val="auto"/>
                      <w:szCs w:val="21"/>
                    </w:rPr>
                  </w:pPr>
                  <w:r>
                    <w:rPr>
                      <w:rFonts w:hint="eastAsia"/>
                      <w:color w:val="auto"/>
                      <w:szCs w:val="21"/>
                    </w:rPr>
                    <w:t>自动包装</w:t>
                  </w:r>
                </w:p>
              </w:tc>
              <w:tc>
                <w:tcPr>
                  <w:tcW w:w="693" w:type="dxa"/>
                  <w:noWrap w:val="0"/>
                  <w:vAlign w:val="center"/>
                </w:tcPr>
                <w:p>
                  <w:pPr>
                    <w:jc w:val="center"/>
                    <w:rPr>
                      <w:rFonts w:hint="eastAsia" w:eastAsia="宋体"/>
                      <w:color w:val="auto"/>
                      <w:szCs w:val="21"/>
                      <w:lang w:eastAsia="zh-CN"/>
                    </w:rPr>
                  </w:pPr>
                  <w:r>
                    <w:rPr>
                      <w:rFonts w:hint="eastAsia"/>
                      <w:color w:val="auto"/>
                      <w:szCs w:val="21"/>
                    </w:rPr>
                    <w:t>S</w:t>
                  </w:r>
                  <w:r>
                    <w:rPr>
                      <w:rFonts w:hint="eastAsia"/>
                      <w:color w:val="auto"/>
                      <w:szCs w:val="21"/>
                      <w:lang w:val="en-US" w:eastAsia="zh-CN"/>
                    </w:rPr>
                    <w:t>7</w:t>
                  </w:r>
                </w:p>
              </w:tc>
              <w:tc>
                <w:tcPr>
                  <w:tcW w:w="2320" w:type="dxa"/>
                  <w:noWrap w:val="0"/>
                  <w:vAlign w:val="center"/>
                </w:tcPr>
                <w:p>
                  <w:pPr>
                    <w:jc w:val="center"/>
                    <w:rPr>
                      <w:rFonts w:hint="eastAsia"/>
                      <w:color w:val="auto"/>
                      <w:szCs w:val="21"/>
                    </w:rPr>
                  </w:pPr>
                  <w:r>
                    <w:rPr>
                      <w:rFonts w:hint="eastAsia"/>
                      <w:color w:val="auto"/>
                      <w:szCs w:val="21"/>
                    </w:rPr>
                    <w:t>废包装材料</w:t>
                  </w:r>
                </w:p>
              </w:tc>
              <w:tc>
                <w:tcPr>
                  <w:tcW w:w="2866" w:type="dxa"/>
                  <w:noWrap w:val="0"/>
                  <w:vAlign w:val="center"/>
                </w:tcPr>
                <w:p>
                  <w:pPr>
                    <w:jc w:val="center"/>
                    <w:rPr>
                      <w:rFonts w:hint="eastAsia"/>
                      <w:color w:val="auto"/>
                      <w:szCs w:val="21"/>
                    </w:rPr>
                  </w:pPr>
                  <w:r>
                    <w:rPr>
                      <w:rFonts w:hint="eastAsia"/>
                      <w:color w:val="auto"/>
                      <w:szCs w:val="21"/>
                    </w:rPr>
                    <w:t>回收单位回收利用</w:t>
                  </w:r>
                </w:p>
              </w:tc>
            </w:tr>
          </w:tbl>
          <w:p>
            <w:pPr>
              <w:spacing w:line="360" w:lineRule="auto"/>
              <w:ind w:firstLine="422" w:firstLineChars="200"/>
              <w:rPr>
                <w:b/>
                <w:bCs/>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center"/>
          </w:tcPr>
          <w:p>
            <w:pPr>
              <w:pStyle w:val="18"/>
              <w:adjustRightInd w:val="0"/>
              <w:snapToGrid w:val="0"/>
              <w:spacing w:before="0" w:beforeAutospacing="0" w:after="0" w:afterAutospacing="0"/>
              <w:jc w:val="center"/>
              <w:rPr>
                <w:rFonts w:cs="宋体"/>
                <w:b/>
                <w:color w:val="auto"/>
                <w:sz w:val="21"/>
                <w:szCs w:val="21"/>
              </w:rPr>
            </w:pPr>
            <w:r>
              <w:rPr>
                <w:rFonts w:hint="eastAsia" w:cs="宋体"/>
                <w:b/>
                <w:bCs/>
                <w:color w:val="auto"/>
                <w:kern w:val="2"/>
                <w:sz w:val="21"/>
                <w:szCs w:val="21"/>
              </w:rPr>
              <w:t>与项目有关的原有环境污染问题</w:t>
            </w:r>
          </w:p>
        </w:tc>
        <w:tc>
          <w:tcPr>
            <w:tcW w:w="8860" w:type="dxa"/>
            <w:noWrap w:val="0"/>
            <w:vAlign w:val="top"/>
          </w:tcPr>
          <w:p>
            <w:pPr>
              <w:autoSpaceDE w:val="0"/>
              <w:autoSpaceDN w:val="0"/>
              <w:adjustRightInd w:val="0"/>
              <w:spacing w:line="360" w:lineRule="auto"/>
              <w:ind w:firstLine="482" w:firstLineChars="200"/>
              <w:rPr>
                <w:b/>
                <w:bCs/>
                <w:color w:val="auto"/>
                <w:sz w:val="24"/>
              </w:rPr>
            </w:pPr>
            <w:r>
              <w:rPr>
                <w:rFonts w:hint="eastAsia"/>
                <w:b/>
                <w:bCs/>
                <w:color w:val="auto"/>
                <w:sz w:val="24"/>
              </w:rPr>
              <w:t>（一）现有工程履行环境影响评价、竣工环境保护验收情况</w:t>
            </w:r>
          </w:p>
          <w:p>
            <w:pPr>
              <w:rPr>
                <w:color w:val="auto"/>
                <w:sz w:val="24"/>
              </w:rPr>
            </w:pPr>
            <w:r>
              <w:rPr>
                <w:color w:val="auto"/>
                <w:sz w:val="24"/>
              </w:rPr>
              <w:t>合肥晶澳太阳能科技有限公司位于合肥市高新区长宁大道999号，</w:t>
            </w:r>
            <w:r>
              <w:rPr>
                <w:rFonts w:hint="eastAsia"/>
                <w:color w:val="auto"/>
                <w:sz w:val="24"/>
              </w:rPr>
              <w:t>现有工程</w:t>
            </w:r>
            <w:r>
              <w:rPr>
                <w:color w:val="auto"/>
                <w:sz w:val="24"/>
              </w:rPr>
              <w:t>主要建设内容包括组件厂房一（114）</w:t>
            </w:r>
            <w:r>
              <w:rPr>
                <w:rFonts w:hint="eastAsia"/>
                <w:color w:val="auto"/>
                <w:sz w:val="24"/>
              </w:rPr>
              <w:t>、</w:t>
            </w:r>
            <w:r>
              <w:rPr>
                <w:color w:val="auto"/>
                <w:sz w:val="24"/>
              </w:rPr>
              <w:t>组件车间二（116）、组件厂房三（104）、组件厂房四（110）</w:t>
            </w:r>
            <w:r>
              <w:rPr>
                <w:rFonts w:hint="eastAsia"/>
                <w:color w:val="auto"/>
                <w:sz w:val="24"/>
              </w:rPr>
              <w:t>、</w:t>
            </w:r>
            <w:r>
              <w:rPr>
                <w:color w:val="auto"/>
                <w:sz w:val="24"/>
              </w:rPr>
              <w:t>组件成品仓库（115）、；辅材加工部（108）、组件成品仓库（106）、组件仓库二（105）、组件原料库（103）、组件成品仓库（109）、组件成品仓库（117）、动力站（111）配套设施</w:t>
            </w:r>
            <w:r>
              <w:rPr>
                <w:rFonts w:hint="eastAsia"/>
                <w:color w:val="auto"/>
                <w:sz w:val="24"/>
                <w:lang w:eastAsia="zh-CN"/>
              </w:rPr>
              <w:t>、在</w:t>
            </w:r>
            <w:r>
              <w:rPr>
                <w:rFonts w:hint="eastAsia"/>
                <w:color w:val="auto"/>
                <w:sz w:val="24"/>
              </w:rPr>
              <w:t>建智慧工厂</w:t>
            </w:r>
            <w:r>
              <w:rPr>
                <w:rFonts w:hint="eastAsia"/>
                <w:color w:val="auto"/>
                <w:sz w:val="24"/>
                <w:lang w:eastAsia="zh-CN"/>
              </w:rPr>
              <w:t>、在建</w:t>
            </w:r>
            <w:r>
              <w:rPr>
                <w:rFonts w:hint="eastAsia"/>
                <w:color w:val="auto"/>
                <w:sz w:val="24"/>
              </w:rPr>
              <w:t>动力站、</w:t>
            </w:r>
            <w:r>
              <w:rPr>
                <w:rFonts w:hint="eastAsia"/>
                <w:color w:val="auto"/>
                <w:sz w:val="24"/>
                <w:lang w:val="en-US" w:eastAsia="zh-CN"/>
              </w:rPr>
              <w:t>在建</w:t>
            </w:r>
            <w:r>
              <w:rPr>
                <w:rFonts w:hint="eastAsia"/>
                <w:color w:val="auto"/>
                <w:sz w:val="24"/>
              </w:rPr>
              <w:t>智慧仓库、</w:t>
            </w:r>
            <w:r>
              <w:rPr>
                <w:rFonts w:hint="eastAsia"/>
                <w:color w:val="auto"/>
                <w:sz w:val="24"/>
                <w:lang w:val="en-US" w:eastAsia="zh-CN"/>
              </w:rPr>
              <w:t>在建</w:t>
            </w:r>
            <w:r>
              <w:rPr>
                <w:rFonts w:hint="eastAsia"/>
                <w:color w:val="auto"/>
                <w:sz w:val="24"/>
              </w:rPr>
              <w:t>原料仓库、</w:t>
            </w:r>
            <w:r>
              <w:rPr>
                <w:rFonts w:hint="eastAsia"/>
                <w:color w:val="auto"/>
                <w:sz w:val="24"/>
                <w:lang w:val="en-US" w:eastAsia="zh-CN"/>
              </w:rPr>
              <w:t>在建</w:t>
            </w:r>
            <w:r>
              <w:rPr>
                <w:rFonts w:hint="eastAsia"/>
                <w:color w:val="auto"/>
                <w:sz w:val="24"/>
              </w:rPr>
              <w:t>化学品仓库、</w:t>
            </w:r>
            <w:r>
              <w:rPr>
                <w:rFonts w:hint="eastAsia"/>
                <w:color w:val="auto"/>
                <w:sz w:val="24"/>
                <w:lang w:val="en-US" w:eastAsia="zh-CN"/>
              </w:rPr>
              <w:t>在建</w:t>
            </w:r>
            <w:r>
              <w:rPr>
                <w:rFonts w:hint="eastAsia"/>
                <w:color w:val="auto"/>
                <w:sz w:val="24"/>
              </w:rPr>
              <w:t>危废仓库及</w:t>
            </w:r>
            <w:r>
              <w:rPr>
                <w:rFonts w:hint="eastAsia"/>
                <w:color w:val="auto"/>
                <w:sz w:val="24"/>
                <w:lang w:val="en-US" w:eastAsia="zh-CN"/>
              </w:rPr>
              <w:t>在建</w:t>
            </w:r>
            <w:r>
              <w:rPr>
                <w:rFonts w:hint="eastAsia"/>
                <w:color w:val="auto"/>
                <w:sz w:val="24"/>
              </w:rPr>
              <w:t>污水处理站</w:t>
            </w:r>
            <w:r>
              <w:rPr>
                <w:rFonts w:hint="eastAsia"/>
                <w:color w:val="auto"/>
                <w:sz w:val="24"/>
                <w:lang w:val="en-US" w:eastAsia="zh-CN"/>
              </w:rPr>
              <w:t>等</w:t>
            </w:r>
            <w:r>
              <w:rPr>
                <w:color w:val="auto"/>
                <w:sz w:val="24"/>
              </w:rPr>
              <w:t>。</w:t>
            </w:r>
          </w:p>
          <w:p>
            <w:pPr>
              <w:spacing w:line="360" w:lineRule="auto"/>
              <w:ind w:firstLine="480" w:firstLineChars="200"/>
              <w:rPr>
                <w:color w:val="auto"/>
              </w:rPr>
            </w:pPr>
            <w:r>
              <w:rPr>
                <w:rFonts w:hint="eastAsia"/>
                <w:color w:val="auto"/>
                <w:sz w:val="24"/>
              </w:rPr>
              <w:t>现有工程环境保护“三同时”执行情况见下表。</w:t>
            </w:r>
          </w:p>
          <w:p>
            <w:pPr>
              <w:widowControl/>
              <w:numPr>
                <w:ilvl w:val="0"/>
                <w:numId w:val="2"/>
              </w:numPr>
              <w:jc w:val="center"/>
              <w:rPr>
                <w:b/>
                <w:color w:val="auto"/>
                <w:kern w:val="0"/>
                <w:szCs w:val="21"/>
                <w:lang w:val="zh-CN"/>
              </w:rPr>
            </w:pPr>
            <w:r>
              <w:rPr>
                <w:rFonts w:hint="eastAsia"/>
                <w:b/>
                <w:color w:val="auto"/>
                <w:kern w:val="0"/>
                <w:szCs w:val="21"/>
              </w:rPr>
              <w:t xml:space="preserve"> </w:t>
            </w:r>
            <w:r>
              <w:rPr>
                <w:b/>
                <w:color w:val="auto"/>
                <w:kern w:val="0"/>
                <w:szCs w:val="21"/>
                <w:lang w:val="zh-CN"/>
              </w:rPr>
              <w:t>现有工程环境保护“三同时”执行情况一览表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887"/>
              <w:gridCol w:w="1653"/>
              <w:gridCol w:w="1607"/>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1896" w:type="dxa"/>
                  <w:noWrap w:val="0"/>
                  <w:vAlign w:val="center"/>
                </w:tcPr>
                <w:p>
                  <w:pPr>
                    <w:spacing w:line="276" w:lineRule="auto"/>
                    <w:jc w:val="center"/>
                    <w:rPr>
                      <w:b/>
                      <w:bCs/>
                      <w:color w:val="auto"/>
                    </w:rPr>
                  </w:pPr>
                  <w:r>
                    <w:rPr>
                      <w:b/>
                      <w:bCs/>
                      <w:color w:val="auto"/>
                    </w:rPr>
                    <w:t>工程名称</w:t>
                  </w:r>
                </w:p>
              </w:tc>
              <w:tc>
                <w:tcPr>
                  <w:tcW w:w="1887" w:type="dxa"/>
                  <w:noWrap w:val="0"/>
                  <w:vAlign w:val="center"/>
                </w:tcPr>
                <w:p>
                  <w:pPr>
                    <w:spacing w:line="276" w:lineRule="auto"/>
                    <w:jc w:val="center"/>
                    <w:rPr>
                      <w:b/>
                      <w:bCs/>
                      <w:color w:val="auto"/>
                    </w:rPr>
                  </w:pPr>
                  <w:r>
                    <w:rPr>
                      <w:b/>
                      <w:bCs/>
                      <w:color w:val="auto"/>
                    </w:rPr>
                    <w:t>环评情况</w:t>
                  </w:r>
                </w:p>
              </w:tc>
              <w:tc>
                <w:tcPr>
                  <w:tcW w:w="1653" w:type="dxa"/>
                  <w:noWrap w:val="0"/>
                  <w:vAlign w:val="center"/>
                </w:tcPr>
                <w:p>
                  <w:pPr>
                    <w:spacing w:line="276" w:lineRule="auto"/>
                    <w:jc w:val="center"/>
                    <w:rPr>
                      <w:b/>
                      <w:bCs/>
                      <w:color w:val="auto"/>
                    </w:rPr>
                  </w:pPr>
                  <w:r>
                    <w:rPr>
                      <w:b/>
                      <w:bCs/>
                      <w:color w:val="auto"/>
                    </w:rPr>
                    <w:t>批准内容</w:t>
                  </w:r>
                </w:p>
              </w:tc>
              <w:tc>
                <w:tcPr>
                  <w:tcW w:w="1607" w:type="dxa"/>
                  <w:noWrap w:val="0"/>
                  <w:vAlign w:val="center"/>
                </w:tcPr>
                <w:p>
                  <w:pPr>
                    <w:spacing w:line="276" w:lineRule="auto"/>
                    <w:jc w:val="center"/>
                    <w:rPr>
                      <w:b/>
                      <w:bCs/>
                      <w:color w:val="auto"/>
                    </w:rPr>
                  </w:pPr>
                  <w:r>
                    <w:rPr>
                      <w:b/>
                      <w:bCs/>
                      <w:color w:val="auto"/>
                    </w:rPr>
                    <w:t>建设情况</w:t>
                  </w:r>
                </w:p>
              </w:tc>
              <w:tc>
                <w:tcPr>
                  <w:tcW w:w="1588" w:type="dxa"/>
                  <w:noWrap w:val="0"/>
                  <w:vAlign w:val="center"/>
                </w:tcPr>
                <w:p>
                  <w:pPr>
                    <w:spacing w:line="276" w:lineRule="auto"/>
                    <w:jc w:val="center"/>
                    <w:rPr>
                      <w:b/>
                      <w:bCs/>
                      <w:color w:val="auto"/>
                    </w:rPr>
                  </w:pPr>
                  <w:r>
                    <w:rPr>
                      <w:b/>
                      <w:bCs/>
                      <w:color w:val="auto"/>
                    </w:rPr>
                    <w:t>验收情况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896" w:type="dxa"/>
                  <w:noWrap w:val="0"/>
                  <w:vAlign w:val="center"/>
                </w:tcPr>
                <w:p>
                  <w:pPr>
                    <w:rPr>
                      <w:color w:val="auto"/>
                    </w:rPr>
                  </w:pPr>
                  <w:r>
                    <w:rPr>
                      <w:color w:val="auto"/>
                    </w:rPr>
                    <w:t>1GW太阳能组件项目</w:t>
                  </w:r>
                </w:p>
              </w:tc>
              <w:tc>
                <w:tcPr>
                  <w:tcW w:w="1887" w:type="dxa"/>
                  <w:noWrap w:val="0"/>
                  <w:vAlign w:val="center"/>
                </w:tcPr>
                <w:p>
                  <w:pPr>
                    <w:rPr>
                      <w:color w:val="auto"/>
                    </w:rPr>
                  </w:pPr>
                  <w:r>
                    <w:rPr>
                      <w:color w:val="auto"/>
                    </w:rPr>
                    <w:t>2011年12月9日合肥市环保局高新区分局以环高审[2011]401号文通过审批</w:t>
                  </w:r>
                </w:p>
              </w:tc>
              <w:tc>
                <w:tcPr>
                  <w:tcW w:w="1653" w:type="dxa"/>
                  <w:noWrap w:val="0"/>
                  <w:vAlign w:val="center"/>
                </w:tcPr>
                <w:p>
                  <w:pPr>
                    <w:rPr>
                      <w:color w:val="auto"/>
                    </w:rPr>
                  </w:pPr>
                  <w:r>
                    <w:rPr>
                      <w:color w:val="auto"/>
                    </w:rPr>
                    <w:t>2栋组件厂房及配套设施，形成年产1GW太阳能组件的生产能力</w:t>
                  </w:r>
                </w:p>
              </w:tc>
              <w:tc>
                <w:tcPr>
                  <w:tcW w:w="1607" w:type="dxa"/>
                  <w:noWrap w:val="0"/>
                  <w:vAlign w:val="center"/>
                </w:tcPr>
                <w:p>
                  <w:pPr>
                    <w:rPr>
                      <w:color w:val="auto"/>
                    </w:rPr>
                  </w:pPr>
                  <w:r>
                    <w:rPr>
                      <w:color w:val="auto"/>
                    </w:rPr>
                    <w:t>2栋组件厂房及配套设施，形成年产1GW太阳能组件的生产能力</w:t>
                  </w:r>
                </w:p>
              </w:tc>
              <w:tc>
                <w:tcPr>
                  <w:tcW w:w="1588" w:type="dxa"/>
                  <w:noWrap w:val="0"/>
                  <w:vAlign w:val="center"/>
                </w:tcPr>
                <w:p>
                  <w:pPr>
                    <w:rPr>
                      <w:color w:val="auto"/>
                    </w:rPr>
                  </w:pPr>
                  <w:r>
                    <w:rPr>
                      <w:color w:val="auto"/>
                    </w:rPr>
                    <w:t>2012年5月25日以环高验[2012]027号文进行阶段性验收；2015年4月14日环高验[2015]024号文全部验收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96" w:type="dxa"/>
                  <w:noWrap w:val="0"/>
                  <w:vAlign w:val="center"/>
                </w:tcPr>
                <w:p>
                  <w:pPr>
                    <w:rPr>
                      <w:color w:val="auto"/>
                    </w:rPr>
                  </w:pPr>
                  <w:r>
                    <w:rPr>
                      <w:color w:val="auto"/>
                    </w:rPr>
                    <w:t>1GW太阳能组件扩产项目</w:t>
                  </w:r>
                </w:p>
              </w:tc>
              <w:tc>
                <w:tcPr>
                  <w:tcW w:w="1887" w:type="dxa"/>
                  <w:noWrap w:val="0"/>
                  <w:vAlign w:val="center"/>
                </w:tcPr>
                <w:p>
                  <w:pPr>
                    <w:rPr>
                      <w:color w:val="auto"/>
                    </w:rPr>
                  </w:pPr>
                  <w:r>
                    <w:rPr>
                      <w:color w:val="auto"/>
                    </w:rPr>
                    <w:t>2013年11月25日合肥市环保局高新区分局以环高审[2013]256号文通过审批</w:t>
                  </w:r>
                </w:p>
              </w:tc>
              <w:tc>
                <w:tcPr>
                  <w:tcW w:w="1653" w:type="dxa"/>
                  <w:noWrap w:val="0"/>
                  <w:vAlign w:val="center"/>
                </w:tcPr>
                <w:p>
                  <w:pPr>
                    <w:rPr>
                      <w:color w:val="auto"/>
                    </w:rPr>
                  </w:pPr>
                  <w:r>
                    <w:rPr>
                      <w:color w:val="auto"/>
                    </w:rPr>
                    <w:t>2栋组件厂房及配套设施，形成年产1GW太阳能组件的生产能力</w:t>
                  </w:r>
                </w:p>
              </w:tc>
              <w:tc>
                <w:tcPr>
                  <w:tcW w:w="1607" w:type="dxa"/>
                  <w:noWrap w:val="0"/>
                  <w:vAlign w:val="center"/>
                </w:tcPr>
                <w:p>
                  <w:pPr>
                    <w:rPr>
                      <w:color w:val="auto"/>
                    </w:rPr>
                  </w:pPr>
                  <w:r>
                    <w:rPr>
                      <w:color w:val="auto"/>
                    </w:rPr>
                    <w:t>2栋组件厂房及配套设施，形成年产0.5GW太阳能组件的生产能力</w:t>
                  </w:r>
                </w:p>
              </w:tc>
              <w:tc>
                <w:tcPr>
                  <w:tcW w:w="1588" w:type="dxa"/>
                  <w:noWrap w:val="0"/>
                  <w:vAlign w:val="center"/>
                </w:tcPr>
                <w:p>
                  <w:pPr>
                    <w:rPr>
                      <w:color w:val="auto"/>
                    </w:rPr>
                  </w:pPr>
                  <w:r>
                    <w:rPr>
                      <w:color w:val="auto"/>
                    </w:rPr>
                    <w:t>2015年8月11日以环高验[2015]06号文进行验收</w:t>
                  </w:r>
                </w:p>
                <w:p>
                  <w:pP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1896" w:type="dxa"/>
                  <w:noWrap w:val="0"/>
                  <w:vAlign w:val="center"/>
                </w:tcPr>
                <w:p>
                  <w:pPr>
                    <w:rPr>
                      <w:color w:val="auto"/>
                    </w:rPr>
                  </w:pPr>
                  <w:r>
                    <w:rPr>
                      <w:color w:val="auto"/>
                    </w:rPr>
                    <w:t>1.5GW组件扩产项目</w:t>
                  </w:r>
                </w:p>
              </w:tc>
              <w:tc>
                <w:tcPr>
                  <w:tcW w:w="1887" w:type="dxa"/>
                  <w:noWrap w:val="0"/>
                  <w:vAlign w:val="center"/>
                </w:tcPr>
                <w:p>
                  <w:pPr>
                    <w:rPr>
                      <w:color w:val="auto"/>
                    </w:rPr>
                  </w:pPr>
                  <w:r>
                    <w:rPr>
                      <w:color w:val="auto"/>
                    </w:rPr>
                    <w:t>2017年6月19日合肥市环保局高新区分局以环高审[2013]256号文通过审批</w:t>
                  </w:r>
                </w:p>
              </w:tc>
              <w:tc>
                <w:tcPr>
                  <w:tcW w:w="1653" w:type="dxa"/>
                  <w:noWrap w:val="0"/>
                  <w:vAlign w:val="center"/>
                </w:tcPr>
                <w:p>
                  <w:pPr>
                    <w:rPr>
                      <w:color w:val="auto"/>
                    </w:rPr>
                  </w:pPr>
                  <w:r>
                    <w:rPr>
                      <w:color w:val="auto"/>
                    </w:rPr>
                    <w:t>在现有厂房扩建生产线，形成年产1.5GW太阳能组件的生产能力</w:t>
                  </w:r>
                </w:p>
              </w:tc>
              <w:tc>
                <w:tcPr>
                  <w:tcW w:w="1607" w:type="dxa"/>
                  <w:noWrap w:val="0"/>
                  <w:vAlign w:val="center"/>
                </w:tcPr>
                <w:p>
                  <w:pPr>
                    <w:rPr>
                      <w:color w:val="auto"/>
                    </w:rPr>
                  </w:pPr>
                  <w:r>
                    <w:rPr>
                      <w:color w:val="auto"/>
                    </w:rPr>
                    <w:t>在现有厂房扩建生产线，形成年产1GW太阳能组件的生产能力</w:t>
                  </w:r>
                </w:p>
              </w:tc>
              <w:tc>
                <w:tcPr>
                  <w:tcW w:w="1588" w:type="dxa"/>
                  <w:noWrap w:val="0"/>
                  <w:vAlign w:val="center"/>
                </w:tcPr>
                <w:p>
                  <w:pPr>
                    <w:rPr>
                      <w:color w:val="auto"/>
                    </w:rPr>
                  </w:pPr>
                  <w:r>
                    <w:rPr>
                      <w:color w:val="auto"/>
                    </w:rPr>
                    <w:t>2015年8月11日以环高验[2018]043号文进行固废、噪声设施验收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896" w:type="dxa"/>
                  <w:noWrap w:val="0"/>
                  <w:vAlign w:val="center"/>
                </w:tcPr>
                <w:p>
                  <w:pPr>
                    <w:rPr>
                      <w:color w:val="auto"/>
                    </w:rPr>
                  </w:pPr>
                  <w:r>
                    <w:rPr>
                      <w:color w:val="auto"/>
                    </w:rPr>
                    <w:t>5BB太阳能组件技术改造项目</w:t>
                  </w:r>
                </w:p>
              </w:tc>
              <w:tc>
                <w:tcPr>
                  <w:tcW w:w="1887" w:type="dxa"/>
                  <w:noWrap w:val="0"/>
                  <w:vAlign w:val="center"/>
                </w:tcPr>
                <w:p>
                  <w:pPr>
                    <w:rPr>
                      <w:color w:val="auto"/>
                    </w:rPr>
                  </w:pPr>
                  <w:r>
                    <w:rPr>
                      <w:color w:val="auto"/>
                    </w:rPr>
                    <w:t>2019年8月26日合肥市环保局高新区分局以环高审[2019]069文通过审批</w:t>
                  </w:r>
                </w:p>
              </w:tc>
              <w:tc>
                <w:tcPr>
                  <w:tcW w:w="1653" w:type="dxa"/>
                  <w:noWrap w:val="0"/>
                  <w:vAlign w:val="center"/>
                </w:tcPr>
                <w:p>
                  <w:pPr>
                    <w:rPr>
                      <w:color w:val="auto"/>
                    </w:rPr>
                  </w:pPr>
                  <w:r>
                    <w:rPr>
                      <w:color w:val="auto"/>
                    </w:rPr>
                    <w:t>对现有生产线进行技术改造，增加年产1.154GW太阳能组件的生产能力</w:t>
                  </w:r>
                </w:p>
              </w:tc>
              <w:tc>
                <w:tcPr>
                  <w:tcW w:w="1607" w:type="dxa"/>
                  <w:noWrap w:val="0"/>
                  <w:vAlign w:val="center"/>
                </w:tcPr>
                <w:p>
                  <w:pPr>
                    <w:rPr>
                      <w:color w:val="auto"/>
                    </w:rPr>
                  </w:pPr>
                  <w:r>
                    <w:rPr>
                      <w:color w:val="auto"/>
                    </w:rPr>
                    <w:t>对现有生产线进技术改造，增加年产1.154GW太阳能组件的生产能力</w:t>
                  </w:r>
                </w:p>
              </w:tc>
              <w:tc>
                <w:tcPr>
                  <w:tcW w:w="1588" w:type="dxa"/>
                  <w:noWrap w:val="0"/>
                  <w:vAlign w:val="center"/>
                </w:tcPr>
                <w:p>
                  <w:pPr>
                    <w:rPr>
                      <w:color w:val="auto"/>
                    </w:rPr>
                  </w:pPr>
                  <w:r>
                    <w:rPr>
                      <w:color w:val="auto"/>
                    </w:rPr>
                    <w:t>已完成自主竣工环境保护验收工作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1896" w:type="dxa"/>
                  <w:noWrap w:val="0"/>
                  <w:vAlign w:val="center"/>
                </w:tcPr>
                <w:p>
                  <w:pPr>
                    <w:rPr>
                      <w:color w:val="auto"/>
                    </w:rPr>
                  </w:pPr>
                  <w:r>
                    <w:rPr>
                      <w:color w:val="auto"/>
                    </w:rPr>
                    <w:t>MBB及半片太阳能组件技术改造项目</w:t>
                  </w:r>
                </w:p>
              </w:tc>
              <w:tc>
                <w:tcPr>
                  <w:tcW w:w="1887" w:type="dxa"/>
                  <w:noWrap w:val="0"/>
                  <w:vAlign w:val="center"/>
                </w:tcPr>
                <w:p>
                  <w:pPr>
                    <w:rPr>
                      <w:color w:val="auto"/>
                    </w:rPr>
                  </w:pPr>
                  <w:r>
                    <w:rPr>
                      <w:color w:val="auto"/>
                    </w:rPr>
                    <w:t>2021年1月29日取得合肥市生态环境局环建审[2021]10007号文批复</w:t>
                  </w:r>
                </w:p>
              </w:tc>
              <w:tc>
                <w:tcPr>
                  <w:tcW w:w="1653" w:type="dxa"/>
                  <w:noWrap w:val="0"/>
                  <w:vAlign w:val="center"/>
                </w:tcPr>
                <w:p>
                  <w:pPr>
                    <w:rPr>
                      <w:color w:val="auto"/>
                    </w:rPr>
                  </w:pPr>
                  <w:r>
                    <w:rPr>
                      <w:color w:val="auto"/>
                    </w:rPr>
                    <w:t>对现有</w:t>
                  </w:r>
                  <w:r>
                    <w:rPr>
                      <w:rFonts w:hint="eastAsia"/>
                      <w:color w:val="auto"/>
                    </w:rPr>
                    <w:t>四个车间</w:t>
                  </w:r>
                  <w:r>
                    <w:rPr>
                      <w:color w:val="auto"/>
                    </w:rPr>
                    <w:t>生产线进行技术改造，技改后全厂总产能达到年产4712MW高性能光伏组件</w:t>
                  </w:r>
                </w:p>
              </w:tc>
              <w:tc>
                <w:tcPr>
                  <w:tcW w:w="1607" w:type="dxa"/>
                  <w:noWrap w:val="0"/>
                  <w:vAlign w:val="center"/>
                </w:tcPr>
                <w:p>
                  <w:pPr>
                    <w:jc w:val="center"/>
                    <w:rPr>
                      <w:color w:val="auto"/>
                    </w:rPr>
                  </w:pPr>
                  <w:r>
                    <w:rPr>
                      <w:color w:val="auto"/>
                    </w:rPr>
                    <w:t>对现有</w:t>
                  </w:r>
                  <w:r>
                    <w:rPr>
                      <w:rFonts w:hint="eastAsia"/>
                      <w:color w:val="auto"/>
                    </w:rPr>
                    <w:t>四个车间</w:t>
                  </w:r>
                  <w:r>
                    <w:rPr>
                      <w:color w:val="auto"/>
                    </w:rPr>
                    <w:t>生产线进行技术改造，技改后全厂总产能达到年产4712MW高性能光伏组件</w:t>
                  </w:r>
                </w:p>
              </w:tc>
              <w:tc>
                <w:tcPr>
                  <w:tcW w:w="1588" w:type="dxa"/>
                  <w:noWrap w:val="0"/>
                  <w:vAlign w:val="center"/>
                </w:tcPr>
                <w:p>
                  <w:pPr>
                    <w:rPr>
                      <w:color w:val="auto"/>
                    </w:rPr>
                  </w:pPr>
                  <w:r>
                    <w:rPr>
                      <w:color w:val="auto"/>
                    </w:rPr>
                    <w:t>已完成自主竣工环境保护验收工作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96" w:type="dxa"/>
                  <w:noWrap w:val="0"/>
                  <w:vAlign w:val="center"/>
                </w:tcPr>
                <w:p>
                  <w:pPr>
                    <w:rPr>
                      <w:color w:val="auto"/>
                    </w:rPr>
                  </w:pPr>
                  <w:r>
                    <w:rPr>
                      <w:color w:val="auto"/>
                    </w:rPr>
                    <w:t>合肥晶澳太阳能科技有限公司1.5GW高效太阳能组件项目</w:t>
                  </w:r>
                </w:p>
              </w:tc>
              <w:tc>
                <w:tcPr>
                  <w:tcW w:w="1887" w:type="dxa"/>
                  <w:noWrap w:val="0"/>
                  <w:vAlign w:val="center"/>
                </w:tcPr>
                <w:p>
                  <w:pPr>
                    <w:rPr>
                      <w:color w:val="auto"/>
                    </w:rPr>
                  </w:pPr>
                  <w:r>
                    <w:rPr>
                      <w:color w:val="auto"/>
                    </w:rPr>
                    <w:t>2021年</w:t>
                  </w:r>
                  <w:r>
                    <w:rPr>
                      <w:rFonts w:hint="eastAsia"/>
                      <w:color w:val="auto"/>
                    </w:rPr>
                    <w:t>3</w:t>
                  </w:r>
                  <w:r>
                    <w:rPr>
                      <w:color w:val="auto"/>
                    </w:rPr>
                    <w:t>月</w:t>
                  </w:r>
                  <w:r>
                    <w:rPr>
                      <w:rFonts w:hint="eastAsia"/>
                      <w:color w:val="auto"/>
                    </w:rPr>
                    <w:t>31</w:t>
                  </w:r>
                  <w:r>
                    <w:rPr>
                      <w:color w:val="auto"/>
                    </w:rPr>
                    <w:t>日取得合肥市生态环境局环建审[2021]100</w:t>
                  </w:r>
                  <w:r>
                    <w:rPr>
                      <w:rFonts w:hint="eastAsia"/>
                      <w:color w:val="auto"/>
                    </w:rPr>
                    <w:t>21</w:t>
                  </w:r>
                  <w:r>
                    <w:rPr>
                      <w:color w:val="auto"/>
                    </w:rPr>
                    <w:t>号文批复</w:t>
                  </w:r>
                </w:p>
              </w:tc>
              <w:tc>
                <w:tcPr>
                  <w:tcW w:w="1653" w:type="dxa"/>
                  <w:noWrap w:val="0"/>
                  <w:vAlign w:val="center"/>
                </w:tcPr>
                <w:p>
                  <w:pPr>
                    <w:rPr>
                      <w:color w:val="auto"/>
                    </w:rPr>
                  </w:pPr>
                  <w:r>
                    <w:rPr>
                      <w:color w:val="auto"/>
                    </w:rPr>
                    <w:t>扩建年产1500MW高效太阳能组件生产线</w:t>
                  </w:r>
                </w:p>
              </w:tc>
              <w:tc>
                <w:tcPr>
                  <w:tcW w:w="1607" w:type="dxa"/>
                  <w:noWrap w:val="0"/>
                  <w:vAlign w:val="center"/>
                </w:tcPr>
                <w:p>
                  <w:pPr>
                    <w:jc w:val="center"/>
                    <w:rPr>
                      <w:rFonts w:hint="eastAsia"/>
                      <w:color w:val="auto"/>
                    </w:rPr>
                  </w:pPr>
                  <w:r>
                    <w:rPr>
                      <w:color w:val="auto"/>
                    </w:rPr>
                    <w:t>扩建年产1500MW高效太阳能组件生产线</w:t>
                  </w:r>
                </w:p>
              </w:tc>
              <w:tc>
                <w:tcPr>
                  <w:tcW w:w="1588" w:type="dxa"/>
                  <w:noWrap w:val="0"/>
                  <w:vAlign w:val="center"/>
                </w:tcPr>
                <w:p>
                  <w:pPr>
                    <w:jc w:val="center"/>
                    <w:rPr>
                      <w:color w:val="auto"/>
                    </w:rPr>
                  </w:pPr>
                  <w:r>
                    <w:rPr>
                      <w:color w:val="auto"/>
                    </w:rPr>
                    <w:t>已完成自主竣工环境保护验收工作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96" w:type="dxa"/>
                  <w:noWrap w:val="0"/>
                  <w:vAlign w:val="center"/>
                </w:tcPr>
                <w:p>
                  <w:pPr>
                    <w:rPr>
                      <w:color w:val="auto"/>
                    </w:rPr>
                  </w:pPr>
                  <w:r>
                    <w:rPr>
                      <w:color w:val="auto"/>
                    </w:rPr>
                    <w:t>合肥晶澳太阳能科技有限公司一车间DeepBlue3.0太阳能组件技改项目</w:t>
                  </w:r>
                </w:p>
              </w:tc>
              <w:tc>
                <w:tcPr>
                  <w:tcW w:w="1887" w:type="dxa"/>
                  <w:noWrap w:val="0"/>
                  <w:vAlign w:val="center"/>
                </w:tcPr>
                <w:p>
                  <w:pPr>
                    <w:rPr>
                      <w:color w:val="auto"/>
                    </w:rPr>
                  </w:pPr>
                  <w:r>
                    <w:rPr>
                      <w:rFonts w:hint="eastAsia"/>
                      <w:color w:val="auto"/>
                    </w:rPr>
                    <w:t>2021年4月27日取得合肥市生态环境局</w:t>
                  </w:r>
                  <w:r>
                    <w:rPr>
                      <w:color w:val="auto"/>
                    </w:rPr>
                    <w:t>环建审[2021]10023号文批复</w:t>
                  </w:r>
                </w:p>
              </w:tc>
              <w:tc>
                <w:tcPr>
                  <w:tcW w:w="1653" w:type="dxa"/>
                  <w:noWrap w:val="0"/>
                  <w:vAlign w:val="center"/>
                </w:tcPr>
                <w:p>
                  <w:pPr>
                    <w:rPr>
                      <w:color w:val="auto"/>
                    </w:rPr>
                  </w:pPr>
                  <w:r>
                    <w:rPr>
                      <w:color w:val="auto"/>
                    </w:rPr>
                    <w:t>利用现有114-组件厂房一及组件成品仓库二进行改建为组件厂房一</w:t>
                  </w:r>
                  <w:r>
                    <w:rPr>
                      <w:rFonts w:hint="eastAsia"/>
                      <w:color w:val="auto"/>
                    </w:rPr>
                    <w:t>，技改</w:t>
                  </w:r>
                  <w:r>
                    <w:rPr>
                      <w:color w:val="auto"/>
                    </w:rPr>
                    <w:t>后组件厂房一产能增加至年产2000 MW高性能光伏组件</w:t>
                  </w:r>
                </w:p>
              </w:tc>
              <w:tc>
                <w:tcPr>
                  <w:tcW w:w="1607" w:type="dxa"/>
                  <w:noWrap w:val="0"/>
                  <w:vAlign w:val="center"/>
                </w:tcPr>
                <w:p>
                  <w:pPr>
                    <w:jc w:val="center"/>
                    <w:rPr>
                      <w:rFonts w:hint="eastAsia"/>
                      <w:color w:val="auto"/>
                    </w:rPr>
                  </w:pPr>
                  <w:r>
                    <w:rPr>
                      <w:color w:val="auto"/>
                    </w:rPr>
                    <w:t>利用现有114-组件厂房一及组件成品仓库二进行改建为组件厂房一</w:t>
                  </w:r>
                  <w:r>
                    <w:rPr>
                      <w:rFonts w:hint="eastAsia"/>
                      <w:color w:val="auto"/>
                    </w:rPr>
                    <w:t>，技改</w:t>
                  </w:r>
                  <w:r>
                    <w:rPr>
                      <w:color w:val="auto"/>
                    </w:rPr>
                    <w:t>后组件厂房一产能增加至年产2000 MW高性能光伏组件</w:t>
                  </w:r>
                </w:p>
              </w:tc>
              <w:tc>
                <w:tcPr>
                  <w:tcW w:w="1588" w:type="dxa"/>
                  <w:noWrap w:val="0"/>
                  <w:vAlign w:val="center"/>
                </w:tcPr>
                <w:p>
                  <w:pPr>
                    <w:jc w:val="center"/>
                    <w:rPr>
                      <w:color w:val="auto"/>
                    </w:rPr>
                  </w:pPr>
                  <w:r>
                    <w:rPr>
                      <w:color w:val="auto"/>
                    </w:rPr>
                    <w:t>已完成自主竣工环境保护验收工作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96" w:type="dxa"/>
                  <w:noWrap w:val="0"/>
                  <w:vAlign w:val="center"/>
                </w:tcPr>
                <w:p>
                  <w:pPr>
                    <w:rPr>
                      <w:color w:val="auto"/>
                    </w:rPr>
                  </w:pPr>
                  <w:r>
                    <w:rPr>
                      <w:rFonts w:hint="eastAsia"/>
                      <w:color w:val="auto"/>
                      <w:szCs w:val="21"/>
                    </w:rPr>
                    <w:t>合肥晶澳二车间（116#建筑）2.5GWDeepblue3.0项目</w:t>
                  </w:r>
                </w:p>
              </w:tc>
              <w:tc>
                <w:tcPr>
                  <w:tcW w:w="1887" w:type="dxa"/>
                  <w:noWrap w:val="0"/>
                  <w:vAlign w:val="center"/>
                </w:tcPr>
                <w:p>
                  <w:pPr>
                    <w:rPr>
                      <w:rFonts w:hint="eastAsia" w:eastAsia="宋体"/>
                      <w:color w:val="auto"/>
                      <w:lang w:val="en-US" w:eastAsia="zh-CN"/>
                    </w:rPr>
                  </w:pPr>
                  <w:r>
                    <w:rPr>
                      <w:rFonts w:hint="eastAsia"/>
                      <w:color w:val="auto"/>
                    </w:rPr>
                    <w:t>202</w:t>
                  </w:r>
                  <w:r>
                    <w:rPr>
                      <w:rFonts w:hint="eastAsia"/>
                      <w:color w:val="auto"/>
                      <w:lang w:val="en-US" w:eastAsia="zh-CN"/>
                    </w:rPr>
                    <w:t>2</w:t>
                  </w:r>
                  <w:r>
                    <w:rPr>
                      <w:rFonts w:hint="eastAsia"/>
                      <w:color w:val="auto"/>
                    </w:rPr>
                    <w:t>年</w:t>
                  </w:r>
                  <w:r>
                    <w:rPr>
                      <w:rFonts w:hint="eastAsia"/>
                      <w:color w:val="auto"/>
                      <w:lang w:val="en-US" w:eastAsia="zh-CN"/>
                    </w:rPr>
                    <w:t>5</w:t>
                  </w:r>
                  <w:r>
                    <w:rPr>
                      <w:rFonts w:hint="eastAsia"/>
                      <w:color w:val="auto"/>
                    </w:rPr>
                    <w:t>月</w:t>
                  </w:r>
                  <w:r>
                    <w:rPr>
                      <w:rFonts w:hint="eastAsia"/>
                      <w:color w:val="auto"/>
                      <w:lang w:val="en-US" w:eastAsia="zh-CN"/>
                    </w:rPr>
                    <w:t>30</w:t>
                  </w:r>
                  <w:r>
                    <w:rPr>
                      <w:rFonts w:hint="eastAsia"/>
                      <w:color w:val="auto"/>
                    </w:rPr>
                    <w:t>日取得合肥市生态环境局</w:t>
                  </w:r>
                  <w:r>
                    <w:rPr>
                      <w:rFonts w:hint="eastAsia"/>
                      <w:color w:val="auto"/>
                      <w:lang w:eastAsia="zh-CN"/>
                    </w:rPr>
                    <w:t>合高自贸环备</w:t>
                  </w:r>
                  <w:r>
                    <w:rPr>
                      <w:color w:val="auto"/>
                    </w:rPr>
                    <w:t>[202</w:t>
                  </w:r>
                  <w:r>
                    <w:rPr>
                      <w:rFonts w:hint="eastAsia"/>
                      <w:color w:val="auto"/>
                      <w:lang w:val="en-US" w:eastAsia="zh-CN"/>
                    </w:rPr>
                    <w:t>2</w:t>
                  </w:r>
                  <w:r>
                    <w:rPr>
                      <w:color w:val="auto"/>
                    </w:rPr>
                    <w:t>]100</w:t>
                  </w:r>
                  <w:r>
                    <w:rPr>
                      <w:rFonts w:hint="eastAsia"/>
                      <w:color w:val="auto"/>
                      <w:lang w:val="en-US" w:eastAsia="zh-CN"/>
                    </w:rPr>
                    <w:t>06</w:t>
                  </w:r>
                  <w:r>
                    <w:rPr>
                      <w:color w:val="auto"/>
                    </w:rPr>
                    <w:t>号</w:t>
                  </w:r>
                  <w:r>
                    <w:rPr>
                      <w:rFonts w:hint="eastAsia"/>
                      <w:color w:val="auto"/>
                      <w:lang w:eastAsia="zh-CN"/>
                    </w:rPr>
                    <w:t>批复</w:t>
                  </w:r>
                </w:p>
              </w:tc>
              <w:tc>
                <w:tcPr>
                  <w:tcW w:w="1653" w:type="dxa"/>
                  <w:noWrap w:val="0"/>
                  <w:vAlign w:val="center"/>
                </w:tcPr>
                <w:p>
                  <w:pPr>
                    <w:rPr>
                      <w:color w:val="auto"/>
                    </w:rPr>
                  </w:pPr>
                  <w:r>
                    <w:rPr>
                      <w:color w:val="auto"/>
                    </w:rPr>
                    <w:t>利用现有11</w:t>
                  </w:r>
                  <w:r>
                    <w:rPr>
                      <w:rFonts w:hint="eastAsia"/>
                      <w:color w:val="auto"/>
                    </w:rPr>
                    <w:t>6</w:t>
                  </w:r>
                  <w:r>
                    <w:rPr>
                      <w:color w:val="auto"/>
                    </w:rPr>
                    <w:t>-组件厂房</w:t>
                  </w:r>
                  <w:r>
                    <w:rPr>
                      <w:rFonts w:hint="eastAsia"/>
                      <w:color w:val="auto"/>
                    </w:rPr>
                    <w:t>二</w:t>
                  </w:r>
                  <w:r>
                    <w:rPr>
                      <w:color w:val="auto"/>
                    </w:rPr>
                    <w:t>及组件成品仓库进行改建为组件厂房</w:t>
                  </w:r>
                  <w:r>
                    <w:rPr>
                      <w:rFonts w:hint="eastAsia"/>
                      <w:color w:val="auto"/>
                    </w:rPr>
                    <w:t>二，技改</w:t>
                  </w:r>
                  <w:r>
                    <w:rPr>
                      <w:color w:val="auto"/>
                    </w:rPr>
                    <w:t>后组件厂房一产能增加至年产2</w:t>
                  </w:r>
                  <w:r>
                    <w:rPr>
                      <w:rFonts w:hint="eastAsia"/>
                      <w:color w:val="auto"/>
                    </w:rPr>
                    <w:t>500</w:t>
                  </w:r>
                  <w:r>
                    <w:rPr>
                      <w:color w:val="auto"/>
                    </w:rPr>
                    <w:t>MW高性能光伏组件</w:t>
                  </w:r>
                </w:p>
              </w:tc>
              <w:tc>
                <w:tcPr>
                  <w:tcW w:w="1607" w:type="dxa"/>
                  <w:noWrap w:val="0"/>
                  <w:vAlign w:val="center"/>
                </w:tcPr>
                <w:p>
                  <w:pPr>
                    <w:jc w:val="center"/>
                    <w:rPr>
                      <w:color w:val="auto"/>
                    </w:rPr>
                  </w:pPr>
                  <w:r>
                    <w:rPr>
                      <w:color w:val="auto"/>
                    </w:rPr>
                    <w:t>利用现有11</w:t>
                  </w:r>
                  <w:r>
                    <w:rPr>
                      <w:rFonts w:hint="eastAsia"/>
                      <w:color w:val="auto"/>
                    </w:rPr>
                    <w:t>6</w:t>
                  </w:r>
                  <w:r>
                    <w:rPr>
                      <w:color w:val="auto"/>
                    </w:rPr>
                    <w:t>-组件厂房</w:t>
                  </w:r>
                  <w:r>
                    <w:rPr>
                      <w:rFonts w:hint="eastAsia"/>
                      <w:color w:val="auto"/>
                    </w:rPr>
                    <w:t>二</w:t>
                  </w:r>
                  <w:r>
                    <w:rPr>
                      <w:color w:val="auto"/>
                    </w:rPr>
                    <w:t>及组件成品仓库进行改建为组件厂房</w:t>
                  </w:r>
                  <w:r>
                    <w:rPr>
                      <w:rFonts w:hint="eastAsia"/>
                      <w:color w:val="auto"/>
                    </w:rPr>
                    <w:t>二，技改</w:t>
                  </w:r>
                  <w:r>
                    <w:rPr>
                      <w:color w:val="auto"/>
                    </w:rPr>
                    <w:t>后组件厂房一产能增加至年产2</w:t>
                  </w:r>
                  <w:r>
                    <w:rPr>
                      <w:rFonts w:hint="eastAsia"/>
                      <w:color w:val="auto"/>
                    </w:rPr>
                    <w:t>500</w:t>
                  </w:r>
                  <w:r>
                    <w:rPr>
                      <w:color w:val="auto"/>
                    </w:rPr>
                    <w:t>MW高性能光伏组件</w:t>
                  </w:r>
                </w:p>
              </w:tc>
              <w:tc>
                <w:tcPr>
                  <w:tcW w:w="1588" w:type="dxa"/>
                  <w:noWrap w:val="0"/>
                  <w:vAlign w:val="center"/>
                </w:tcPr>
                <w:p>
                  <w:pPr>
                    <w:jc w:val="center"/>
                    <w:rPr>
                      <w:rFonts w:hint="eastAsia"/>
                      <w:color w:val="auto"/>
                    </w:rPr>
                  </w:pPr>
                  <w:r>
                    <w:rPr>
                      <w:rFonts w:hint="eastAsia"/>
                      <w:color w:val="auto"/>
                      <w:lang w:eastAsia="zh-CN"/>
                    </w:rPr>
                    <w:t>已建设完成，</w:t>
                  </w:r>
                  <w:r>
                    <w:rPr>
                      <w:rFonts w:hint="eastAsia"/>
                      <w:color w:val="auto"/>
                    </w:rPr>
                    <w:t>正在进行自主竣工环境保护验收工作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jc w:val="center"/>
              </w:trPr>
              <w:tc>
                <w:tcPr>
                  <w:tcW w:w="1896" w:type="dxa"/>
                  <w:noWrap w:val="0"/>
                  <w:vAlign w:val="center"/>
                </w:tcPr>
                <w:p>
                  <w:pPr>
                    <w:rPr>
                      <w:rFonts w:hint="eastAsia"/>
                      <w:color w:val="auto"/>
                      <w:szCs w:val="21"/>
                    </w:rPr>
                  </w:pPr>
                  <w:r>
                    <w:rPr>
                      <w:rFonts w:hint="eastAsia"/>
                      <w:color w:val="auto"/>
                      <w:szCs w:val="21"/>
                    </w:rPr>
                    <w:t>合肥晶澳太阳能科技有限公司智慧工厂项目（一期）</w:t>
                  </w:r>
                </w:p>
              </w:tc>
              <w:tc>
                <w:tcPr>
                  <w:tcW w:w="1887" w:type="dxa"/>
                  <w:noWrap w:val="0"/>
                  <w:vAlign w:val="center"/>
                </w:tcPr>
                <w:p>
                  <w:pPr>
                    <w:rPr>
                      <w:rFonts w:hint="eastAsia"/>
                      <w:color w:val="auto"/>
                    </w:rPr>
                  </w:pPr>
                  <w:r>
                    <w:rPr>
                      <w:rFonts w:hint="eastAsia"/>
                      <w:color w:val="000000"/>
                      <w:highlight w:val="none"/>
                    </w:rPr>
                    <w:t>202</w:t>
                  </w:r>
                  <w:r>
                    <w:rPr>
                      <w:rFonts w:hint="eastAsia"/>
                      <w:color w:val="000000"/>
                      <w:highlight w:val="none"/>
                      <w:lang w:val="en-US" w:eastAsia="zh-CN"/>
                    </w:rPr>
                    <w:t>2</w:t>
                  </w:r>
                  <w:r>
                    <w:rPr>
                      <w:rFonts w:hint="eastAsia"/>
                      <w:color w:val="000000"/>
                      <w:highlight w:val="none"/>
                    </w:rPr>
                    <w:t>年</w:t>
                  </w:r>
                  <w:r>
                    <w:rPr>
                      <w:rFonts w:hint="eastAsia"/>
                      <w:color w:val="000000"/>
                      <w:highlight w:val="none"/>
                      <w:lang w:val="en-US" w:eastAsia="zh-CN"/>
                    </w:rPr>
                    <w:t>10</w:t>
                  </w:r>
                  <w:r>
                    <w:rPr>
                      <w:rFonts w:hint="eastAsia"/>
                      <w:color w:val="000000"/>
                      <w:highlight w:val="none"/>
                    </w:rPr>
                    <w:t>月</w:t>
                  </w:r>
                  <w:r>
                    <w:rPr>
                      <w:rFonts w:hint="eastAsia"/>
                      <w:color w:val="000000"/>
                      <w:highlight w:val="none"/>
                      <w:lang w:val="en-US" w:eastAsia="zh-CN"/>
                    </w:rPr>
                    <w:t>25</w:t>
                  </w:r>
                  <w:r>
                    <w:rPr>
                      <w:rFonts w:hint="eastAsia"/>
                      <w:color w:val="000000"/>
                      <w:highlight w:val="none"/>
                    </w:rPr>
                    <w:t>日取得合肥市生态环境局合高自贸环备〔2022〕10023号</w:t>
                  </w:r>
                </w:p>
              </w:tc>
              <w:tc>
                <w:tcPr>
                  <w:tcW w:w="1653" w:type="dxa"/>
                  <w:noWrap w:val="0"/>
                  <w:vAlign w:val="center"/>
                </w:tcPr>
                <w:p>
                  <w:pPr>
                    <w:rPr>
                      <w:color w:val="auto"/>
                    </w:rPr>
                  </w:pPr>
                  <w:r>
                    <w:rPr>
                      <w:rFonts w:hint="eastAsia"/>
                      <w:color w:val="000000"/>
                      <w:highlight w:val="none"/>
                    </w:rPr>
                    <w:t>利用现有厂区西侧空地新建智慧工厂、动力站、智慧仓库、原料仓库、化学品仓库、危废仓库及污水处理站等</w:t>
                  </w:r>
                  <w:r>
                    <w:rPr>
                      <w:rFonts w:hint="eastAsia"/>
                      <w:color w:val="000000"/>
                      <w:highlight w:val="none"/>
                      <w:lang w:eastAsia="zh-CN"/>
                    </w:rPr>
                    <w:t>，</w:t>
                  </w:r>
                  <w:r>
                    <w:rPr>
                      <w:rFonts w:hint="eastAsia"/>
                      <w:color w:val="000000"/>
                      <w:highlight w:val="none"/>
                      <w:lang w:val="en-US" w:eastAsia="zh-CN"/>
                    </w:rPr>
                    <w:t>扩建后增加至年产2500MW高性能光伏组件</w:t>
                  </w:r>
                </w:p>
              </w:tc>
              <w:tc>
                <w:tcPr>
                  <w:tcW w:w="1607" w:type="dxa"/>
                  <w:noWrap w:val="0"/>
                  <w:vAlign w:val="center"/>
                </w:tcPr>
                <w:p>
                  <w:pPr>
                    <w:jc w:val="center"/>
                    <w:rPr>
                      <w:rFonts w:hint="eastAsia" w:eastAsia="宋体"/>
                      <w:color w:val="auto"/>
                      <w:lang w:eastAsia="zh-CN"/>
                    </w:rPr>
                  </w:pPr>
                  <w:r>
                    <w:rPr>
                      <w:rFonts w:hint="eastAsia" w:eastAsia="宋体"/>
                      <w:color w:val="000000"/>
                      <w:highlight w:val="none"/>
                      <w:lang w:eastAsia="zh-CN"/>
                    </w:rPr>
                    <w:t>正在建设</w:t>
                  </w:r>
                </w:p>
              </w:tc>
              <w:tc>
                <w:tcPr>
                  <w:tcW w:w="1588" w:type="dxa"/>
                  <w:noWrap w:val="0"/>
                  <w:vAlign w:val="center"/>
                </w:tcPr>
                <w:p>
                  <w:pPr>
                    <w:jc w:val="center"/>
                    <w:rPr>
                      <w:rFonts w:hint="eastAsia"/>
                      <w:color w:val="auto"/>
                      <w:lang w:eastAsia="zh-CN"/>
                    </w:rPr>
                  </w:pPr>
                  <w:r>
                    <w:rPr>
                      <w:rFonts w:hint="eastAsia"/>
                      <w:color w:val="auto"/>
                      <w:lang w:eastAsia="zh-CN"/>
                    </w:rPr>
                    <w:t>尚未验收</w:t>
                  </w:r>
                </w:p>
              </w:tc>
            </w:tr>
          </w:tbl>
          <w:p>
            <w:pPr>
              <w:numPr>
                <w:ilvl w:val="0"/>
                <w:numId w:val="0"/>
              </w:numPr>
              <w:adjustRightInd w:val="0"/>
              <w:snapToGrid w:val="0"/>
              <w:spacing w:line="360" w:lineRule="auto"/>
              <w:ind w:firstLine="482" w:firstLineChars="200"/>
              <w:jc w:val="left"/>
              <w:rPr>
                <w:rFonts w:hint="eastAsia"/>
                <w:b/>
                <w:bCs/>
                <w:color w:val="auto"/>
                <w:sz w:val="24"/>
              </w:rPr>
            </w:pPr>
            <w:r>
              <w:rPr>
                <w:rFonts w:hint="eastAsia"/>
                <w:b/>
                <w:bCs/>
                <w:color w:val="auto"/>
                <w:sz w:val="24"/>
                <w:lang w:eastAsia="zh-CN"/>
              </w:rPr>
              <w:t>（二）</w:t>
            </w:r>
            <w:r>
              <w:rPr>
                <w:rFonts w:hint="eastAsia"/>
                <w:b/>
                <w:bCs/>
                <w:color w:val="auto"/>
                <w:sz w:val="24"/>
              </w:rPr>
              <w:t>现有工程实际污染物排放总量</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1、已建工程污染物排放情况</w:t>
            </w:r>
          </w:p>
          <w:p>
            <w:pPr>
              <w:adjustRightInd w:val="0"/>
              <w:snapToGrid w:val="0"/>
              <w:spacing w:line="360" w:lineRule="auto"/>
              <w:ind w:firstLine="480" w:firstLineChars="200"/>
              <w:rPr>
                <w:color w:val="auto"/>
                <w:sz w:val="24"/>
              </w:rPr>
            </w:pPr>
            <w:r>
              <w:rPr>
                <w:color w:val="auto"/>
                <w:sz w:val="24"/>
              </w:rPr>
              <w:t>根据</w:t>
            </w:r>
            <w:r>
              <w:rPr>
                <w:rFonts w:hint="eastAsia"/>
                <w:color w:val="auto"/>
                <w:sz w:val="24"/>
              </w:rPr>
              <w:t>《</w:t>
            </w:r>
            <w:r>
              <w:rPr>
                <w:color w:val="auto"/>
                <w:kern w:val="0"/>
                <w:sz w:val="24"/>
              </w:rPr>
              <w:t>合肥晶澳太阳能科技有限公司</w:t>
            </w:r>
            <w:r>
              <w:rPr>
                <w:rFonts w:hint="eastAsia"/>
                <w:color w:val="auto"/>
                <w:sz w:val="24"/>
                <w:lang w:val="en-US" w:eastAsia="zh-CN"/>
              </w:rPr>
              <w:t>2021年度排污许可证执行报告年报》</w:t>
            </w:r>
            <w:r>
              <w:rPr>
                <w:rFonts w:hint="eastAsia"/>
                <w:color w:val="auto"/>
                <w:sz w:val="24"/>
              </w:rPr>
              <w:t>及《合肥晶澳二车间（116#建筑）2.5GWDeepblue3.0项目环境影响报告表》</w:t>
            </w:r>
            <w:r>
              <w:rPr>
                <w:color w:val="auto"/>
                <w:sz w:val="24"/>
              </w:rPr>
              <w:t>，</w:t>
            </w:r>
            <w:r>
              <w:rPr>
                <w:rFonts w:hint="eastAsia"/>
                <w:color w:val="auto"/>
                <w:sz w:val="24"/>
              </w:rPr>
              <w:t>本项目</w:t>
            </w:r>
            <w:r>
              <w:rPr>
                <w:color w:val="auto"/>
                <w:sz w:val="24"/>
              </w:rPr>
              <w:t>全厂</w:t>
            </w:r>
            <w:r>
              <w:rPr>
                <w:rFonts w:hint="eastAsia"/>
                <w:color w:val="auto"/>
                <w:sz w:val="24"/>
                <w:lang w:eastAsia="zh-CN"/>
              </w:rPr>
              <w:t>已建</w:t>
            </w:r>
            <w:r>
              <w:rPr>
                <w:color w:val="auto"/>
                <w:sz w:val="24"/>
              </w:rPr>
              <w:t>工程</w:t>
            </w:r>
            <w:r>
              <w:rPr>
                <w:rFonts w:hint="eastAsia"/>
                <w:color w:val="auto"/>
                <w:sz w:val="24"/>
              </w:rPr>
              <w:t>污染物排放</w:t>
            </w:r>
            <w:r>
              <w:rPr>
                <w:color w:val="auto"/>
                <w:sz w:val="24"/>
              </w:rPr>
              <w:t>情况如下：</w:t>
            </w:r>
          </w:p>
          <w:p>
            <w:pPr>
              <w:widowControl/>
              <w:numPr>
                <w:ilvl w:val="0"/>
                <w:numId w:val="2"/>
              </w:numPr>
              <w:jc w:val="center"/>
              <w:rPr>
                <w:b/>
                <w:color w:val="auto"/>
                <w:kern w:val="0"/>
                <w:szCs w:val="21"/>
                <w:lang w:val="zh-CN"/>
              </w:rPr>
            </w:pPr>
            <w:r>
              <w:rPr>
                <w:b/>
                <w:color w:val="auto"/>
                <w:kern w:val="0"/>
                <w:szCs w:val="21"/>
                <w:lang w:val="zh-CN"/>
              </w:rPr>
              <w:t>项目</w:t>
            </w:r>
            <w:r>
              <w:rPr>
                <w:rFonts w:hint="eastAsia"/>
                <w:b/>
                <w:color w:val="auto"/>
                <w:kern w:val="0"/>
                <w:szCs w:val="21"/>
                <w:lang w:val="zh-CN"/>
              </w:rPr>
              <w:t>已建</w:t>
            </w:r>
            <w:r>
              <w:rPr>
                <w:b/>
                <w:color w:val="auto"/>
                <w:kern w:val="0"/>
                <w:szCs w:val="21"/>
                <w:lang w:val="zh-CN"/>
              </w:rPr>
              <w:t>工程污染物排放量一览表    单位：</w:t>
            </w:r>
            <w:r>
              <w:rPr>
                <w:b/>
                <w:color w:val="auto"/>
                <w:kern w:val="0"/>
                <w:szCs w:val="21"/>
              </w:rPr>
              <w:t>t</w:t>
            </w:r>
            <w:r>
              <w:rPr>
                <w:b/>
                <w:color w:val="auto"/>
                <w:kern w:val="0"/>
                <w:szCs w:val="21"/>
                <w:lang w:val="zh-CN"/>
              </w:rPr>
              <w:t>/a</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6"/>
              <w:gridCol w:w="3522"/>
              <w:gridCol w:w="3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noWrap w:val="0"/>
                  <w:vAlign w:val="center"/>
                </w:tcPr>
                <w:p>
                  <w:pPr>
                    <w:adjustRightInd w:val="0"/>
                    <w:snapToGrid w:val="0"/>
                    <w:jc w:val="center"/>
                    <w:rPr>
                      <w:b/>
                      <w:bCs/>
                      <w:color w:val="auto"/>
                      <w:szCs w:val="21"/>
                    </w:rPr>
                  </w:pPr>
                  <w:r>
                    <w:rPr>
                      <w:b/>
                      <w:bCs/>
                      <w:color w:val="auto"/>
                      <w:szCs w:val="21"/>
                    </w:rPr>
                    <w:t>种类</w:t>
                  </w:r>
                </w:p>
              </w:tc>
              <w:tc>
                <w:tcPr>
                  <w:tcW w:w="2040" w:type="pct"/>
                  <w:noWrap w:val="0"/>
                  <w:vAlign w:val="center"/>
                </w:tcPr>
                <w:p>
                  <w:pPr>
                    <w:adjustRightInd w:val="0"/>
                    <w:snapToGrid w:val="0"/>
                    <w:jc w:val="center"/>
                    <w:rPr>
                      <w:b/>
                      <w:bCs/>
                      <w:color w:val="auto"/>
                      <w:szCs w:val="21"/>
                    </w:rPr>
                  </w:pPr>
                  <w:r>
                    <w:rPr>
                      <w:b/>
                      <w:bCs/>
                      <w:color w:val="auto"/>
                      <w:szCs w:val="21"/>
                    </w:rPr>
                    <w:t>污染物名称</w:t>
                  </w:r>
                </w:p>
              </w:tc>
              <w:tc>
                <w:tcPr>
                  <w:tcW w:w="2046" w:type="pct"/>
                  <w:noWrap w:val="0"/>
                  <w:vAlign w:val="center"/>
                </w:tcPr>
                <w:p>
                  <w:pPr>
                    <w:adjustRightInd w:val="0"/>
                    <w:snapToGrid w:val="0"/>
                    <w:jc w:val="center"/>
                    <w:rPr>
                      <w:rFonts w:hint="eastAsia"/>
                      <w:b/>
                      <w:bCs/>
                      <w:color w:val="auto"/>
                      <w:szCs w:val="21"/>
                    </w:rPr>
                  </w:pPr>
                  <w:r>
                    <w:rPr>
                      <w:rFonts w:hint="eastAsia"/>
                      <w:b/>
                      <w:bCs/>
                      <w:color w:val="auto"/>
                      <w:szCs w:val="21"/>
                      <w:lang w:eastAsia="zh-CN"/>
                    </w:rPr>
                    <w:t>排放量合计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restart"/>
                  <w:noWrap w:val="0"/>
                  <w:vAlign w:val="center"/>
                </w:tcPr>
                <w:p>
                  <w:pPr>
                    <w:adjustRightInd w:val="0"/>
                    <w:snapToGrid w:val="0"/>
                    <w:jc w:val="center"/>
                    <w:rPr>
                      <w:color w:val="auto"/>
                      <w:szCs w:val="21"/>
                    </w:rPr>
                  </w:pPr>
                  <w:r>
                    <w:rPr>
                      <w:color w:val="auto"/>
                      <w:szCs w:val="21"/>
                    </w:rPr>
                    <w:t>废水</w:t>
                  </w:r>
                </w:p>
              </w:tc>
              <w:tc>
                <w:tcPr>
                  <w:tcW w:w="2040" w:type="pct"/>
                  <w:noWrap w:val="0"/>
                  <w:vAlign w:val="center"/>
                </w:tcPr>
                <w:p>
                  <w:pPr>
                    <w:adjustRightInd w:val="0"/>
                    <w:snapToGrid w:val="0"/>
                    <w:jc w:val="center"/>
                    <w:rPr>
                      <w:color w:val="auto"/>
                      <w:szCs w:val="21"/>
                    </w:rPr>
                  </w:pPr>
                  <w:r>
                    <w:rPr>
                      <w:color w:val="auto"/>
                      <w:szCs w:val="21"/>
                    </w:rPr>
                    <w:t>废水量</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99019.54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adjustRightInd w:val="0"/>
                    <w:snapToGrid w:val="0"/>
                    <w:jc w:val="center"/>
                    <w:rPr>
                      <w:color w:val="auto"/>
                      <w:szCs w:val="21"/>
                    </w:rPr>
                  </w:pPr>
                  <w:r>
                    <w:rPr>
                      <w:color w:val="auto"/>
                      <w:szCs w:val="21"/>
                    </w:rPr>
                    <w:t>COD</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9.647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pStyle w:val="16"/>
                    <w:ind w:left="420" w:hanging="420"/>
                    <w:rPr>
                      <w:rFonts w:ascii="Times New Roman" w:eastAsia="宋体" w:cs="Times New Roman"/>
                      <w:color w:val="auto"/>
                      <w:sz w:val="21"/>
                      <w:szCs w:val="21"/>
                    </w:rPr>
                  </w:pPr>
                </w:p>
              </w:tc>
              <w:tc>
                <w:tcPr>
                  <w:tcW w:w="2040" w:type="pct"/>
                  <w:noWrap w:val="0"/>
                  <w:vAlign w:val="center"/>
                </w:tcPr>
                <w:p>
                  <w:pPr>
                    <w:pStyle w:val="16"/>
                    <w:ind w:left="420" w:hanging="420"/>
                    <w:rPr>
                      <w:rFonts w:ascii="Times New Roman" w:eastAsia="宋体" w:cs="Times New Roman"/>
                      <w:color w:val="auto"/>
                      <w:sz w:val="21"/>
                      <w:szCs w:val="21"/>
                    </w:rPr>
                  </w:pPr>
                  <w:r>
                    <w:rPr>
                      <w:rFonts w:ascii="Times New Roman" w:eastAsia="宋体" w:cs="Times New Roman"/>
                      <w:color w:val="auto"/>
                      <w:sz w:val="21"/>
                      <w:szCs w:val="21"/>
                    </w:rPr>
                    <w:t>NH</w:t>
                  </w:r>
                  <w:r>
                    <w:rPr>
                      <w:rFonts w:ascii="Times New Roman" w:eastAsia="宋体" w:cs="Times New Roman"/>
                      <w:color w:val="auto"/>
                      <w:sz w:val="21"/>
                      <w:szCs w:val="21"/>
                      <w:vertAlign w:val="subscript"/>
                    </w:rPr>
                    <w:t>3</w:t>
                  </w:r>
                  <w:r>
                    <w:rPr>
                      <w:rFonts w:ascii="Times New Roman" w:eastAsia="宋体" w:cs="Times New Roman"/>
                      <w:color w:val="auto"/>
                      <w:sz w:val="21"/>
                      <w:szCs w:val="21"/>
                    </w:rPr>
                    <w:t>-N</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1.494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restart"/>
                  <w:noWrap w:val="0"/>
                  <w:vAlign w:val="center"/>
                </w:tcPr>
                <w:p>
                  <w:pPr>
                    <w:adjustRightInd w:val="0"/>
                    <w:snapToGrid w:val="0"/>
                    <w:jc w:val="center"/>
                    <w:rPr>
                      <w:color w:val="auto"/>
                      <w:szCs w:val="21"/>
                    </w:rPr>
                  </w:pPr>
                  <w:r>
                    <w:rPr>
                      <w:color w:val="auto"/>
                      <w:szCs w:val="21"/>
                    </w:rPr>
                    <w:t>废气</w:t>
                  </w: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颗粒物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锡及其化合物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非甲烷总烃</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24.6275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氮氧化物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二氧化硫</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pStyle w:val="37"/>
                    <w:spacing w:beforeLines="0" w:afterLines="0" w:line="240" w:lineRule="auto"/>
                    <w:rPr>
                      <w:color w:val="auto"/>
                      <w:szCs w:val="21"/>
                    </w:rPr>
                  </w:pPr>
                  <w:r>
                    <w:rPr>
                      <w:rFonts w:hint="eastAsia" w:hAnsi="宋体" w:cs="宋体"/>
                      <w:snapToGrid w:val="0"/>
                      <w:color w:val="auto"/>
                      <w:kern w:val="21"/>
                      <w:szCs w:val="21"/>
                    </w:rPr>
                    <w:t>二甲苯</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0.1062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restart"/>
                  <w:noWrap w:val="0"/>
                  <w:vAlign w:val="center"/>
                </w:tcPr>
                <w:p>
                  <w:pPr>
                    <w:snapToGrid w:val="0"/>
                    <w:jc w:val="center"/>
                    <w:rPr>
                      <w:color w:val="auto"/>
                      <w:szCs w:val="21"/>
                    </w:rPr>
                  </w:pPr>
                  <w:r>
                    <w:rPr>
                      <w:color w:val="auto"/>
                    </w:rPr>
                    <w:t>固</w:t>
                  </w:r>
                  <w:r>
                    <w:rPr>
                      <w:color w:val="auto"/>
                      <w:szCs w:val="21"/>
                    </w:rPr>
                    <w:t>废</w:t>
                  </w:r>
                </w:p>
                <w:p>
                  <w:pPr>
                    <w:snapToGrid w:val="0"/>
                    <w:jc w:val="center"/>
                    <w:rPr>
                      <w:rFonts w:hint="eastAsia"/>
                      <w:color w:val="auto"/>
                    </w:rPr>
                  </w:pPr>
                  <w:r>
                    <w:rPr>
                      <w:rFonts w:hint="eastAsia"/>
                      <w:color w:val="auto"/>
                      <w:szCs w:val="21"/>
                    </w:rPr>
                    <w:t>（产生量）</w:t>
                  </w:r>
                </w:p>
              </w:tc>
              <w:tc>
                <w:tcPr>
                  <w:tcW w:w="2040" w:type="pct"/>
                  <w:noWrap w:val="0"/>
                  <w:vAlign w:val="center"/>
                </w:tcPr>
                <w:p>
                  <w:pPr>
                    <w:snapToGrid w:val="0"/>
                    <w:jc w:val="center"/>
                    <w:rPr>
                      <w:color w:val="auto"/>
                      <w:szCs w:val="21"/>
                    </w:rPr>
                  </w:pPr>
                  <w:r>
                    <w:rPr>
                      <w:color w:val="auto"/>
                      <w:szCs w:val="21"/>
                    </w:rPr>
                    <w:t>一般工业固废</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858.695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3" w:type="pct"/>
                  <w:vMerge w:val="continue"/>
                  <w:noWrap w:val="0"/>
                  <w:vAlign w:val="center"/>
                </w:tcPr>
                <w:p>
                  <w:pPr>
                    <w:adjustRightInd w:val="0"/>
                    <w:snapToGrid w:val="0"/>
                    <w:jc w:val="center"/>
                    <w:rPr>
                      <w:color w:val="auto"/>
                      <w:szCs w:val="21"/>
                    </w:rPr>
                  </w:pPr>
                </w:p>
              </w:tc>
              <w:tc>
                <w:tcPr>
                  <w:tcW w:w="2040" w:type="pct"/>
                  <w:noWrap w:val="0"/>
                  <w:vAlign w:val="center"/>
                </w:tcPr>
                <w:p>
                  <w:pPr>
                    <w:snapToGrid w:val="0"/>
                    <w:jc w:val="center"/>
                    <w:rPr>
                      <w:color w:val="auto"/>
                      <w:szCs w:val="21"/>
                    </w:rPr>
                  </w:pPr>
                  <w:r>
                    <w:rPr>
                      <w:color w:val="auto"/>
                      <w:szCs w:val="21"/>
                    </w:rPr>
                    <w:t>危险废物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224.277</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在建工程污染物排放情况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eastAsia="zh-CN"/>
              </w:rPr>
            </w:pPr>
            <w:r>
              <w:rPr>
                <w:rFonts w:hint="eastAsia" w:ascii="Times New Roman" w:hAnsi="Times New Roman" w:cs="Times New Roman"/>
                <w:color w:val="auto"/>
                <w:sz w:val="24"/>
                <w:lang w:eastAsia="zh-CN"/>
              </w:rPr>
              <w:t>根据《合肥晶澳太阳能科技有限公司智慧工厂项目（一期）环境影响报告表》，本项目在建工程污染物排放情况如下：</w:t>
            </w:r>
          </w:p>
          <w:p>
            <w:pPr>
              <w:widowControl/>
              <w:numPr>
                <w:ilvl w:val="0"/>
                <w:numId w:val="2"/>
              </w:numPr>
              <w:jc w:val="center"/>
              <w:rPr>
                <w:b/>
                <w:color w:val="auto"/>
                <w:kern w:val="0"/>
                <w:szCs w:val="21"/>
                <w:lang w:val="zh-CN"/>
              </w:rPr>
            </w:pPr>
            <w:r>
              <w:rPr>
                <w:rFonts w:hint="eastAsia"/>
                <w:b/>
                <w:color w:val="auto"/>
                <w:kern w:val="0"/>
                <w:szCs w:val="21"/>
                <w:lang w:val="zh-CN"/>
              </w:rPr>
              <w:t>在建</w:t>
            </w:r>
            <w:r>
              <w:rPr>
                <w:b/>
                <w:color w:val="auto"/>
                <w:kern w:val="0"/>
                <w:szCs w:val="21"/>
                <w:lang w:val="zh-CN"/>
              </w:rPr>
              <w:t>工程污染物排放量一览表    单位：</w:t>
            </w:r>
            <w:r>
              <w:rPr>
                <w:b/>
                <w:color w:val="auto"/>
                <w:kern w:val="0"/>
                <w:szCs w:val="21"/>
              </w:rPr>
              <w:t>t</w:t>
            </w:r>
            <w:r>
              <w:rPr>
                <w:b/>
                <w:color w:val="auto"/>
                <w:kern w:val="0"/>
                <w:szCs w:val="21"/>
                <w:lang w:val="zh-CN"/>
              </w:rPr>
              <w:t xml:space="preserve">/a    </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75"/>
              <w:gridCol w:w="3523"/>
              <w:gridCol w:w="3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noWrap w:val="0"/>
                  <w:vAlign w:val="center"/>
                </w:tcPr>
                <w:p>
                  <w:pPr>
                    <w:adjustRightInd w:val="0"/>
                    <w:snapToGrid w:val="0"/>
                    <w:jc w:val="center"/>
                    <w:rPr>
                      <w:b/>
                      <w:bCs/>
                      <w:color w:val="auto"/>
                      <w:sz w:val="21"/>
                      <w:szCs w:val="21"/>
                    </w:rPr>
                  </w:pPr>
                  <w:r>
                    <w:rPr>
                      <w:b/>
                      <w:bCs/>
                      <w:color w:val="auto"/>
                      <w:sz w:val="21"/>
                      <w:szCs w:val="21"/>
                    </w:rPr>
                    <w:t>种类</w:t>
                  </w:r>
                </w:p>
              </w:tc>
              <w:tc>
                <w:tcPr>
                  <w:tcW w:w="2040" w:type="pct"/>
                  <w:noWrap w:val="0"/>
                  <w:vAlign w:val="center"/>
                </w:tcPr>
                <w:p>
                  <w:pPr>
                    <w:adjustRightInd w:val="0"/>
                    <w:snapToGrid w:val="0"/>
                    <w:jc w:val="center"/>
                    <w:rPr>
                      <w:b/>
                      <w:bCs/>
                      <w:color w:val="auto"/>
                      <w:sz w:val="21"/>
                      <w:szCs w:val="21"/>
                    </w:rPr>
                  </w:pPr>
                  <w:r>
                    <w:rPr>
                      <w:b/>
                      <w:bCs/>
                      <w:color w:val="auto"/>
                      <w:sz w:val="21"/>
                      <w:szCs w:val="21"/>
                    </w:rPr>
                    <w:t>污染物名称</w:t>
                  </w:r>
                </w:p>
              </w:tc>
              <w:tc>
                <w:tcPr>
                  <w:tcW w:w="2046" w:type="pct"/>
                  <w:noWrap w:val="0"/>
                  <w:vAlign w:val="center"/>
                </w:tcPr>
                <w:p>
                  <w:pPr>
                    <w:adjustRightInd w:val="0"/>
                    <w:snapToGrid w:val="0"/>
                    <w:jc w:val="center"/>
                    <w:rPr>
                      <w:rFonts w:hint="eastAsia"/>
                      <w:b/>
                      <w:bCs/>
                      <w:color w:val="auto"/>
                      <w:sz w:val="21"/>
                      <w:szCs w:val="21"/>
                    </w:rPr>
                  </w:pPr>
                  <w:r>
                    <w:rPr>
                      <w:rFonts w:hint="eastAsia"/>
                      <w:b/>
                      <w:bCs/>
                      <w:color w:val="auto"/>
                      <w:sz w:val="21"/>
                      <w:szCs w:val="21"/>
                      <w:lang w:eastAsia="zh-CN"/>
                    </w:rPr>
                    <w:t>排放量合计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restart"/>
                  <w:noWrap w:val="0"/>
                  <w:vAlign w:val="center"/>
                </w:tcPr>
                <w:p>
                  <w:pPr>
                    <w:adjustRightInd w:val="0"/>
                    <w:snapToGrid w:val="0"/>
                    <w:jc w:val="center"/>
                    <w:rPr>
                      <w:color w:val="auto"/>
                      <w:sz w:val="21"/>
                      <w:szCs w:val="21"/>
                    </w:rPr>
                  </w:pPr>
                  <w:r>
                    <w:rPr>
                      <w:color w:val="auto"/>
                      <w:sz w:val="21"/>
                      <w:szCs w:val="21"/>
                    </w:rPr>
                    <w:t>废水</w:t>
                  </w:r>
                </w:p>
              </w:tc>
              <w:tc>
                <w:tcPr>
                  <w:tcW w:w="2040" w:type="pct"/>
                  <w:noWrap w:val="0"/>
                  <w:vAlign w:val="center"/>
                </w:tcPr>
                <w:p>
                  <w:pPr>
                    <w:adjustRightInd w:val="0"/>
                    <w:snapToGrid w:val="0"/>
                    <w:jc w:val="center"/>
                    <w:rPr>
                      <w:color w:val="auto"/>
                      <w:sz w:val="21"/>
                      <w:szCs w:val="21"/>
                    </w:rPr>
                  </w:pPr>
                  <w:r>
                    <w:rPr>
                      <w:color w:val="auto"/>
                      <w:sz w:val="21"/>
                      <w:szCs w:val="21"/>
                    </w:rPr>
                    <w:t>废水量</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eastAsia" w:ascii="Times New Roman" w:hAnsi="Times New Roman" w:eastAsia="宋体" w:cs="Times New Roman"/>
                      <w:bCs/>
                      <w:color w:val="auto"/>
                      <w:kern w:val="2"/>
                      <w:sz w:val="21"/>
                      <w:szCs w:val="21"/>
                      <w:lang w:val="zh-CN" w:eastAsia="zh-CN" w:bidi="ar-SA"/>
                    </w:rPr>
                    <w:t>76622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continue"/>
                  <w:noWrap w:val="0"/>
                  <w:vAlign w:val="center"/>
                </w:tcPr>
                <w:p>
                  <w:pPr>
                    <w:adjustRightInd w:val="0"/>
                    <w:snapToGrid w:val="0"/>
                    <w:jc w:val="center"/>
                    <w:rPr>
                      <w:color w:val="auto"/>
                      <w:sz w:val="21"/>
                      <w:szCs w:val="21"/>
                    </w:rPr>
                  </w:pPr>
                </w:p>
              </w:tc>
              <w:tc>
                <w:tcPr>
                  <w:tcW w:w="2040" w:type="pct"/>
                  <w:noWrap w:val="0"/>
                  <w:vAlign w:val="center"/>
                </w:tcPr>
                <w:p>
                  <w:pPr>
                    <w:adjustRightInd w:val="0"/>
                    <w:snapToGrid w:val="0"/>
                    <w:jc w:val="center"/>
                    <w:rPr>
                      <w:color w:val="auto"/>
                      <w:sz w:val="21"/>
                      <w:szCs w:val="21"/>
                    </w:rPr>
                  </w:pPr>
                  <w:r>
                    <w:rPr>
                      <w:color w:val="auto"/>
                      <w:sz w:val="21"/>
                      <w:szCs w:val="21"/>
                    </w:rPr>
                    <w:t>COD</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eastAsia" w:ascii="Times New Roman" w:hAnsi="Times New Roman" w:eastAsia="宋体" w:cs="Times New Roman"/>
                      <w:bCs/>
                      <w:color w:val="auto"/>
                      <w:kern w:val="2"/>
                      <w:sz w:val="21"/>
                      <w:szCs w:val="21"/>
                      <w:lang w:val="zh-CN" w:eastAsia="zh-CN" w:bidi="ar-SA"/>
                    </w:rPr>
                    <w:t>6.143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continue"/>
                  <w:noWrap w:val="0"/>
                  <w:vAlign w:val="center"/>
                </w:tcPr>
                <w:p>
                  <w:pPr>
                    <w:pStyle w:val="16"/>
                    <w:ind w:left="420" w:hanging="420"/>
                    <w:rPr>
                      <w:rFonts w:ascii="Times New Roman" w:eastAsia="宋体" w:cs="Times New Roman"/>
                      <w:color w:val="auto"/>
                      <w:sz w:val="21"/>
                      <w:szCs w:val="21"/>
                    </w:rPr>
                  </w:pPr>
                </w:p>
              </w:tc>
              <w:tc>
                <w:tcPr>
                  <w:tcW w:w="2040" w:type="pct"/>
                  <w:noWrap w:val="0"/>
                  <w:vAlign w:val="center"/>
                </w:tcPr>
                <w:p>
                  <w:pPr>
                    <w:pStyle w:val="16"/>
                    <w:ind w:left="420" w:hanging="420"/>
                    <w:rPr>
                      <w:rFonts w:ascii="Times New Roman" w:eastAsia="宋体" w:cs="Times New Roman"/>
                      <w:color w:val="auto"/>
                      <w:sz w:val="21"/>
                      <w:szCs w:val="21"/>
                    </w:rPr>
                  </w:pPr>
                  <w:r>
                    <w:rPr>
                      <w:rFonts w:ascii="Times New Roman" w:eastAsia="宋体" w:cs="Times New Roman"/>
                      <w:color w:val="auto"/>
                      <w:sz w:val="21"/>
                      <w:szCs w:val="21"/>
                    </w:rPr>
                    <w:t>NH</w:t>
                  </w:r>
                  <w:r>
                    <w:rPr>
                      <w:rFonts w:ascii="Times New Roman" w:eastAsia="宋体" w:cs="Times New Roman"/>
                      <w:color w:val="auto"/>
                      <w:sz w:val="21"/>
                      <w:szCs w:val="21"/>
                      <w:vertAlign w:val="subscript"/>
                    </w:rPr>
                    <w:t>3</w:t>
                  </w:r>
                  <w:r>
                    <w:rPr>
                      <w:rFonts w:ascii="Times New Roman" w:eastAsia="宋体" w:cs="Times New Roman"/>
                      <w:color w:val="auto"/>
                      <w:sz w:val="21"/>
                      <w:szCs w:val="21"/>
                    </w:rPr>
                    <w:t>-N</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eastAsia" w:ascii="Times New Roman" w:hAnsi="Times New Roman" w:eastAsia="宋体" w:cs="Times New Roman"/>
                      <w:bCs/>
                      <w:color w:val="auto"/>
                      <w:kern w:val="2"/>
                      <w:sz w:val="21"/>
                      <w:szCs w:val="21"/>
                      <w:lang w:val="zh-CN" w:eastAsia="zh-CN" w:bidi="ar-SA"/>
                    </w:rPr>
                    <w:t>0.221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restart"/>
                  <w:noWrap w:val="0"/>
                  <w:vAlign w:val="center"/>
                </w:tcPr>
                <w:p>
                  <w:pPr>
                    <w:adjustRightInd w:val="0"/>
                    <w:snapToGrid w:val="0"/>
                    <w:jc w:val="center"/>
                    <w:rPr>
                      <w:color w:val="auto"/>
                      <w:sz w:val="21"/>
                      <w:szCs w:val="21"/>
                    </w:rPr>
                  </w:pPr>
                  <w:r>
                    <w:rPr>
                      <w:color w:val="auto"/>
                      <w:sz w:val="21"/>
                      <w:szCs w:val="21"/>
                    </w:rPr>
                    <w:t>废气</w:t>
                  </w:r>
                </w:p>
              </w:tc>
              <w:tc>
                <w:tcPr>
                  <w:tcW w:w="2040" w:type="pct"/>
                  <w:noWrap w:val="0"/>
                  <w:vAlign w:val="center"/>
                </w:tcPr>
                <w:p>
                  <w:pPr>
                    <w:pStyle w:val="37"/>
                    <w:spacing w:beforeLines="0" w:afterLines="0" w:line="240" w:lineRule="auto"/>
                    <w:rPr>
                      <w:color w:val="auto"/>
                      <w:sz w:val="21"/>
                      <w:szCs w:val="21"/>
                    </w:rPr>
                  </w:pPr>
                  <w:r>
                    <w:rPr>
                      <w:rFonts w:hint="eastAsia" w:hAnsi="宋体" w:cs="宋体"/>
                      <w:snapToGrid w:val="0"/>
                      <w:color w:val="auto"/>
                      <w:kern w:val="21"/>
                      <w:sz w:val="21"/>
                      <w:szCs w:val="21"/>
                    </w:rPr>
                    <w:t>颗粒物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0.0</w:t>
                  </w:r>
                  <w:r>
                    <w:rPr>
                      <w:rFonts w:hint="eastAsia" w:ascii="Times New Roman" w:hAnsi="Times New Roman" w:eastAsia="宋体"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zh-CN" w:eastAsia="zh-CN" w:bidi="ar-SA"/>
                    </w:rPr>
                    <w:t>5</w:t>
                  </w:r>
                  <w:r>
                    <w:rPr>
                      <w:rFonts w:hint="eastAsia" w:ascii="Times New Roman" w:hAnsi="Times New Roman" w:eastAsia="宋体" w:cs="Times New Roman"/>
                      <w:bCs/>
                      <w:color w:val="auto"/>
                      <w:kern w:val="2"/>
                      <w:sz w:val="21"/>
                      <w:szCs w:val="21"/>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5" w:hRule="atLeast"/>
                <w:tblHeader/>
                <w:jc w:val="center"/>
              </w:trPr>
              <w:tc>
                <w:tcPr>
                  <w:tcW w:w="912" w:type="pct"/>
                  <w:vMerge w:val="continue"/>
                  <w:noWrap w:val="0"/>
                  <w:vAlign w:val="center"/>
                </w:tcPr>
                <w:p>
                  <w:pPr>
                    <w:adjustRightInd w:val="0"/>
                    <w:snapToGrid w:val="0"/>
                    <w:jc w:val="center"/>
                    <w:rPr>
                      <w:color w:val="auto"/>
                      <w:sz w:val="21"/>
                      <w:szCs w:val="21"/>
                    </w:rPr>
                  </w:pPr>
                </w:p>
              </w:tc>
              <w:tc>
                <w:tcPr>
                  <w:tcW w:w="2040" w:type="pct"/>
                  <w:noWrap w:val="0"/>
                  <w:vAlign w:val="center"/>
                </w:tcPr>
                <w:p>
                  <w:pPr>
                    <w:pStyle w:val="37"/>
                    <w:spacing w:beforeLines="0" w:afterLines="0" w:line="240" w:lineRule="auto"/>
                    <w:rPr>
                      <w:color w:val="auto"/>
                      <w:sz w:val="21"/>
                      <w:szCs w:val="21"/>
                    </w:rPr>
                  </w:pPr>
                  <w:r>
                    <w:rPr>
                      <w:rFonts w:hint="eastAsia" w:hAnsi="宋体" w:cs="宋体"/>
                      <w:snapToGrid w:val="0"/>
                      <w:color w:val="auto"/>
                      <w:kern w:val="21"/>
                      <w:sz w:val="21"/>
                      <w:szCs w:val="21"/>
                    </w:rPr>
                    <w:t>锡及其化合物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0.00</w:t>
                  </w:r>
                  <w:r>
                    <w:rPr>
                      <w:rFonts w:hint="eastAsia" w:ascii="Times New Roman" w:hAnsi="Times New Roman" w:eastAsia="宋体" w:cs="Times New Roman"/>
                      <w:bCs/>
                      <w:color w:val="auto"/>
                      <w:kern w:val="2"/>
                      <w:sz w:val="21"/>
                      <w:szCs w:val="21"/>
                      <w:lang w:val="en-US" w:eastAsia="zh-CN" w:bidi="ar-SA"/>
                    </w:rPr>
                    <w:t>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continue"/>
                  <w:noWrap w:val="0"/>
                  <w:vAlign w:val="center"/>
                </w:tcPr>
                <w:p>
                  <w:pPr>
                    <w:adjustRightInd w:val="0"/>
                    <w:snapToGrid w:val="0"/>
                    <w:jc w:val="center"/>
                    <w:rPr>
                      <w:color w:val="auto"/>
                      <w:sz w:val="21"/>
                      <w:szCs w:val="21"/>
                    </w:rPr>
                  </w:pPr>
                </w:p>
              </w:tc>
              <w:tc>
                <w:tcPr>
                  <w:tcW w:w="2040" w:type="pct"/>
                  <w:noWrap w:val="0"/>
                  <w:vAlign w:val="center"/>
                </w:tcPr>
                <w:p>
                  <w:pPr>
                    <w:pStyle w:val="37"/>
                    <w:spacing w:beforeLines="0" w:afterLines="0" w:line="240" w:lineRule="auto"/>
                    <w:rPr>
                      <w:color w:val="auto"/>
                      <w:sz w:val="21"/>
                      <w:szCs w:val="21"/>
                    </w:rPr>
                  </w:pPr>
                  <w:r>
                    <w:rPr>
                      <w:rFonts w:hint="eastAsia" w:hAnsi="宋体" w:cs="宋体"/>
                      <w:snapToGrid w:val="0"/>
                      <w:color w:val="auto"/>
                      <w:kern w:val="21"/>
                      <w:sz w:val="21"/>
                      <w:szCs w:val="21"/>
                    </w:rPr>
                    <w:t>非甲烷总烃</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3.</w:t>
                  </w:r>
                  <w:r>
                    <w:rPr>
                      <w:rFonts w:hint="eastAsia" w:ascii="Times New Roman" w:hAnsi="Times New Roman" w:eastAsia="宋体" w:cs="Times New Roman"/>
                      <w:bCs/>
                      <w:color w:val="auto"/>
                      <w:kern w:val="2"/>
                      <w:sz w:val="21"/>
                      <w:szCs w:val="21"/>
                      <w:lang w:val="en-US" w:eastAsia="zh-CN" w:bidi="ar-SA"/>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continue"/>
                  <w:noWrap w:val="0"/>
                  <w:vAlign w:val="center"/>
                </w:tcPr>
                <w:p>
                  <w:pPr>
                    <w:adjustRightInd w:val="0"/>
                    <w:snapToGrid w:val="0"/>
                    <w:jc w:val="center"/>
                    <w:rPr>
                      <w:color w:val="auto"/>
                      <w:sz w:val="21"/>
                      <w:szCs w:val="21"/>
                    </w:rPr>
                  </w:pPr>
                </w:p>
              </w:tc>
              <w:tc>
                <w:tcPr>
                  <w:tcW w:w="2040" w:type="pct"/>
                  <w:noWrap w:val="0"/>
                  <w:vAlign w:val="center"/>
                </w:tcPr>
                <w:p>
                  <w:pPr>
                    <w:pStyle w:val="37"/>
                    <w:spacing w:beforeLines="0" w:afterLines="0" w:line="240" w:lineRule="auto"/>
                    <w:rPr>
                      <w:color w:val="auto"/>
                      <w:sz w:val="21"/>
                      <w:szCs w:val="21"/>
                    </w:rPr>
                  </w:pPr>
                  <w:r>
                    <w:rPr>
                      <w:rFonts w:hint="eastAsia" w:hAnsi="宋体" w:cs="宋体"/>
                      <w:snapToGrid w:val="0"/>
                      <w:color w:val="auto"/>
                      <w:kern w:val="21"/>
                      <w:sz w:val="21"/>
                      <w:szCs w:val="21"/>
                    </w:rPr>
                    <w:t>二甲苯</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0.00686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restart"/>
                  <w:noWrap w:val="0"/>
                  <w:vAlign w:val="center"/>
                </w:tcPr>
                <w:p>
                  <w:pPr>
                    <w:snapToGrid w:val="0"/>
                    <w:jc w:val="center"/>
                    <w:rPr>
                      <w:color w:val="auto"/>
                      <w:sz w:val="21"/>
                      <w:szCs w:val="21"/>
                    </w:rPr>
                  </w:pPr>
                  <w:r>
                    <w:rPr>
                      <w:color w:val="auto"/>
                      <w:sz w:val="21"/>
                      <w:szCs w:val="21"/>
                    </w:rPr>
                    <w:t>固废</w:t>
                  </w:r>
                </w:p>
                <w:p>
                  <w:pPr>
                    <w:snapToGrid w:val="0"/>
                    <w:jc w:val="center"/>
                    <w:rPr>
                      <w:rFonts w:hint="eastAsia"/>
                      <w:color w:val="auto"/>
                      <w:sz w:val="21"/>
                      <w:szCs w:val="21"/>
                    </w:rPr>
                  </w:pPr>
                  <w:r>
                    <w:rPr>
                      <w:rFonts w:hint="eastAsia"/>
                      <w:color w:val="auto"/>
                      <w:sz w:val="21"/>
                      <w:szCs w:val="21"/>
                    </w:rPr>
                    <w:t>（产生量）</w:t>
                  </w:r>
                </w:p>
              </w:tc>
              <w:tc>
                <w:tcPr>
                  <w:tcW w:w="2040" w:type="pct"/>
                  <w:noWrap w:val="0"/>
                  <w:vAlign w:val="center"/>
                </w:tcPr>
                <w:p>
                  <w:pPr>
                    <w:snapToGrid w:val="0"/>
                    <w:jc w:val="center"/>
                    <w:rPr>
                      <w:color w:val="auto"/>
                      <w:sz w:val="21"/>
                      <w:szCs w:val="21"/>
                    </w:rPr>
                  </w:pPr>
                  <w:r>
                    <w:rPr>
                      <w:color w:val="auto"/>
                      <w:sz w:val="21"/>
                      <w:szCs w:val="21"/>
                    </w:rPr>
                    <w:t>一般工业固废</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1093.352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912" w:type="pct"/>
                  <w:vMerge w:val="continue"/>
                  <w:noWrap w:val="0"/>
                  <w:vAlign w:val="center"/>
                </w:tcPr>
                <w:p>
                  <w:pPr>
                    <w:adjustRightInd w:val="0"/>
                    <w:snapToGrid w:val="0"/>
                    <w:jc w:val="center"/>
                    <w:rPr>
                      <w:color w:val="auto"/>
                      <w:sz w:val="21"/>
                      <w:szCs w:val="21"/>
                    </w:rPr>
                  </w:pPr>
                </w:p>
              </w:tc>
              <w:tc>
                <w:tcPr>
                  <w:tcW w:w="2040" w:type="pct"/>
                  <w:noWrap w:val="0"/>
                  <w:vAlign w:val="center"/>
                </w:tcPr>
                <w:p>
                  <w:pPr>
                    <w:snapToGrid w:val="0"/>
                    <w:jc w:val="center"/>
                    <w:rPr>
                      <w:color w:val="auto"/>
                      <w:sz w:val="21"/>
                      <w:szCs w:val="21"/>
                    </w:rPr>
                  </w:pPr>
                  <w:r>
                    <w:rPr>
                      <w:color w:val="auto"/>
                      <w:sz w:val="21"/>
                      <w:szCs w:val="21"/>
                    </w:rPr>
                    <w:t>危险废物</w:t>
                  </w:r>
                </w:p>
              </w:tc>
              <w:tc>
                <w:tcPr>
                  <w:tcW w:w="2046" w:type="pct"/>
                  <w:tcBorders>
                    <w:top w:val="nil"/>
                    <w:left w:val="nil"/>
                    <w:bottom w:val="single" w:color="auto" w:sz="8" w:space="0"/>
                    <w:right w:val="single" w:color="auto" w:sz="8" w:space="0"/>
                  </w:tcBorders>
                  <w:noWrap w:val="0"/>
                  <w:vAlign w:val="center"/>
                </w:tcPr>
                <w:p>
                  <w:pPr>
                    <w:keepNext w:val="0"/>
                    <w:keepLines w:val="0"/>
                    <w:widowControl/>
                    <w:suppressLineNumbers w:val="0"/>
                    <w:jc w:val="center"/>
                    <w:textAlignment w:val="center"/>
                    <w:rPr>
                      <w:color w:val="auto"/>
                      <w:kern w:val="0"/>
                      <w:sz w:val="21"/>
                      <w:szCs w:val="21"/>
                      <w:lang w:bidi="ar"/>
                    </w:rPr>
                  </w:pPr>
                  <w:r>
                    <w:rPr>
                      <w:rFonts w:hint="default" w:ascii="Times New Roman" w:hAnsi="Times New Roman" w:eastAsia="宋体" w:cs="Times New Roman"/>
                      <w:bCs/>
                      <w:color w:val="auto"/>
                      <w:kern w:val="2"/>
                      <w:sz w:val="21"/>
                      <w:szCs w:val="21"/>
                      <w:lang w:val="zh-CN" w:eastAsia="zh-CN" w:bidi="ar-SA"/>
                    </w:rPr>
                    <w:t>146.12</w:t>
                  </w:r>
                </w:p>
              </w:tc>
            </w:tr>
          </w:tbl>
          <w:p>
            <w:pPr>
              <w:adjustRightInd w:val="0"/>
              <w:snapToGrid w:val="0"/>
              <w:spacing w:line="360" w:lineRule="auto"/>
              <w:ind w:firstLine="482" w:firstLineChars="200"/>
              <w:rPr>
                <w:rFonts w:hint="eastAsia"/>
                <w:b/>
                <w:bCs/>
                <w:color w:val="auto"/>
                <w:sz w:val="24"/>
              </w:rPr>
            </w:pPr>
            <w:r>
              <w:rPr>
                <w:rFonts w:hint="eastAsia"/>
                <w:b/>
                <w:bCs/>
                <w:color w:val="auto"/>
                <w:sz w:val="24"/>
              </w:rPr>
              <w:t>（三）排污许可手续情况</w:t>
            </w:r>
          </w:p>
          <w:p>
            <w:pPr>
              <w:pStyle w:val="49"/>
              <w:spacing w:line="360" w:lineRule="auto"/>
              <w:ind w:left="0" w:firstLine="480" w:firstLineChars="200"/>
              <w:rPr>
                <w:rFonts w:hint="eastAsia" w:cs="Times New Roman"/>
                <w:bCs/>
                <w:color w:val="auto"/>
                <w:sz w:val="24"/>
              </w:rPr>
            </w:pPr>
            <w:r>
              <w:rPr>
                <w:rFonts w:cs="Times New Roman"/>
                <w:bCs/>
                <w:color w:val="auto"/>
                <w:sz w:val="24"/>
              </w:rPr>
              <w:t>本项目主要进行太阳能组件的生产，国民经济行业分类为“C3825光伏设备及元器件制造”，</w:t>
            </w:r>
            <w:r>
              <w:rPr>
                <w:rFonts w:hint="eastAsia" w:cs="Times New Roman"/>
                <w:bCs/>
                <w:color w:val="auto"/>
                <w:sz w:val="24"/>
              </w:rPr>
              <w:t>属于合肥市重点排污单位，</w:t>
            </w:r>
            <w:r>
              <w:rPr>
                <w:rFonts w:cs="Times New Roman"/>
                <w:bCs/>
                <w:color w:val="auto"/>
                <w:sz w:val="24"/>
              </w:rPr>
              <w:t>排污许可类别为“重点管理”，建设单位已于20</w:t>
            </w:r>
            <w:r>
              <w:rPr>
                <w:rFonts w:hint="eastAsia" w:cs="Times New Roman"/>
                <w:bCs/>
                <w:color w:val="auto"/>
                <w:sz w:val="24"/>
              </w:rPr>
              <w:t>22</w:t>
            </w:r>
            <w:r>
              <w:rPr>
                <w:rFonts w:cs="Times New Roman"/>
                <w:bCs/>
                <w:color w:val="auto"/>
                <w:sz w:val="24"/>
              </w:rPr>
              <w:t>年</w:t>
            </w:r>
            <w:r>
              <w:rPr>
                <w:rFonts w:hint="eastAsia" w:cs="Times New Roman"/>
                <w:bCs/>
                <w:color w:val="auto"/>
                <w:sz w:val="24"/>
              </w:rPr>
              <w:t>9</w:t>
            </w:r>
            <w:r>
              <w:rPr>
                <w:rFonts w:cs="Times New Roman"/>
                <w:bCs/>
                <w:color w:val="auto"/>
                <w:sz w:val="24"/>
              </w:rPr>
              <w:t>月2</w:t>
            </w:r>
            <w:r>
              <w:rPr>
                <w:rFonts w:hint="eastAsia" w:cs="Times New Roman"/>
                <w:bCs/>
                <w:color w:val="auto"/>
                <w:sz w:val="24"/>
              </w:rPr>
              <w:t>3</w:t>
            </w:r>
            <w:r>
              <w:rPr>
                <w:rFonts w:cs="Times New Roman"/>
                <w:bCs/>
                <w:color w:val="auto"/>
                <w:sz w:val="24"/>
              </w:rPr>
              <w:t>日完成排污许可</w:t>
            </w:r>
            <w:r>
              <w:rPr>
                <w:rFonts w:hint="eastAsia" w:cs="Times New Roman"/>
                <w:bCs/>
                <w:color w:val="auto"/>
                <w:sz w:val="24"/>
              </w:rPr>
              <w:t>证的更新，排污许可证编号：91340100578518244G001V</w:t>
            </w:r>
            <w:r>
              <w:rPr>
                <w:rFonts w:hint="eastAsia"/>
                <w:color w:val="auto"/>
              </w:rPr>
              <w:t>。</w:t>
            </w:r>
          </w:p>
          <w:p>
            <w:pPr>
              <w:autoSpaceDE w:val="0"/>
              <w:autoSpaceDN w:val="0"/>
              <w:adjustRightInd w:val="0"/>
              <w:spacing w:line="360" w:lineRule="auto"/>
              <w:ind w:firstLine="482" w:firstLineChars="200"/>
              <w:rPr>
                <w:b/>
                <w:bCs/>
                <w:color w:val="auto"/>
                <w:kern w:val="0"/>
                <w:sz w:val="24"/>
              </w:rPr>
            </w:pPr>
            <w:r>
              <w:rPr>
                <w:rFonts w:hint="eastAsia"/>
                <w:b/>
                <w:bCs/>
                <w:color w:val="auto"/>
                <w:kern w:val="0"/>
                <w:sz w:val="24"/>
              </w:rPr>
              <w:t>（四）</w:t>
            </w:r>
            <w:r>
              <w:rPr>
                <w:b/>
                <w:bCs/>
                <w:color w:val="auto"/>
                <w:kern w:val="0"/>
                <w:sz w:val="24"/>
              </w:rPr>
              <w:t>现有工程存在的主要环境问题</w:t>
            </w:r>
          </w:p>
          <w:p>
            <w:pPr>
              <w:autoSpaceDE w:val="0"/>
              <w:autoSpaceDN w:val="0"/>
              <w:adjustRightInd w:val="0"/>
              <w:spacing w:line="360" w:lineRule="auto"/>
              <w:ind w:firstLine="480" w:firstLineChars="200"/>
              <w:rPr>
                <w:rFonts w:hint="eastAsia"/>
                <w:color w:val="auto"/>
                <w:kern w:val="0"/>
                <w:sz w:val="24"/>
                <w:lang w:eastAsia="zh-CN"/>
              </w:rPr>
            </w:pPr>
            <w:r>
              <w:rPr>
                <w:color w:val="auto"/>
                <w:kern w:val="0"/>
                <w:sz w:val="24"/>
              </w:rPr>
              <w:t>经现场</w:t>
            </w:r>
            <w:r>
              <w:rPr>
                <w:rFonts w:hint="eastAsia"/>
                <w:color w:val="auto"/>
                <w:kern w:val="0"/>
                <w:sz w:val="24"/>
              </w:rPr>
              <w:t>踏勘</w:t>
            </w:r>
            <w:r>
              <w:rPr>
                <w:color w:val="auto"/>
                <w:kern w:val="0"/>
                <w:sz w:val="24"/>
              </w:rPr>
              <w:t>，合肥晶澳太阳能科技有限公司</w:t>
            </w:r>
            <w:r>
              <w:rPr>
                <w:rFonts w:hint="eastAsia"/>
                <w:color w:val="auto"/>
                <w:kern w:val="0"/>
                <w:sz w:val="24"/>
              </w:rPr>
              <w:t>现有工程配套</w:t>
            </w:r>
            <w:r>
              <w:rPr>
                <w:color w:val="auto"/>
                <w:kern w:val="0"/>
                <w:sz w:val="24"/>
              </w:rPr>
              <w:t>环保设施均正常稳定运行，污染物能够实现稳定达标排放</w:t>
            </w:r>
            <w:r>
              <w:rPr>
                <w:rFonts w:hint="eastAsia"/>
                <w:color w:val="auto"/>
                <w:kern w:val="0"/>
                <w:sz w:val="24"/>
                <w:lang w:eastAsia="zh-CN"/>
              </w:rPr>
              <w:t>；</w:t>
            </w:r>
            <w:r>
              <w:rPr>
                <w:color w:val="auto"/>
                <w:kern w:val="0"/>
                <w:sz w:val="24"/>
              </w:rPr>
              <w:t>各项目严格落实环保“三同时”要求</w:t>
            </w:r>
            <w:r>
              <w:rPr>
                <w:rFonts w:hint="eastAsia"/>
                <w:color w:val="auto"/>
                <w:kern w:val="0"/>
                <w:sz w:val="24"/>
                <w:lang w:eastAsia="zh-CN"/>
              </w:rPr>
              <w:t>，并</w:t>
            </w:r>
            <w:r>
              <w:rPr>
                <w:color w:val="auto"/>
                <w:kern w:val="0"/>
                <w:sz w:val="24"/>
              </w:rPr>
              <w:t>按相关要求落实了环境管理要求和固定污染源排污许可</w:t>
            </w:r>
            <w:r>
              <w:rPr>
                <w:rFonts w:hint="eastAsia"/>
                <w:color w:val="auto"/>
                <w:kern w:val="0"/>
                <w:sz w:val="24"/>
                <w:lang w:eastAsia="zh-CN"/>
              </w:rPr>
              <w:t>申请</w:t>
            </w:r>
            <w:r>
              <w:rPr>
                <w:color w:val="auto"/>
                <w:kern w:val="0"/>
                <w:sz w:val="24"/>
              </w:rPr>
              <w:t>工作</w:t>
            </w:r>
            <w:r>
              <w:rPr>
                <w:rFonts w:hint="eastAsia"/>
                <w:color w:val="auto"/>
                <w:kern w:val="0"/>
                <w:sz w:val="24"/>
                <w:lang w:eastAsia="zh-CN"/>
              </w:rPr>
              <w:t>。</w:t>
            </w:r>
          </w:p>
          <w:p>
            <w:pPr>
              <w:autoSpaceDE w:val="0"/>
              <w:autoSpaceDN w:val="0"/>
              <w:adjustRightInd w:val="0"/>
              <w:spacing w:line="360" w:lineRule="auto"/>
              <w:ind w:firstLine="480" w:firstLineChars="200"/>
              <w:rPr>
                <w:rFonts w:hint="eastAsia"/>
                <w:color w:val="auto"/>
                <w:kern w:val="0"/>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p>
          <w:p>
            <w:pPr>
              <w:autoSpaceDE w:val="0"/>
              <w:autoSpaceDN w:val="0"/>
              <w:adjustRightInd w:val="0"/>
              <w:spacing w:line="360" w:lineRule="auto"/>
              <w:ind w:firstLine="480" w:firstLineChars="200"/>
              <w:rPr>
                <w:rFonts w:hint="eastAsia"/>
                <w:color w:val="auto"/>
                <w:kern w:val="0"/>
                <w:sz w:val="24"/>
              </w:rPr>
            </w:pPr>
          </w:p>
          <w:p>
            <w:pPr>
              <w:autoSpaceDE w:val="0"/>
              <w:autoSpaceDN w:val="0"/>
              <w:adjustRightInd w:val="0"/>
              <w:spacing w:line="360" w:lineRule="auto"/>
              <w:ind w:firstLine="480" w:firstLineChars="200"/>
              <w:rPr>
                <w:rFonts w:hint="eastAsia"/>
                <w:color w:val="auto"/>
                <w:kern w:val="0"/>
                <w:sz w:val="24"/>
              </w:rPr>
            </w:pPr>
          </w:p>
          <w:p>
            <w:pPr>
              <w:autoSpaceDE w:val="0"/>
              <w:autoSpaceDN w:val="0"/>
              <w:adjustRightInd w:val="0"/>
              <w:spacing w:line="360" w:lineRule="auto"/>
              <w:ind w:firstLine="480" w:firstLineChars="200"/>
              <w:rPr>
                <w:rFonts w:hint="eastAsia"/>
                <w:color w:val="auto"/>
                <w:kern w:val="0"/>
                <w:sz w:val="24"/>
              </w:rPr>
            </w:pPr>
          </w:p>
          <w:p>
            <w:pPr>
              <w:autoSpaceDE w:val="0"/>
              <w:autoSpaceDN w:val="0"/>
              <w:adjustRightInd w:val="0"/>
              <w:spacing w:line="360" w:lineRule="auto"/>
              <w:ind w:firstLine="420" w:firstLineChars="200"/>
              <w:rPr>
                <w:rFonts w:hint="eastAsia"/>
                <w:color w:val="auto"/>
              </w:rPr>
            </w:pPr>
          </w:p>
        </w:tc>
      </w:tr>
    </w:tbl>
    <w:p>
      <w:pPr>
        <w:pStyle w:val="18"/>
        <w:jc w:val="center"/>
        <w:rPr>
          <w:rFonts w:ascii="黑体" w:hAnsi="黑体" w:eastAsia="黑体"/>
          <w:snapToGrid w:val="0"/>
          <w:color w:val="auto"/>
          <w:sz w:val="36"/>
          <w:szCs w:val="36"/>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14" w:lineRule="auto"/>
        <w:jc w:val="center"/>
        <w:rPr>
          <w:rFonts w:hint="eastAsia" w:ascii="黑体" w:hAnsi="黑体" w:eastAsia="黑体"/>
          <w:snapToGrid w:val="0"/>
          <w:color w:val="auto"/>
          <w:sz w:val="30"/>
          <w:szCs w:val="30"/>
        </w:rPr>
      </w:pPr>
    </w:p>
    <w:p>
      <w:pPr>
        <w:pStyle w:val="18"/>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三、区域环境质量现状、环境保护目标及评价标准</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2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58" w:hRule="atLeast"/>
          <w:jc w:val="center"/>
        </w:trPr>
        <w:tc>
          <w:tcPr>
            <w:tcW w:w="800" w:type="dxa"/>
            <w:noWrap w:val="0"/>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区域</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b/>
                <w:color w:val="auto"/>
                <w:kern w:val="0"/>
                <w:szCs w:val="21"/>
              </w:rPr>
              <w:t>现状</w:t>
            </w:r>
          </w:p>
        </w:tc>
        <w:tc>
          <w:tcPr>
            <w:tcW w:w="8245" w:type="dxa"/>
            <w:noWrap w:val="0"/>
            <w:vAlign w:val="center"/>
          </w:tcPr>
          <w:p>
            <w:pPr>
              <w:autoSpaceDE w:val="0"/>
              <w:autoSpaceDN w:val="0"/>
              <w:adjustRightInd w:val="0"/>
              <w:snapToGrid w:val="0"/>
              <w:spacing w:line="360" w:lineRule="auto"/>
              <w:ind w:firstLine="482" w:firstLineChars="200"/>
              <w:jc w:val="left"/>
              <w:rPr>
                <w:b/>
                <w:bCs/>
                <w:color w:val="auto"/>
                <w:sz w:val="24"/>
              </w:rPr>
            </w:pPr>
            <w:r>
              <w:rPr>
                <w:rFonts w:hint="eastAsia"/>
                <w:b/>
                <w:bCs/>
                <w:color w:val="auto"/>
                <w:sz w:val="24"/>
              </w:rPr>
              <w:t>（一）</w:t>
            </w:r>
            <w:r>
              <w:rPr>
                <w:b/>
                <w:bCs/>
                <w:color w:val="auto"/>
                <w:sz w:val="24"/>
              </w:rPr>
              <w:t>环境空气质量现状</w:t>
            </w:r>
          </w:p>
          <w:p>
            <w:pPr>
              <w:autoSpaceDE w:val="0"/>
              <w:autoSpaceDN w:val="0"/>
              <w:adjustRightInd w:val="0"/>
              <w:snapToGrid w:val="0"/>
              <w:spacing w:line="360" w:lineRule="auto"/>
              <w:ind w:firstLine="480" w:firstLineChars="200"/>
              <w:jc w:val="left"/>
              <w:rPr>
                <w:color w:val="auto"/>
                <w:sz w:val="24"/>
              </w:rPr>
            </w:pPr>
            <w:r>
              <w:rPr>
                <w:rFonts w:hint="eastAsia"/>
                <w:color w:val="auto"/>
                <w:sz w:val="24"/>
              </w:rPr>
              <w:t>1、</w:t>
            </w:r>
            <w:r>
              <w:rPr>
                <w:color w:val="auto"/>
                <w:sz w:val="24"/>
              </w:rPr>
              <w:t>项目所在区域达标判断</w:t>
            </w:r>
          </w:p>
          <w:p>
            <w:pPr>
              <w:autoSpaceDE w:val="0"/>
              <w:autoSpaceDN w:val="0"/>
              <w:adjustRightInd w:val="0"/>
              <w:snapToGrid w:val="0"/>
              <w:spacing w:line="360" w:lineRule="auto"/>
              <w:ind w:firstLine="480" w:firstLineChars="200"/>
              <w:jc w:val="left"/>
              <w:rPr>
                <w:color w:val="auto"/>
                <w:sz w:val="24"/>
              </w:rPr>
            </w:pPr>
            <w:r>
              <w:rPr>
                <w:color w:val="auto"/>
                <w:sz w:val="24"/>
              </w:rPr>
              <w:t>本项目位于合肥市高新区，根据</w:t>
            </w:r>
            <w:r>
              <w:rPr>
                <w:color w:val="auto"/>
                <w:spacing w:val="-8"/>
                <w:sz w:val="24"/>
              </w:rPr>
              <w:t>合肥市生态环境局网站发布的《2021年合肥市生态环境状况公报》</w:t>
            </w:r>
            <w:r>
              <w:rPr>
                <w:color w:val="auto"/>
                <w:sz w:val="24"/>
              </w:rPr>
              <w:t>，项目区域环境空气基本污染物质量现状见下表：</w:t>
            </w:r>
          </w:p>
          <w:p>
            <w:pPr>
              <w:widowControl/>
              <w:numPr>
                <w:ilvl w:val="0"/>
                <w:numId w:val="2"/>
              </w:numPr>
              <w:jc w:val="center"/>
              <w:rPr>
                <w:b/>
                <w:color w:val="auto"/>
                <w:kern w:val="0"/>
                <w:szCs w:val="21"/>
              </w:rPr>
            </w:pPr>
            <w:r>
              <w:rPr>
                <w:b/>
                <w:color w:val="auto"/>
                <w:kern w:val="0"/>
                <w:szCs w:val="21"/>
              </w:rPr>
              <w:t xml:space="preserve">  区域空气质量现状评价表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66"/>
              <w:gridCol w:w="2007"/>
              <w:gridCol w:w="1796"/>
              <w:gridCol w:w="864"/>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污染物</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评价指标</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现状浓度（</w:t>
                  </w:r>
                  <w:r>
                    <w:rPr>
                      <w:rFonts w:eastAsia="仿宋"/>
                      <w:bCs/>
                      <w:color w:val="auto"/>
                      <w:sz w:val="21"/>
                      <w:szCs w:val="21"/>
                    </w:rPr>
                    <w:t>μ</w:t>
                  </w:r>
                  <w:r>
                    <w:rPr>
                      <w:rFonts w:eastAsia="宋体"/>
                      <w:bCs/>
                      <w:color w:val="auto"/>
                      <w:sz w:val="21"/>
                      <w:szCs w:val="21"/>
                    </w:rPr>
                    <w:t>g/m</w:t>
                  </w:r>
                  <w:r>
                    <w:rPr>
                      <w:rFonts w:eastAsia="宋体"/>
                      <w:bCs/>
                      <w:color w:val="auto"/>
                      <w:sz w:val="21"/>
                      <w:szCs w:val="21"/>
                      <w:vertAlign w:val="superscript"/>
                    </w:rPr>
                    <w:t>3</w:t>
                  </w:r>
                  <w:r>
                    <w:rPr>
                      <w:rFonts w:eastAsia="宋体"/>
                      <w:bCs/>
                      <w:color w:val="auto"/>
                      <w:sz w:val="21"/>
                      <w:szCs w:val="21"/>
                    </w:rPr>
                    <w:t>）</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标准值（</w:t>
                  </w:r>
                  <w:r>
                    <w:rPr>
                      <w:rFonts w:eastAsia="仿宋"/>
                      <w:bCs/>
                      <w:color w:val="auto"/>
                      <w:sz w:val="21"/>
                      <w:szCs w:val="21"/>
                    </w:rPr>
                    <w:t>μ</w:t>
                  </w:r>
                  <w:r>
                    <w:rPr>
                      <w:rFonts w:eastAsia="宋体"/>
                      <w:bCs/>
                      <w:color w:val="auto"/>
                      <w:sz w:val="21"/>
                      <w:szCs w:val="21"/>
                    </w:rPr>
                    <w:t>g/m</w:t>
                  </w:r>
                  <w:r>
                    <w:rPr>
                      <w:rFonts w:eastAsia="宋体"/>
                      <w:bCs/>
                      <w:color w:val="auto"/>
                      <w:sz w:val="21"/>
                      <w:szCs w:val="21"/>
                      <w:vertAlign w:val="superscript"/>
                    </w:rPr>
                    <w:t>3</w:t>
                  </w:r>
                  <w:r>
                    <w:rPr>
                      <w:rFonts w:eastAsia="宋体"/>
                      <w:bCs/>
                      <w:color w:val="auto"/>
                      <w:sz w:val="21"/>
                      <w:szCs w:val="21"/>
                    </w:rPr>
                    <w:t>）</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占标率</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Cs/>
                      <w:color w:val="auto"/>
                      <w:sz w:val="21"/>
                      <w:szCs w:val="21"/>
                    </w:rPr>
                  </w:pPr>
                  <w:r>
                    <w:rPr>
                      <w:rFonts w:eastAsia="宋体"/>
                      <w:bCs/>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SO</w:t>
                  </w:r>
                  <w:r>
                    <w:rPr>
                      <w:rFonts w:eastAsia="宋体"/>
                      <w:b w:val="0"/>
                      <w:color w:val="auto"/>
                      <w:sz w:val="21"/>
                      <w:szCs w:val="21"/>
                      <w:vertAlign w:val="subscript"/>
                    </w:rPr>
                    <w:t>2</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7</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60</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11.67%</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NO</w:t>
                  </w:r>
                  <w:r>
                    <w:rPr>
                      <w:rFonts w:eastAsia="宋体"/>
                      <w:b w:val="0"/>
                      <w:color w:val="auto"/>
                      <w:sz w:val="21"/>
                      <w:szCs w:val="21"/>
                      <w:vertAlign w:val="subscript"/>
                    </w:rPr>
                    <w:t>2</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36</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40</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90.00%</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PM</w:t>
                  </w:r>
                  <w:r>
                    <w:rPr>
                      <w:rFonts w:eastAsia="宋体"/>
                      <w:b w:val="0"/>
                      <w:color w:val="auto"/>
                      <w:sz w:val="21"/>
                      <w:szCs w:val="21"/>
                      <w:vertAlign w:val="subscript"/>
                    </w:rPr>
                    <w:t>10</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63</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70</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90.00%</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PM</w:t>
                  </w:r>
                  <w:r>
                    <w:rPr>
                      <w:rFonts w:eastAsia="宋体"/>
                      <w:b w:val="0"/>
                      <w:color w:val="auto"/>
                      <w:sz w:val="21"/>
                      <w:szCs w:val="21"/>
                      <w:vertAlign w:val="subscript"/>
                    </w:rPr>
                    <w:t>2.5</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hint="eastAsia" w:eastAsia="宋体"/>
                      <w:b w:val="0"/>
                      <w:color w:val="auto"/>
                      <w:sz w:val="21"/>
                      <w:szCs w:val="21"/>
                    </w:rPr>
                  </w:pPr>
                  <w:r>
                    <w:rPr>
                      <w:rFonts w:eastAsia="宋体"/>
                      <w:b w:val="0"/>
                      <w:color w:val="auto"/>
                      <w:sz w:val="21"/>
                      <w:szCs w:val="21"/>
                    </w:rPr>
                    <w:t>3</w:t>
                  </w:r>
                  <w:r>
                    <w:rPr>
                      <w:rFonts w:hint="eastAsia" w:eastAsia="宋体"/>
                      <w:b w:val="0"/>
                      <w:color w:val="auto"/>
                      <w:sz w:val="21"/>
                      <w:szCs w:val="21"/>
                    </w:rPr>
                    <w:t>2</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35</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hint="eastAsia" w:eastAsia="宋体"/>
                      <w:b w:val="0"/>
                      <w:color w:val="auto"/>
                      <w:sz w:val="21"/>
                      <w:szCs w:val="21"/>
                    </w:rPr>
                    <w:t>91.43</w:t>
                  </w:r>
                  <w:r>
                    <w:rPr>
                      <w:rFonts w:eastAsia="宋体"/>
                      <w:b w:val="0"/>
                      <w:color w:val="auto"/>
                      <w:sz w:val="21"/>
                      <w:szCs w:val="21"/>
                    </w:rPr>
                    <w:t>%</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CO</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jc w:val="center"/>
                    <w:rPr>
                      <w:color w:val="auto"/>
                      <w:szCs w:val="21"/>
                    </w:rPr>
                  </w:pPr>
                  <w:r>
                    <w:rPr>
                      <w:color w:val="auto"/>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1.0mg/m</w:t>
                  </w:r>
                  <w:r>
                    <w:rPr>
                      <w:rFonts w:eastAsia="宋体"/>
                      <w:b w:val="0"/>
                      <w:color w:val="auto"/>
                      <w:sz w:val="21"/>
                      <w:szCs w:val="21"/>
                      <w:vertAlign w:val="superscript"/>
                    </w:rPr>
                    <w:t>3</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4.0mg/m</w:t>
                  </w:r>
                  <w:r>
                    <w:rPr>
                      <w:rFonts w:eastAsia="宋体"/>
                      <w:b w:val="0"/>
                      <w:color w:val="auto"/>
                      <w:sz w:val="21"/>
                      <w:szCs w:val="21"/>
                      <w:vertAlign w:val="superscript"/>
                    </w:rPr>
                    <w:t>3</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25.00%</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49"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O</w:t>
                  </w:r>
                  <w:r>
                    <w:rPr>
                      <w:rFonts w:eastAsia="宋体"/>
                      <w:b w:val="0"/>
                      <w:color w:val="auto"/>
                      <w:sz w:val="21"/>
                      <w:szCs w:val="21"/>
                      <w:vertAlign w:val="subscript"/>
                    </w:rPr>
                    <w:t>3</w:t>
                  </w:r>
                </w:p>
              </w:tc>
              <w:tc>
                <w:tcPr>
                  <w:tcW w:w="1266" w:type="dxa"/>
                  <w:tcBorders>
                    <w:top w:val="single" w:color="auto" w:sz="2" w:space="0"/>
                    <w:left w:val="single" w:color="auto" w:sz="2" w:space="0"/>
                    <w:bottom w:val="single" w:color="auto" w:sz="2" w:space="0"/>
                    <w:right w:val="single" w:color="auto" w:sz="2" w:space="0"/>
                  </w:tcBorders>
                  <w:noWrap w:val="0"/>
                  <w:vAlign w:val="center"/>
                </w:tcPr>
                <w:p>
                  <w:pPr>
                    <w:jc w:val="center"/>
                    <w:rPr>
                      <w:color w:val="auto"/>
                      <w:szCs w:val="21"/>
                    </w:rPr>
                  </w:pPr>
                  <w:r>
                    <w:rPr>
                      <w:color w:val="auto"/>
                      <w:szCs w:val="21"/>
                    </w:rPr>
                    <w:t>年平均浓度</w:t>
                  </w:r>
                </w:p>
              </w:tc>
              <w:tc>
                <w:tcPr>
                  <w:tcW w:w="2007"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143</w:t>
                  </w:r>
                </w:p>
              </w:tc>
              <w:tc>
                <w:tcPr>
                  <w:tcW w:w="1796"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160</w:t>
                  </w:r>
                </w:p>
              </w:tc>
              <w:tc>
                <w:tcPr>
                  <w:tcW w:w="864"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89.38%</w:t>
                  </w:r>
                </w:p>
              </w:tc>
              <w:tc>
                <w:tcPr>
                  <w:tcW w:w="1060" w:type="dxa"/>
                  <w:tcBorders>
                    <w:top w:val="single" w:color="auto" w:sz="2" w:space="0"/>
                    <w:left w:val="single" w:color="auto" w:sz="2" w:space="0"/>
                    <w:bottom w:val="single" w:color="auto" w:sz="2" w:space="0"/>
                    <w:right w:val="single" w:color="auto" w:sz="2" w:space="0"/>
                  </w:tcBorders>
                  <w:noWrap w:val="0"/>
                  <w:vAlign w:val="center"/>
                </w:tcPr>
                <w:p>
                  <w:pPr>
                    <w:pStyle w:val="52"/>
                    <w:spacing w:line="240" w:lineRule="auto"/>
                    <w:rPr>
                      <w:rFonts w:eastAsia="宋体"/>
                      <w:b w:val="0"/>
                      <w:color w:val="auto"/>
                      <w:sz w:val="21"/>
                      <w:szCs w:val="21"/>
                    </w:rPr>
                  </w:pPr>
                  <w:r>
                    <w:rPr>
                      <w:rFonts w:eastAsia="宋体"/>
                      <w:b w:val="0"/>
                      <w:color w:val="auto"/>
                      <w:sz w:val="21"/>
                      <w:szCs w:val="21"/>
                    </w:rPr>
                    <w:t>达标</w:t>
                  </w:r>
                </w:p>
              </w:tc>
            </w:tr>
          </w:tbl>
          <w:p>
            <w:pPr>
              <w:autoSpaceDE w:val="0"/>
              <w:autoSpaceDN w:val="0"/>
              <w:adjustRightInd w:val="0"/>
              <w:spacing w:line="360" w:lineRule="auto"/>
              <w:ind w:firstLine="480" w:firstLineChars="200"/>
              <w:rPr>
                <w:color w:val="auto"/>
                <w:sz w:val="24"/>
              </w:rPr>
            </w:pPr>
            <w:r>
              <w:rPr>
                <w:color w:val="auto"/>
                <w:sz w:val="24"/>
              </w:rPr>
              <w:t>本项目所在区环境空气中</w:t>
            </w:r>
            <w:r>
              <w:rPr>
                <w:rFonts w:hint="eastAsia"/>
                <w:color w:val="auto"/>
                <w:sz w:val="24"/>
                <w:lang w:eastAsia="zh-CN"/>
              </w:rPr>
              <w:t>基本污染物质量浓度</w:t>
            </w:r>
            <w:r>
              <w:rPr>
                <w:color w:val="auto"/>
                <w:sz w:val="24"/>
              </w:rPr>
              <w:t>均满足《环境空气质量标准》(GB3095-2012)中二级标准。因此，合肥市为环境空气质量达标区。</w:t>
            </w:r>
          </w:p>
          <w:p>
            <w:pPr>
              <w:autoSpaceDE w:val="0"/>
              <w:autoSpaceDN w:val="0"/>
              <w:adjustRightInd w:val="0"/>
              <w:spacing w:line="360" w:lineRule="auto"/>
              <w:ind w:firstLine="480" w:firstLineChars="200"/>
              <w:rPr>
                <w:color w:val="auto"/>
                <w:sz w:val="24"/>
              </w:rPr>
            </w:pPr>
            <w:r>
              <w:rPr>
                <w:rFonts w:hint="eastAsia"/>
                <w:color w:val="auto"/>
                <w:sz w:val="24"/>
              </w:rPr>
              <w:t>2、</w:t>
            </w:r>
            <w:r>
              <w:rPr>
                <w:color w:val="auto"/>
                <w:sz w:val="24"/>
              </w:rPr>
              <w:t>其他污染物质量现状</w:t>
            </w:r>
          </w:p>
          <w:p>
            <w:pPr>
              <w:autoSpaceDE w:val="0"/>
              <w:autoSpaceDN w:val="0"/>
              <w:adjustRightInd w:val="0"/>
              <w:spacing w:line="360" w:lineRule="auto"/>
              <w:ind w:firstLine="480" w:firstLineChars="200"/>
              <w:rPr>
                <w:color w:val="auto"/>
                <w:sz w:val="24"/>
              </w:rPr>
            </w:pPr>
            <w:r>
              <w:rPr>
                <w:color w:val="auto"/>
                <w:sz w:val="24"/>
              </w:rPr>
              <w:t>①非甲烷总烃质量现状</w:t>
            </w:r>
          </w:p>
          <w:p>
            <w:pPr>
              <w:autoSpaceDE w:val="0"/>
              <w:autoSpaceDN w:val="0"/>
              <w:adjustRightInd w:val="0"/>
              <w:spacing w:line="360" w:lineRule="auto"/>
              <w:ind w:firstLine="480" w:firstLineChars="200"/>
              <w:rPr>
                <w:color w:val="auto"/>
                <w:sz w:val="24"/>
              </w:rPr>
            </w:pPr>
            <w:r>
              <w:rPr>
                <w:color w:val="auto"/>
                <w:sz w:val="24"/>
              </w:rPr>
              <w:t>本项目环境空气非甲烷总烃质量现状引用《合肥光微光电科技有限公司TFT-LCD及半导体用光掩膜版精加工项目环境影响报告表》监测数据，该项目位于本项目W方位，位于本项目下风向，直线距离为420m，监测点在该项目地，监测时间为2021年1月11日~2021年1月17日，因此引用该项目监测数据具有可行性。具体监测点位及监测结果如下。</w:t>
            </w:r>
          </w:p>
          <w:p>
            <w:pPr>
              <w:rPr>
                <w:color w:val="auto"/>
              </w:rPr>
            </w:pPr>
          </w:p>
          <w:p>
            <w:pPr>
              <w:pStyle w:val="56"/>
              <w:jc w:val="center"/>
              <w:rPr>
                <w:rFonts w:ascii="Times New Roman" w:hAnsi="Times New Roman" w:eastAsia="宋体" w:cs="Times New Roman"/>
                <w:color w:val="auto"/>
              </w:rPr>
            </w:pPr>
            <w:r>
              <w:rPr>
                <w:color w:val="auto"/>
              </w:rPr>
              <w:pict>
                <v:shape id="_x0000_i1028" o:spt="75" type="#_x0000_t75" style="height:288.6pt;width:382.8pt;" filled="f" stroked="f" coordsize="21600,21600">
                  <v:path/>
                  <v:fill on="f" focussize="0,0"/>
                  <v:stroke on="f"/>
                  <v:imagedata r:id="rId16" o:title=""/>
                  <o:lock v:ext="edit" aspectratio="t"/>
                  <w10:wrap type="none"/>
                  <w10:anchorlock/>
                </v:shape>
              </w:pict>
            </w:r>
            <w:r>
              <w:rPr>
                <w:rFonts w:ascii="Times New Roman" w:hAnsi="Times New Roman" w:eastAsia="宋体" w:cs="Times New Roman"/>
                <w:color w:val="auto"/>
              </w:rPr>
              <w:pict>
                <v:shape id="_x0000_s1036" o:spid="_x0000_s1036" o:spt="202" type="#_x0000_t202" style="position:absolute;left:0pt;margin-left:283.75pt;margin-top:131.4pt;height:28.65pt;width:75.35pt;z-index:251659264;mso-width-relative:page;mso-height-relative:page;" filled="f" stroked="f" coordsize="21600,21600">
                  <v:path/>
                  <v:fill on="f" focussize="0,0"/>
                  <v:stroke on="f"/>
                  <v:imagedata o:title=""/>
                  <o:lock v:ext="edit" aspectratio="f"/>
                  <v:textbox>
                    <w:txbxContent>
                      <w:p>
                        <w:pPr>
                          <w:rPr>
                            <w:rFonts w:hint="eastAsia" w:ascii="黑体" w:hAnsi="黑体" w:eastAsia="黑体" w:cs="黑体"/>
                            <w:color w:val="FF0000"/>
                            <w:sz w:val="18"/>
                            <w:szCs w:val="18"/>
                          </w:rPr>
                        </w:pPr>
                        <w:r>
                          <w:rPr>
                            <w:rFonts w:hint="eastAsia" w:ascii="黑体" w:hAnsi="黑体" w:eastAsia="黑体" w:cs="黑体"/>
                            <w:color w:val="FF0000"/>
                            <w:sz w:val="18"/>
                            <w:szCs w:val="18"/>
                          </w:rPr>
                          <w:t>本项目所在地</w:t>
                        </w:r>
                      </w:p>
                    </w:txbxContent>
                  </v:textbox>
                </v:shape>
              </w:pict>
            </w:r>
          </w:p>
          <w:p>
            <w:pPr>
              <w:autoSpaceDE w:val="0"/>
              <w:autoSpaceDN w:val="0"/>
              <w:adjustRightInd w:val="0"/>
              <w:spacing w:line="360" w:lineRule="auto"/>
              <w:ind w:firstLine="422" w:firstLineChars="200"/>
              <w:jc w:val="center"/>
              <w:rPr>
                <w:b/>
                <w:bCs/>
                <w:color w:val="auto"/>
                <w:szCs w:val="21"/>
              </w:rPr>
            </w:pPr>
            <w:r>
              <w:rPr>
                <w:b/>
                <w:bCs/>
                <w:color w:val="auto"/>
                <w:szCs w:val="21"/>
              </w:rPr>
              <w:t>图</w:t>
            </w:r>
            <w:r>
              <w:rPr>
                <w:rFonts w:hint="eastAsia"/>
                <w:b/>
                <w:bCs/>
                <w:color w:val="auto"/>
                <w:szCs w:val="21"/>
                <w:lang w:val="en-US" w:eastAsia="zh-CN"/>
              </w:rPr>
              <w:t>5</w:t>
            </w:r>
            <w:r>
              <w:rPr>
                <w:b/>
                <w:bCs/>
                <w:color w:val="auto"/>
                <w:szCs w:val="21"/>
              </w:rPr>
              <w:t xml:space="preserve"> 环境空气非甲烷总烃现状监测点位图</w:t>
            </w:r>
          </w:p>
          <w:p>
            <w:pPr>
              <w:widowControl/>
              <w:numPr>
                <w:ilvl w:val="0"/>
                <w:numId w:val="2"/>
              </w:numPr>
              <w:jc w:val="center"/>
              <w:rPr>
                <w:b/>
                <w:color w:val="auto"/>
                <w:kern w:val="0"/>
                <w:szCs w:val="21"/>
              </w:rPr>
            </w:pPr>
            <w:r>
              <w:rPr>
                <w:rFonts w:hint="eastAsia"/>
                <w:b/>
                <w:color w:val="auto"/>
                <w:kern w:val="0"/>
                <w:szCs w:val="21"/>
              </w:rPr>
              <w:t xml:space="preserve">  </w:t>
            </w:r>
            <w:r>
              <w:rPr>
                <w:b/>
                <w:color w:val="auto"/>
                <w:kern w:val="0"/>
                <w:szCs w:val="21"/>
              </w:rPr>
              <w:t>非甲烷总烃质量现状监测结果    单位：mg/m</w:t>
            </w:r>
            <w:r>
              <w:rPr>
                <w:b/>
                <w:color w:val="auto"/>
                <w:kern w:val="0"/>
                <w:szCs w:val="21"/>
                <w:vertAlign w:val="superscript"/>
              </w:rPr>
              <w:t>3</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79"/>
              <w:gridCol w:w="1624"/>
              <w:gridCol w:w="1781"/>
              <w:gridCol w:w="1467"/>
              <w:gridCol w:w="14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679" w:type="dxa"/>
                  <w:vMerge w:val="restart"/>
                  <w:noWrap w:val="0"/>
                  <w:vAlign w:val="center"/>
                </w:tcPr>
                <w:p>
                  <w:pPr>
                    <w:ind w:left="-126" w:leftChars="-60" w:right="-99" w:rightChars="-47"/>
                    <w:jc w:val="center"/>
                    <w:rPr>
                      <w:color w:val="auto"/>
                      <w:szCs w:val="21"/>
                    </w:rPr>
                  </w:pPr>
                  <w:r>
                    <w:rPr>
                      <w:color w:val="auto"/>
                      <w:szCs w:val="21"/>
                    </w:rPr>
                    <w:t>监测日期</w:t>
                  </w:r>
                </w:p>
              </w:tc>
              <w:tc>
                <w:tcPr>
                  <w:tcW w:w="6340" w:type="dxa"/>
                  <w:gridSpan w:val="4"/>
                  <w:noWrap w:val="0"/>
                  <w:vAlign w:val="center"/>
                </w:tcPr>
                <w:p>
                  <w:pPr>
                    <w:ind w:left="-126" w:leftChars="-60" w:right="-99" w:rightChars="-47"/>
                    <w:jc w:val="center"/>
                    <w:rPr>
                      <w:color w:val="auto"/>
                      <w:szCs w:val="21"/>
                    </w:rPr>
                  </w:pPr>
                  <w:r>
                    <w:rPr>
                      <w:color w:val="auto"/>
                      <w:szCs w:val="21"/>
                    </w:rPr>
                    <w:t>监测结果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1679" w:type="dxa"/>
                  <w:vMerge w:val="continue"/>
                  <w:noWrap w:val="0"/>
                  <w:vAlign w:val="center"/>
                </w:tcPr>
                <w:p>
                  <w:pPr>
                    <w:ind w:left="-126" w:leftChars="-60" w:right="-99" w:rightChars="-47"/>
                    <w:jc w:val="center"/>
                    <w:rPr>
                      <w:color w:val="auto"/>
                      <w:szCs w:val="21"/>
                    </w:rPr>
                  </w:pPr>
                </w:p>
              </w:tc>
              <w:tc>
                <w:tcPr>
                  <w:tcW w:w="1624" w:type="dxa"/>
                  <w:noWrap w:val="0"/>
                  <w:vAlign w:val="center"/>
                </w:tcPr>
                <w:p>
                  <w:pPr>
                    <w:ind w:left="-126" w:leftChars="-60" w:right="-99" w:rightChars="-47"/>
                    <w:jc w:val="center"/>
                    <w:rPr>
                      <w:color w:val="auto"/>
                      <w:szCs w:val="21"/>
                    </w:rPr>
                  </w:pPr>
                  <w:r>
                    <w:rPr>
                      <w:color w:val="auto"/>
                      <w:szCs w:val="21"/>
                    </w:rPr>
                    <w:t>第一次</w:t>
                  </w:r>
                </w:p>
              </w:tc>
              <w:tc>
                <w:tcPr>
                  <w:tcW w:w="1781" w:type="dxa"/>
                  <w:noWrap w:val="0"/>
                  <w:vAlign w:val="center"/>
                </w:tcPr>
                <w:p>
                  <w:pPr>
                    <w:ind w:left="-126" w:leftChars="-60" w:right="-99" w:rightChars="-47"/>
                    <w:jc w:val="center"/>
                    <w:rPr>
                      <w:color w:val="auto"/>
                      <w:szCs w:val="21"/>
                    </w:rPr>
                  </w:pPr>
                  <w:r>
                    <w:rPr>
                      <w:color w:val="auto"/>
                      <w:szCs w:val="21"/>
                    </w:rPr>
                    <w:t>第二次</w:t>
                  </w:r>
                </w:p>
              </w:tc>
              <w:tc>
                <w:tcPr>
                  <w:tcW w:w="1467" w:type="dxa"/>
                  <w:noWrap w:val="0"/>
                  <w:vAlign w:val="center"/>
                </w:tcPr>
                <w:p>
                  <w:pPr>
                    <w:ind w:left="-126" w:leftChars="-60" w:right="-99" w:rightChars="-47"/>
                    <w:jc w:val="center"/>
                    <w:rPr>
                      <w:color w:val="auto"/>
                      <w:szCs w:val="21"/>
                    </w:rPr>
                  </w:pPr>
                  <w:r>
                    <w:rPr>
                      <w:color w:val="auto"/>
                      <w:szCs w:val="21"/>
                    </w:rPr>
                    <w:t>第三次</w:t>
                  </w:r>
                </w:p>
              </w:tc>
              <w:tc>
                <w:tcPr>
                  <w:tcW w:w="1468" w:type="dxa"/>
                  <w:noWrap w:val="0"/>
                  <w:vAlign w:val="center"/>
                </w:tcPr>
                <w:p>
                  <w:pPr>
                    <w:ind w:left="-126" w:leftChars="-60" w:right="-99" w:rightChars="-47"/>
                    <w:jc w:val="center"/>
                    <w:rPr>
                      <w:color w:val="auto"/>
                      <w:szCs w:val="21"/>
                    </w:rPr>
                  </w:pPr>
                  <w:r>
                    <w:rPr>
                      <w:color w:val="auto"/>
                      <w:szCs w:val="21"/>
                    </w:rPr>
                    <w:t>第四次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2021.1.11</w:t>
                  </w:r>
                </w:p>
              </w:tc>
              <w:tc>
                <w:tcPr>
                  <w:tcW w:w="1624" w:type="dxa"/>
                  <w:noWrap w:val="0"/>
                  <w:vAlign w:val="center"/>
                </w:tcPr>
                <w:p>
                  <w:pPr>
                    <w:ind w:left="-126" w:leftChars="-60" w:right="-99" w:rightChars="-47"/>
                    <w:jc w:val="center"/>
                    <w:rPr>
                      <w:color w:val="auto"/>
                      <w:szCs w:val="21"/>
                    </w:rPr>
                  </w:pPr>
                  <w:r>
                    <w:rPr>
                      <w:color w:val="auto"/>
                      <w:szCs w:val="21"/>
                    </w:rPr>
                    <w:t>0.75</w:t>
                  </w:r>
                </w:p>
              </w:tc>
              <w:tc>
                <w:tcPr>
                  <w:tcW w:w="1781" w:type="dxa"/>
                  <w:noWrap w:val="0"/>
                  <w:vAlign w:val="center"/>
                </w:tcPr>
                <w:p>
                  <w:pPr>
                    <w:ind w:left="-126" w:leftChars="-60" w:right="-99" w:rightChars="-47"/>
                    <w:jc w:val="center"/>
                    <w:rPr>
                      <w:color w:val="auto"/>
                      <w:szCs w:val="21"/>
                    </w:rPr>
                  </w:pPr>
                  <w:r>
                    <w:rPr>
                      <w:color w:val="auto"/>
                      <w:szCs w:val="21"/>
                    </w:rPr>
                    <w:t>0.80</w:t>
                  </w:r>
                </w:p>
              </w:tc>
              <w:tc>
                <w:tcPr>
                  <w:tcW w:w="1467" w:type="dxa"/>
                  <w:noWrap w:val="0"/>
                  <w:vAlign w:val="center"/>
                </w:tcPr>
                <w:p>
                  <w:pPr>
                    <w:ind w:left="-126" w:leftChars="-60" w:right="-99" w:rightChars="-47"/>
                    <w:jc w:val="center"/>
                    <w:rPr>
                      <w:color w:val="auto"/>
                      <w:szCs w:val="21"/>
                    </w:rPr>
                  </w:pPr>
                  <w:r>
                    <w:rPr>
                      <w:color w:val="auto"/>
                      <w:szCs w:val="21"/>
                    </w:rPr>
                    <w:t>0.93</w:t>
                  </w:r>
                </w:p>
              </w:tc>
              <w:tc>
                <w:tcPr>
                  <w:tcW w:w="1468" w:type="dxa"/>
                  <w:noWrap w:val="0"/>
                  <w:vAlign w:val="center"/>
                </w:tcPr>
                <w:p>
                  <w:pPr>
                    <w:ind w:left="-126" w:leftChars="-60" w:right="-99" w:rightChars="-47"/>
                    <w:jc w:val="center"/>
                    <w:rPr>
                      <w:color w:val="auto"/>
                      <w:szCs w:val="21"/>
                    </w:rPr>
                  </w:pPr>
                  <w:r>
                    <w:rPr>
                      <w:color w:val="auto"/>
                      <w:szCs w:val="21"/>
                    </w:rPr>
                    <w:t>0.78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2021.1.12</w:t>
                  </w:r>
                </w:p>
              </w:tc>
              <w:tc>
                <w:tcPr>
                  <w:tcW w:w="1624" w:type="dxa"/>
                  <w:noWrap w:val="0"/>
                  <w:vAlign w:val="center"/>
                </w:tcPr>
                <w:p>
                  <w:pPr>
                    <w:ind w:left="-126" w:leftChars="-60" w:right="-99" w:rightChars="-47"/>
                    <w:jc w:val="center"/>
                    <w:rPr>
                      <w:color w:val="auto"/>
                      <w:szCs w:val="21"/>
                    </w:rPr>
                  </w:pPr>
                  <w:r>
                    <w:rPr>
                      <w:color w:val="auto"/>
                      <w:szCs w:val="21"/>
                    </w:rPr>
                    <w:t>0.71</w:t>
                  </w:r>
                </w:p>
              </w:tc>
              <w:tc>
                <w:tcPr>
                  <w:tcW w:w="1781" w:type="dxa"/>
                  <w:noWrap w:val="0"/>
                  <w:vAlign w:val="center"/>
                </w:tcPr>
                <w:p>
                  <w:pPr>
                    <w:ind w:left="-126" w:leftChars="-60" w:right="-99" w:rightChars="-47"/>
                    <w:jc w:val="center"/>
                    <w:rPr>
                      <w:color w:val="auto"/>
                      <w:szCs w:val="21"/>
                    </w:rPr>
                  </w:pPr>
                  <w:r>
                    <w:rPr>
                      <w:color w:val="auto"/>
                      <w:szCs w:val="21"/>
                    </w:rPr>
                    <w:t>0.74</w:t>
                  </w:r>
                </w:p>
              </w:tc>
              <w:tc>
                <w:tcPr>
                  <w:tcW w:w="1467" w:type="dxa"/>
                  <w:noWrap w:val="0"/>
                  <w:vAlign w:val="center"/>
                </w:tcPr>
                <w:p>
                  <w:pPr>
                    <w:ind w:left="-126" w:leftChars="-60" w:right="-99" w:rightChars="-47"/>
                    <w:jc w:val="center"/>
                    <w:rPr>
                      <w:color w:val="auto"/>
                      <w:szCs w:val="21"/>
                    </w:rPr>
                  </w:pPr>
                  <w:r>
                    <w:rPr>
                      <w:color w:val="auto"/>
                      <w:szCs w:val="21"/>
                    </w:rPr>
                    <w:t>0.75</w:t>
                  </w:r>
                </w:p>
              </w:tc>
              <w:tc>
                <w:tcPr>
                  <w:tcW w:w="1468" w:type="dxa"/>
                  <w:noWrap w:val="0"/>
                  <w:vAlign w:val="center"/>
                </w:tcPr>
                <w:p>
                  <w:pPr>
                    <w:ind w:left="-126" w:leftChars="-60" w:right="-99" w:rightChars="-47"/>
                    <w:jc w:val="center"/>
                    <w:rPr>
                      <w:color w:val="auto"/>
                      <w:szCs w:val="21"/>
                    </w:rPr>
                  </w:pPr>
                  <w:r>
                    <w:rPr>
                      <w:color w:val="auto"/>
                      <w:szCs w:val="21"/>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2021.1.13</w:t>
                  </w:r>
                </w:p>
              </w:tc>
              <w:tc>
                <w:tcPr>
                  <w:tcW w:w="1624" w:type="dxa"/>
                  <w:noWrap w:val="0"/>
                  <w:vAlign w:val="center"/>
                </w:tcPr>
                <w:p>
                  <w:pPr>
                    <w:ind w:left="-126" w:leftChars="-60" w:right="-99" w:rightChars="-47"/>
                    <w:jc w:val="center"/>
                    <w:rPr>
                      <w:color w:val="auto"/>
                      <w:szCs w:val="21"/>
                    </w:rPr>
                  </w:pPr>
                  <w:r>
                    <w:rPr>
                      <w:color w:val="auto"/>
                      <w:szCs w:val="21"/>
                    </w:rPr>
                    <w:t>0.75</w:t>
                  </w:r>
                </w:p>
              </w:tc>
              <w:tc>
                <w:tcPr>
                  <w:tcW w:w="1781" w:type="dxa"/>
                  <w:noWrap w:val="0"/>
                  <w:vAlign w:val="center"/>
                </w:tcPr>
                <w:p>
                  <w:pPr>
                    <w:ind w:left="-126" w:leftChars="-60" w:right="-99" w:rightChars="-47"/>
                    <w:jc w:val="center"/>
                    <w:rPr>
                      <w:color w:val="auto"/>
                      <w:szCs w:val="21"/>
                    </w:rPr>
                  </w:pPr>
                  <w:r>
                    <w:rPr>
                      <w:color w:val="auto"/>
                      <w:szCs w:val="21"/>
                    </w:rPr>
                    <w:t>0.78</w:t>
                  </w:r>
                </w:p>
              </w:tc>
              <w:tc>
                <w:tcPr>
                  <w:tcW w:w="1467" w:type="dxa"/>
                  <w:noWrap w:val="0"/>
                  <w:vAlign w:val="center"/>
                </w:tcPr>
                <w:p>
                  <w:pPr>
                    <w:ind w:left="-126" w:leftChars="-60" w:right="-99" w:rightChars="-47"/>
                    <w:jc w:val="center"/>
                    <w:rPr>
                      <w:color w:val="auto"/>
                      <w:szCs w:val="21"/>
                    </w:rPr>
                  </w:pPr>
                  <w:r>
                    <w:rPr>
                      <w:color w:val="auto"/>
                      <w:szCs w:val="21"/>
                    </w:rPr>
                    <w:t>0.80</w:t>
                  </w:r>
                </w:p>
              </w:tc>
              <w:tc>
                <w:tcPr>
                  <w:tcW w:w="1468" w:type="dxa"/>
                  <w:noWrap w:val="0"/>
                  <w:vAlign w:val="center"/>
                </w:tcPr>
                <w:p>
                  <w:pPr>
                    <w:ind w:left="-126" w:leftChars="-60" w:right="-99" w:rightChars="-47"/>
                    <w:jc w:val="center"/>
                    <w:rPr>
                      <w:color w:val="auto"/>
                      <w:szCs w:val="21"/>
                    </w:rPr>
                  </w:pPr>
                  <w:r>
                    <w:rPr>
                      <w:color w:val="auto"/>
                      <w:szCs w:val="21"/>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2021.1.14</w:t>
                  </w:r>
                </w:p>
              </w:tc>
              <w:tc>
                <w:tcPr>
                  <w:tcW w:w="1624" w:type="dxa"/>
                  <w:noWrap w:val="0"/>
                  <w:vAlign w:val="center"/>
                </w:tcPr>
                <w:p>
                  <w:pPr>
                    <w:ind w:left="-126" w:leftChars="-60" w:right="-99" w:rightChars="-47"/>
                    <w:jc w:val="center"/>
                    <w:rPr>
                      <w:color w:val="auto"/>
                      <w:szCs w:val="21"/>
                    </w:rPr>
                  </w:pPr>
                  <w:r>
                    <w:rPr>
                      <w:color w:val="auto"/>
                      <w:szCs w:val="21"/>
                    </w:rPr>
                    <w:t>0.74</w:t>
                  </w:r>
                </w:p>
              </w:tc>
              <w:tc>
                <w:tcPr>
                  <w:tcW w:w="1781" w:type="dxa"/>
                  <w:noWrap w:val="0"/>
                  <w:vAlign w:val="center"/>
                </w:tcPr>
                <w:p>
                  <w:pPr>
                    <w:ind w:left="-126" w:leftChars="-60" w:right="-99" w:rightChars="-47"/>
                    <w:jc w:val="center"/>
                    <w:rPr>
                      <w:color w:val="auto"/>
                      <w:szCs w:val="21"/>
                    </w:rPr>
                  </w:pPr>
                  <w:r>
                    <w:rPr>
                      <w:color w:val="auto"/>
                      <w:szCs w:val="21"/>
                    </w:rPr>
                    <w:t>0.74</w:t>
                  </w:r>
                </w:p>
              </w:tc>
              <w:tc>
                <w:tcPr>
                  <w:tcW w:w="1467" w:type="dxa"/>
                  <w:noWrap w:val="0"/>
                  <w:vAlign w:val="center"/>
                </w:tcPr>
                <w:p>
                  <w:pPr>
                    <w:ind w:left="-126" w:leftChars="-60" w:right="-99" w:rightChars="-47"/>
                    <w:jc w:val="center"/>
                    <w:rPr>
                      <w:color w:val="auto"/>
                      <w:szCs w:val="21"/>
                    </w:rPr>
                  </w:pPr>
                  <w:r>
                    <w:rPr>
                      <w:color w:val="auto"/>
                      <w:szCs w:val="21"/>
                    </w:rPr>
                    <w:t>0.75</w:t>
                  </w:r>
                </w:p>
              </w:tc>
              <w:tc>
                <w:tcPr>
                  <w:tcW w:w="1468" w:type="dxa"/>
                  <w:noWrap w:val="0"/>
                  <w:vAlign w:val="center"/>
                </w:tcPr>
                <w:p>
                  <w:pPr>
                    <w:ind w:left="-126" w:leftChars="-60" w:right="-99" w:rightChars="-47"/>
                    <w:jc w:val="center"/>
                    <w:rPr>
                      <w:color w:val="auto"/>
                      <w:szCs w:val="21"/>
                    </w:rPr>
                  </w:pPr>
                  <w:r>
                    <w:rPr>
                      <w:color w:val="auto"/>
                      <w:szCs w:val="21"/>
                    </w:rPr>
                    <w:t>0.73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2021.1.15</w:t>
                  </w:r>
                </w:p>
              </w:tc>
              <w:tc>
                <w:tcPr>
                  <w:tcW w:w="1624" w:type="dxa"/>
                  <w:noWrap w:val="0"/>
                  <w:vAlign w:val="center"/>
                </w:tcPr>
                <w:p>
                  <w:pPr>
                    <w:ind w:left="-126" w:leftChars="-60" w:right="-99" w:rightChars="-47"/>
                    <w:jc w:val="center"/>
                    <w:rPr>
                      <w:color w:val="auto"/>
                      <w:szCs w:val="21"/>
                    </w:rPr>
                  </w:pPr>
                  <w:r>
                    <w:rPr>
                      <w:color w:val="auto"/>
                      <w:szCs w:val="21"/>
                    </w:rPr>
                    <w:t>0.76</w:t>
                  </w:r>
                </w:p>
              </w:tc>
              <w:tc>
                <w:tcPr>
                  <w:tcW w:w="1781" w:type="dxa"/>
                  <w:noWrap w:val="0"/>
                  <w:vAlign w:val="center"/>
                </w:tcPr>
                <w:p>
                  <w:pPr>
                    <w:ind w:left="-126" w:leftChars="-60" w:right="-99" w:rightChars="-47"/>
                    <w:jc w:val="center"/>
                    <w:rPr>
                      <w:color w:val="auto"/>
                      <w:szCs w:val="21"/>
                    </w:rPr>
                  </w:pPr>
                  <w:r>
                    <w:rPr>
                      <w:color w:val="auto"/>
                      <w:szCs w:val="21"/>
                    </w:rPr>
                    <w:t>0.79</w:t>
                  </w:r>
                </w:p>
              </w:tc>
              <w:tc>
                <w:tcPr>
                  <w:tcW w:w="1467" w:type="dxa"/>
                  <w:noWrap w:val="0"/>
                  <w:vAlign w:val="center"/>
                </w:tcPr>
                <w:p>
                  <w:pPr>
                    <w:ind w:left="-126" w:leftChars="-60" w:right="-99" w:rightChars="-47"/>
                    <w:jc w:val="center"/>
                    <w:rPr>
                      <w:color w:val="auto"/>
                      <w:szCs w:val="21"/>
                    </w:rPr>
                  </w:pPr>
                  <w:r>
                    <w:rPr>
                      <w:color w:val="auto"/>
                      <w:szCs w:val="21"/>
                    </w:rPr>
                    <w:t>0.77</w:t>
                  </w:r>
                </w:p>
              </w:tc>
              <w:tc>
                <w:tcPr>
                  <w:tcW w:w="1468" w:type="dxa"/>
                  <w:noWrap w:val="0"/>
                  <w:vAlign w:val="center"/>
                </w:tcPr>
                <w:p>
                  <w:pPr>
                    <w:ind w:left="-126" w:leftChars="-60" w:right="-99" w:rightChars="-47"/>
                    <w:jc w:val="center"/>
                    <w:rPr>
                      <w:color w:val="auto"/>
                      <w:szCs w:val="21"/>
                    </w:rPr>
                  </w:pPr>
                  <w:r>
                    <w:rPr>
                      <w:color w:val="auto"/>
                      <w:szCs w:val="21"/>
                    </w:rPr>
                    <w:t>0.76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2021.1.16</w:t>
                  </w:r>
                </w:p>
              </w:tc>
              <w:tc>
                <w:tcPr>
                  <w:tcW w:w="1624" w:type="dxa"/>
                  <w:noWrap w:val="0"/>
                  <w:vAlign w:val="center"/>
                </w:tcPr>
                <w:p>
                  <w:pPr>
                    <w:ind w:left="-126" w:leftChars="-60" w:right="-99" w:rightChars="-47"/>
                    <w:jc w:val="center"/>
                    <w:rPr>
                      <w:color w:val="auto"/>
                      <w:szCs w:val="21"/>
                    </w:rPr>
                  </w:pPr>
                  <w:r>
                    <w:rPr>
                      <w:color w:val="auto"/>
                      <w:szCs w:val="21"/>
                    </w:rPr>
                    <w:t>0.76</w:t>
                  </w:r>
                </w:p>
              </w:tc>
              <w:tc>
                <w:tcPr>
                  <w:tcW w:w="1781" w:type="dxa"/>
                  <w:noWrap w:val="0"/>
                  <w:vAlign w:val="center"/>
                </w:tcPr>
                <w:p>
                  <w:pPr>
                    <w:ind w:left="-126" w:leftChars="-60" w:right="-99" w:rightChars="-47"/>
                    <w:jc w:val="center"/>
                    <w:rPr>
                      <w:color w:val="auto"/>
                      <w:szCs w:val="21"/>
                    </w:rPr>
                  </w:pPr>
                  <w:r>
                    <w:rPr>
                      <w:color w:val="auto"/>
                      <w:szCs w:val="21"/>
                    </w:rPr>
                    <w:t>0.77</w:t>
                  </w:r>
                </w:p>
              </w:tc>
              <w:tc>
                <w:tcPr>
                  <w:tcW w:w="1467" w:type="dxa"/>
                  <w:noWrap w:val="0"/>
                  <w:vAlign w:val="center"/>
                </w:tcPr>
                <w:p>
                  <w:pPr>
                    <w:ind w:left="-126" w:leftChars="-60" w:right="-99" w:rightChars="-47"/>
                    <w:jc w:val="center"/>
                    <w:rPr>
                      <w:color w:val="auto"/>
                      <w:szCs w:val="21"/>
                    </w:rPr>
                  </w:pPr>
                  <w:r>
                    <w:rPr>
                      <w:color w:val="auto"/>
                      <w:szCs w:val="21"/>
                    </w:rPr>
                    <w:t>0.78</w:t>
                  </w:r>
                </w:p>
              </w:tc>
              <w:tc>
                <w:tcPr>
                  <w:tcW w:w="1468" w:type="dxa"/>
                  <w:noWrap w:val="0"/>
                  <w:vAlign w:val="center"/>
                </w:tcPr>
                <w:p>
                  <w:pPr>
                    <w:ind w:left="-126" w:leftChars="-60" w:right="-99" w:rightChars="-47"/>
                    <w:jc w:val="center"/>
                    <w:rPr>
                      <w:color w:val="auto"/>
                      <w:szCs w:val="21"/>
                    </w:rPr>
                  </w:pPr>
                  <w:r>
                    <w:rPr>
                      <w:color w:val="auto"/>
                      <w:szCs w:val="21"/>
                    </w:rPr>
                    <w:t>0.77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exact"/>
                <w:jc w:val="center"/>
              </w:trPr>
              <w:tc>
                <w:tcPr>
                  <w:tcW w:w="1679" w:type="dxa"/>
                  <w:noWrap w:val="0"/>
                  <w:vAlign w:val="center"/>
                </w:tcPr>
                <w:p>
                  <w:pPr>
                    <w:ind w:left="-126" w:leftChars="-60" w:right="-99" w:rightChars="-47"/>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2021.1.17</w:t>
                  </w:r>
                </w:p>
              </w:tc>
              <w:tc>
                <w:tcPr>
                  <w:tcW w:w="1624" w:type="dxa"/>
                  <w:noWrap w:val="0"/>
                  <w:vAlign w:val="center"/>
                </w:tcPr>
                <w:p>
                  <w:pPr>
                    <w:ind w:left="-126" w:leftChars="-60" w:right="-99" w:rightChars="-47"/>
                    <w:jc w:val="center"/>
                    <w:rPr>
                      <w:color w:val="auto"/>
                      <w:szCs w:val="21"/>
                    </w:rPr>
                  </w:pPr>
                  <w:r>
                    <w:rPr>
                      <w:color w:val="auto"/>
                      <w:szCs w:val="21"/>
                    </w:rPr>
                    <w:t>0.78</w:t>
                  </w:r>
                </w:p>
              </w:tc>
              <w:tc>
                <w:tcPr>
                  <w:tcW w:w="1781" w:type="dxa"/>
                  <w:noWrap w:val="0"/>
                  <w:vAlign w:val="center"/>
                </w:tcPr>
                <w:p>
                  <w:pPr>
                    <w:ind w:left="-126" w:leftChars="-60" w:right="-99" w:rightChars="-47"/>
                    <w:jc w:val="center"/>
                    <w:rPr>
                      <w:color w:val="auto"/>
                      <w:szCs w:val="21"/>
                    </w:rPr>
                  </w:pPr>
                  <w:r>
                    <w:rPr>
                      <w:color w:val="auto"/>
                      <w:szCs w:val="21"/>
                    </w:rPr>
                    <w:t>0.79</w:t>
                  </w:r>
                </w:p>
              </w:tc>
              <w:tc>
                <w:tcPr>
                  <w:tcW w:w="1467" w:type="dxa"/>
                  <w:noWrap w:val="0"/>
                  <w:vAlign w:val="center"/>
                </w:tcPr>
                <w:p>
                  <w:pPr>
                    <w:ind w:left="-126" w:leftChars="-60" w:right="-99" w:rightChars="-47"/>
                    <w:jc w:val="center"/>
                    <w:rPr>
                      <w:color w:val="auto"/>
                      <w:szCs w:val="21"/>
                    </w:rPr>
                  </w:pPr>
                  <w:r>
                    <w:rPr>
                      <w:color w:val="auto"/>
                      <w:szCs w:val="21"/>
                    </w:rPr>
                    <w:t>0.80</w:t>
                  </w:r>
                </w:p>
              </w:tc>
              <w:tc>
                <w:tcPr>
                  <w:tcW w:w="1468" w:type="dxa"/>
                  <w:noWrap w:val="0"/>
                  <w:vAlign w:val="center"/>
                </w:tcPr>
                <w:p>
                  <w:pPr>
                    <w:ind w:left="-126" w:leftChars="-60" w:right="-99" w:rightChars="-47"/>
                    <w:jc w:val="center"/>
                    <w:rPr>
                      <w:color w:val="auto"/>
                      <w:szCs w:val="21"/>
                    </w:rPr>
                  </w:pPr>
                  <w:r>
                    <w:rPr>
                      <w:color w:val="auto"/>
                      <w:szCs w:val="21"/>
                    </w:rPr>
                    <w:t>0.76</w:t>
                  </w:r>
                </w:p>
              </w:tc>
            </w:tr>
          </w:tbl>
          <w:p>
            <w:pPr>
              <w:spacing w:line="360" w:lineRule="auto"/>
              <w:ind w:firstLine="480" w:firstLineChars="200"/>
              <w:rPr>
                <w:color w:val="auto"/>
              </w:rPr>
            </w:pPr>
            <w:r>
              <w:rPr>
                <w:color w:val="auto"/>
                <w:sz w:val="24"/>
              </w:rPr>
              <w:t>根据监测结果，项目所在地区域环境空气非甲烷总烃小时值满足《大气污染物综合排放标准详解》（GB16297-1996）中推荐的小时浓度</w:t>
            </w:r>
            <w:r>
              <w:rPr>
                <w:rFonts w:hint="eastAsia"/>
                <w:color w:val="auto"/>
                <w:sz w:val="24"/>
              </w:rPr>
              <w:t>限</w:t>
            </w:r>
            <w:r>
              <w:rPr>
                <w:color w:val="auto"/>
                <w:sz w:val="24"/>
              </w:rPr>
              <w:t>值2mg/m</w:t>
            </w:r>
            <w:r>
              <w:rPr>
                <w:color w:val="auto"/>
                <w:sz w:val="24"/>
                <w:vertAlign w:val="superscript"/>
              </w:rPr>
              <w:t>3</w:t>
            </w:r>
            <w:r>
              <w:rPr>
                <w:rFonts w:hint="eastAsia"/>
                <w:color w:val="auto"/>
                <w:sz w:val="24"/>
              </w:rPr>
              <w:t>要求</w:t>
            </w:r>
            <w:r>
              <w:rPr>
                <w:color w:val="auto"/>
                <w:sz w:val="24"/>
              </w:rPr>
              <w:t>。</w:t>
            </w:r>
          </w:p>
          <w:p>
            <w:pPr>
              <w:autoSpaceDE w:val="0"/>
              <w:autoSpaceDN w:val="0"/>
              <w:adjustRightInd w:val="0"/>
              <w:spacing w:line="360" w:lineRule="auto"/>
              <w:ind w:firstLine="480" w:firstLineChars="200"/>
              <w:rPr>
                <w:color w:val="auto"/>
                <w:sz w:val="24"/>
              </w:rPr>
            </w:pPr>
            <w:r>
              <w:rPr>
                <w:color w:val="auto"/>
                <w:sz w:val="24"/>
              </w:rPr>
              <w:t>②二甲苯、锡及其化合物质量现状</w:t>
            </w:r>
          </w:p>
          <w:p>
            <w:pPr>
              <w:autoSpaceDE w:val="0"/>
              <w:autoSpaceDN w:val="0"/>
              <w:adjustRightInd w:val="0"/>
              <w:spacing w:line="360" w:lineRule="auto"/>
              <w:ind w:firstLine="480" w:firstLineChars="200"/>
              <w:rPr>
                <w:color w:val="auto"/>
              </w:rPr>
            </w:pPr>
            <w:r>
              <w:rPr>
                <w:color w:val="auto"/>
                <w:sz w:val="24"/>
              </w:rPr>
              <w:t>本项目环境空气二甲苯、锡及其化合物质量现状</w:t>
            </w:r>
            <w:r>
              <w:rPr>
                <w:rFonts w:hint="eastAsia"/>
                <w:color w:val="auto"/>
                <w:sz w:val="24"/>
              </w:rPr>
              <w:t>引用《</w:t>
            </w:r>
            <w:r>
              <w:rPr>
                <w:color w:val="auto"/>
                <w:kern w:val="0"/>
                <w:sz w:val="24"/>
              </w:rPr>
              <w:t>合肥晶澳太阳能科技有限公司1.5GW高效太阳能组件项目</w:t>
            </w:r>
            <w:r>
              <w:rPr>
                <w:rFonts w:hint="eastAsia"/>
                <w:color w:val="auto"/>
                <w:sz w:val="24"/>
              </w:rPr>
              <w:t>》监测数据，该项目于本项目位于同一厂区，</w:t>
            </w:r>
            <w:r>
              <w:rPr>
                <w:color w:val="auto"/>
                <w:sz w:val="24"/>
              </w:rPr>
              <w:t>监测时间为2020年7月5日~2020年7月11日，具体监测结果如下。</w:t>
            </w:r>
          </w:p>
          <w:p>
            <w:pPr>
              <w:widowControl/>
              <w:numPr>
                <w:ilvl w:val="0"/>
                <w:numId w:val="2"/>
              </w:numPr>
              <w:jc w:val="center"/>
              <w:rPr>
                <w:b/>
                <w:color w:val="auto"/>
                <w:kern w:val="0"/>
                <w:szCs w:val="21"/>
              </w:rPr>
            </w:pPr>
            <w:r>
              <w:rPr>
                <w:b/>
                <w:color w:val="auto"/>
                <w:kern w:val="0"/>
                <w:szCs w:val="21"/>
              </w:rPr>
              <w:t>环境空气二甲苯、锡及其化合物质量现状监测结果    单位：mg/m</w:t>
            </w:r>
            <w:r>
              <w:rPr>
                <w:b/>
                <w:color w:val="auto"/>
                <w:kern w:val="0"/>
                <w:szCs w:val="21"/>
                <w:vertAlign w:val="superscript"/>
              </w:rPr>
              <w:t>3</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926"/>
              <w:gridCol w:w="1686"/>
              <w:gridCol w:w="1686"/>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noWrap w:val="0"/>
                  <w:vAlign w:val="center"/>
                </w:tcPr>
                <w:p>
                  <w:pPr>
                    <w:ind w:left="-126" w:leftChars="-60" w:right="-99" w:rightChars="-47"/>
                    <w:jc w:val="center"/>
                    <w:rPr>
                      <w:color w:val="auto"/>
                      <w:szCs w:val="21"/>
                    </w:rPr>
                  </w:pPr>
                  <w:r>
                    <w:rPr>
                      <w:color w:val="auto"/>
                      <w:szCs w:val="21"/>
                    </w:rPr>
                    <w:t>监测项目</w:t>
                  </w:r>
                </w:p>
              </w:tc>
              <w:tc>
                <w:tcPr>
                  <w:tcW w:w="1926" w:type="dxa"/>
                  <w:noWrap w:val="0"/>
                  <w:vAlign w:val="center"/>
                </w:tcPr>
                <w:p>
                  <w:pPr>
                    <w:ind w:left="-126" w:leftChars="-60" w:right="-99" w:rightChars="-47"/>
                    <w:jc w:val="center"/>
                    <w:rPr>
                      <w:color w:val="auto"/>
                      <w:szCs w:val="21"/>
                    </w:rPr>
                  </w:pPr>
                  <w:r>
                    <w:rPr>
                      <w:color w:val="auto"/>
                      <w:szCs w:val="21"/>
                    </w:rPr>
                    <w:t>日期</w:t>
                  </w:r>
                </w:p>
              </w:tc>
              <w:tc>
                <w:tcPr>
                  <w:tcW w:w="1686" w:type="dxa"/>
                  <w:noWrap w:val="0"/>
                  <w:vAlign w:val="center"/>
                </w:tcPr>
                <w:p>
                  <w:pPr>
                    <w:ind w:left="-126" w:leftChars="-60" w:right="-99" w:rightChars="-47"/>
                    <w:jc w:val="center"/>
                    <w:rPr>
                      <w:color w:val="auto"/>
                      <w:szCs w:val="21"/>
                    </w:rPr>
                  </w:pPr>
                  <w:r>
                    <w:rPr>
                      <w:color w:val="auto"/>
                      <w:szCs w:val="21"/>
                    </w:rPr>
                    <w:t>G1</w:t>
                  </w:r>
                </w:p>
              </w:tc>
              <w:tc>
                <w:tcPr>
                  <w:tcW w:w="1686" w:type="dxa"/>
                  <w:noWrap w:val="0"/>
                  <w:vAlign w:val="center"/>
                </w:tcPr>
                <w:p>
                  <w:pPr>
                    <w:ind w:left="-126" w:leftChars="-60" w:right="-99" w:rightChars="-47"/>
                    <w:jc w:val="center"/>
                    <w:rPr>
                      <w:color w:val="auto"/>
                      <w:szCs w:val="21"/>
                    </w:rPr>
                  </w:pPr>
                  <w:r>
                    <w:rPr>
                      <w:color w:val="auto"/>
                      <w:szCs w:val="21"/>
                    </w:rPr>
                    <w:t>G2</w:t>
                  </w:r>
                </w:p>
              </w:tc>
              <w:tc>
                <w:tcPr>
                  <w:tcW w:w="1688" w:type="dxa"/>
                  <w:noWrap w:val="0"/>
                  <w:vAlign w:val="center"/>
                </w:tcPr>
                <w:p>
                  <w:pPr>
                    <w:ind w:left="-126" w:leftChars="-60" w:right="-99" w:rightChars="-47"/>
                    <w:jc w:val="center"/>
                    <w:rPr>
                      <w:color w:val="auto"/>
                      <w:szCs w:val="21"/>
                    </w:rPr>
                  </w:pPr>
                  <w:r>
                    <w:rPr>
                      <w:color w:val="auto"/>
                      <w:szCs w:val="21"/>
                    </w:rPr>
                    <w:t>G3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restart"/>
                  <w:noWrap w:val="0"/>
                  <w:vAlign w:val="center"/>
                </w:tcPr>
                <w:p>
                  <w:pPr>
                    <w:ind w:left="-126" w:leftChars="-60" w:right="-99" w:rightChars="-47"/>
                    <w:jc w:val="center"/>
                    <w:rPr>
                      <w:color w:val="auto"/>
                      <w:szCs w:val="21"/>
                    </w:rPr>
                  </w:pPr>
                  <w:r>
                    <w:rPr>
                      <w:color w:val="auto"/>
                      <w:szCs w:val="21"/>
                    </w:rPr>
                    <w:t>二甲苯</w:t>
                  </w:r>
                </w:p>
              </w:tc>
              <w:tc>
                <w:tcPr>
                  <w:tcW w:w="1926" w:type="dxa"/>
                  <w:noWrap w:val="0"/>
                  <w:vAlign w:val="center"/>
                </w:tcPr>
                <w:p>
                  <w:pPr>
                    <w:ind w:left="-126" w:leftChars="-60" w:right="-99" w:rightChars="-47"/>
                    <w:jc w:val="center"/>
                    <w:rPr>
                      <w:color w:val="auto"/>
                      <w:szCs w:val="21"/>
                    </w:rPr>
                  </w:pPr>
                  <w:r>
                    <w:rPr>
                      <w:color w:val="auto"/>
                      <w:szCs w:val="21"/>
                    </w:rPr>
                    <w:t>2020年7月5日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6</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7</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8</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9</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10</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11</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restart"/>
                  <w:noWrap w:val="0"/>
                  <w:vAlign w:val="center"/>
                </w:tcPr>
                <w:p>
                  <w:pPr>
                    <w:ind w:left="-126" w:leftChars="-60" w:right="-99" w:rightChars="-47"/>
                    <w:jc w:val="center"/>
                    <w:rPr>
                      <w:color w:val="auto"/>
                      <w:szCs w:val="21"/>
                    </w:rPr>
                  </w:pPr>
                  <w:r>
                    <w:rPr>
                      <w:color w:val="auto"/>
                      <w:szCs w:val="21"/>
                    </w:rPr>
                    <w:t>锡及其化合物</w:t>
                  </w:r>
                </w:p>
              </w:tc>
              <w:tc>
                <w:tcPr>
                  <w:tcW w:w="1926" w:type="dxa"/>
                  <w:noWrap w:val="0"/>
                  <w:vAlign w:val="center"/>
                </w:tcPr>
                <w:p>
                  <w:pPr>
                    <w:ind w:left="-126" w:leftChars="-60" w:right="-99" w:rightChars="-47"/>
                    <w:jc w:val="center"/>
                    <w:rPr>
                      <w:color w:val="auto"/>
                      <w:szCs w:val="21"/>
                    </w:rPr>
                  </w:pPr>
                  <w:r>
                    <w:rPr>
                      <w:color w:val="auto"/>
                      <w:szCs w:val="21"/>
                    </w:rPr>
                    <w:t>2020年7月5日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6</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7</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8</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9</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10</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991" w:type="dxa"/>
                  <w:vMerge w:val="continue"/>
                  <w:noWrap w:val="0"/>
                  <w:vAlign w:val="center"/>
                </w:tcPr>
                <w:p>
                  <w:pPr>
                    <w:ind w:left="-126" w:leftChars="-60" w:right="-99" w:rightChars="-47"/>
                    <w:jc w:val="center"/>
                    <w:rPr>
                      <w:color w:val="auto"/>
                      <w:szCs w:val="21"/>
                    </w:rPr>
                  </w:pPr>
                </w:p>
              </w:tc>
              <w:tc>
                <w:tcPr>
                  <w:tcW w:w="1926" w:type="dxa"/>
                  <w:noWrap w:val="0"/>
                  <w:vAlign w:val="center"/>
                </w:tcPr>
                <w:p>
                  <w:pPr>
                    <w:ind w:left="-126" w:leftChars="-60" w:right="-99" w:rightChars="-47"/>
                    <w:jc w:val="center"/>
                    <w:rPr>
                      <w:color w:val="auto"/>
                      <w:szCs w:val="21"/>
                    </w:rPr>
                  </w:pPr>
                  <w:r>
                    <w:rPr>
                      <w:color w:val="auto"/>
                      <w:szCs w:val="21"/>
                    </w:rPr>
                    <w:t>2020年7月</w:t>
                  </w:r>
                  <w:r>
                    <w:rPr>
                      <w:rFonts w:hint="eastAsia"/>
                      <w:color w:val="auto"/>
                      <w:szCs w:val="21"/>
                      <w:lang w:val="en-US" w:eastAsia="zh-CN"/>
                    </w:rPr>
                    <w:t>11</w:t>
                  </w:r>
                  <w:r>
                    <w:rPr>
                      <w:color w:val="auto"/>
                      <w:szCs w:val="21"/>
                    </w:rPr>
                    <w:t>日</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6"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c>
                <w:tcPr>
                  <w:tcW w:w="1688" w:type="dxa"/>
                  <w:noWrap w:val="0"/>
                  <w:vAlign w:val="center"/>
                </w:tcPr>
                <w:p>
                  <w:pPr>
                    <w:ind w:left="-126" w:leftChars="-60" w:right="-99" w:rightChars="-47"/>
                    <w:jc w:val="center"/>
                    <w:rPr>
                      <w:color w:val="auto"/>
                      <w:szCs w:val="21"/>
                    </w:rPr>
                  </w:pPr>
                  <w:r>
                    <w:rPr>
                      <w:color w:val="auto"/>
                      <w:szCs w:val="21"/>
                    </w:rPr>
                    <w:t>&lt;</w:t>
                  </w:r>
                  <w:r>
                    <w:rPr>
                      <w:rFonts w:hint="eastAsia"/>
                      <w:color w:val="auto"/>
                      <w:szCs w:val="21"/>
                    </w:rPr>
                    <w:t>0.03</w:t>
                  </w:r>
                </w:p>
              </w:tc>
            </w:tr>
          </w:tbl>
          <w:p>
            <w:pPr>
              <w:spacing w:line="360" w:lineRule="auto"/>
              <w:ind w:firstLine="480" w:firstLineChars="200"/>
              <w:rPr>
                <w:color w:val="auto"/>
                <w:sz w:val="24"/>
                <w:szCs w:val="32"/>
              </w:rPr>
            </w:pPr>
          </w:p>
          <w:p>
            <w:pPr>
              <w:pStyle w:val="56"/>
              <w:rPr>
                <w:rFonts w:ascii="Times New Roman" w:hAnsi="Times New Roman" w:eastAsia="宋体" w:cs="Times New Roman"/>
                <w:color w:val="auto"/>
              </w:rPr>
            </w:pPr>
            <w:r>
              <w:rPr>
                <w:color w:val="auto"/>
              </w:rPr>
              <w:pict>
                <v:shape id="_x0000_i1029" o:spt="75" type="#_x0000_t75" style="height:330.6pt;width:390.6pt;" filled="f" stroked="f" coordsize="21600,21600">
                  <v:path/>
                  <v:fill on="f" focussize="0,0"/>
                  <v:stroke on="f"/>
                  <v:imagedata r:id="rId17" o:title=""/>
                  <o:lock v:ext="edit" aspectratio="t"/>
                  <w10:wrap type="none"/>
                  <w10:anchorlock/>
                </v:shape>
              </w:pict>
            </w:r>
          </w:p>
          <w:p>
            <w:pPr>
              <w:autoSpaceDE w:val="0"/>
              <w:autoSpaceDN w:val="0"/>
              <w:adjustRightInd w:val="0"/>
              <w:spacing w:line="360" w:lineRule="auto"/>
              <w:ind w:firstLine="422" w:firstLineChars="200"/>
              <w:jc w:val="center"/>
              <w:rPr>
                <w:b/>
                <w:bCs/>
                <w:color w:val="auto"/>
                <w:szCs w:val="21"/>
              </w:rPr>
            </w:pPr>
            <w:r>
              <w:rPr>
                <w:b/>
                <w:bCs/>
                <w:color w:val="auto"/>
                <w:szCs w:val="21"/>
              </w:rPr>
              <w:t>图</w:t>
            </w:r>
            <w:r>
              <w:rPr>
                <w:rFonts w:hint="eastAsia"/>
                <w:b/>
                <w:bCs/>
                <w:color w:val="auto"/>
                <w:szCs w:val="21"/>
                <w:lang w:val="en-US" w:eastAsia="zh-CN"/>
              </w:rPr>
              <w:t>6</w:t>
            </w:r>
            <w:r>
              <w:rPr>
                <w:b/>
                <w:bCs/>
                <w:color w:val="auto"/>
                <w:szCs w:val="21"/>
              </w:rPr>
              <w:t xml:space="preserve"> </w:t>
            </w:r>
            <w:r>
              <w:rPr>
                <w:rFonts w:hint="eastAsia"/>
                <w:b/>
                <w:bCs/>
                <w:color w:val="auto"/>
                <w:szCs w:val="21"/>
              </w:rPr>
              <w:t xml:space="preserve"> </w:t>
            </w:r>
            <w:r>
              <w:rPr>
                <w:b/>
                <w:bCs/>
                <w:color w:val="auto"/>
                <w:szCs w:val="21"/>
              </w:rPr>
              <w:t>环境空气二甲苯、锡及其化合物现状监测点位图</w:t>
            </w:r>
          </w:p>
          <w:p>
            <w:pPr>
              <w:spacing w:line="360" w:lineRule="auto"/>
              <w:ind w:firstLine="480" w:firstLineChars="200"/>
              <w:rPr>
                <w:color w:val="auto"/>
                <w:sz w:val="24"/>
              </w:rPr>
            </w:pPr>
            <w:r>
              <w:rPr>
                <w:color w:val="auto"/>
                <w:sz w:val="24"/>
              </w:rPr>
              <w:t>根据监测结果，项目所在地区域环境空气二甲苯质量现状满足《环境影响评级技术导则大气环境》（HJ2.2-2018）中附录D中浓度限值0.2mg/m</w:t>
            </w:r>
            <w:r>
              <w:rPr>
                <w:color w:val="auto"/>
                <w:sz w:val="24"/>
                <w:vertAlign w:val="superscript"/>
              </w:rPr>
              <w:t>3</w:t>
            </w:r>
            <w:r>
              <w:rPr>
                <w:color w:val="auto"/>
                <w:sz w:val="24"/>
              </w:rPr>
              <w:t>要求</w:t>
            </w:r>
            <w:r>
              <w:rPr>
                <w:rFonts w:hint="eastAsia"/>
                <w:color w:val="auto"/>
                <w:sz w:val="24"/>
                <w:lang w:eastAsia="zh-CN"/>
              </w:rPr>
              <w:t>，</w:t>
            </w:r>
            <w:r>
              <w:rPr>
                <w:color w:val="auto"/>
                <w:sz w:val="24"/>
              </w:rPr>
              <w:t>锡及其化合物质量现状够满足《大气污染物综合排放标准详解》中浓度限值0.06mg/m</w:t>
            </w:r>
            <w:r>
              <w:rPr>
                <w:color w:val="auto"/>
                <w:sz w:val="24"/>
                <w:vertAlign w:val="superscript"/>
              </w:rPr>
              <w:t>3</w:t>
            </w:r>
            <w:r>
              <w:rPr>
                <w:color w:val="auto"/>
                <w:sz w:val="24"/>
              </w:rPr>
              <w:t>要求。</w:t>
            </w:r>
          </w:p>
          <w:p>
            <w:pPr>
              <w:spacing w:line="360" w:lineRule="auto"/>
              <w:ind w:firstLine="482" w:firstLineChars="200"/>
              <w:rPr>
                <w:b/>
                <w:bCs/>
                <w:color w:val="auto"/>
                <w:sz w:val="24"/>
                <w:szCs w:val="32"/>
              </w:rPr>
            </w:pPr>
            <w:r>
              <w:rPr>
                <w:rFonts w:hint="eastAsia"/>
                <w:b/>
                <w:bCs/>
                <w:color w:val="auto"/>
                <w:sz w:val="24"/>
                <w:szCs w:val="32"/>
                <w:lang w:eastAsia="zh-CN"/>
              </w:rPr>
              <w:t>（二）</w:t>
            </w:r>
            <w:r>
              <w:rPr>
                <w:b/>
                <w:bCs/>
                <w:color w:val="auto"/>
                <w:sz w:val="24"/>
                <w:szCs w:val="32"/>
              </w:rPr>
              <w:t>地表水环境质量现状</w:t>
            </w:r>
          </w:p>
          <w:p>
            <w:pPr>
              <w:spacing w:line="360" w:lineRule="auto"/>
              <w:ind w:firstLine="420" w:firstLineChars="175"/>
              <w:rPr>
                <w:color w:val="auto"/>
                <w:sz w:val="24"/>
                <w:szCs w:val="32"/>
              </w:rPr>
            </w:pPr>
            <w:r>
              <w:rPr>
                <w:color w:val="auto"/>
                <w:sz w:val="24"/>
                <w:szCs w:val="32"/>
              </w:rPr>
              <w:t>本项目纳污水体为</w:t>
            </w:r>
            <w:r>
              <w:rPr>
                <w:rFonts w:hint="eastAsia"/>
                <w:color w:val="auto"/>
                <w:sz w:val="24"/>
                <w:szCs w:val="32"/>
              </w:rPr>
              <w:t>派河</w:t>
            </w:r>
            <w:r>
              <w:rPr>
                <w:color w:val="auto"/>
                <w:sz w:val="24"/>
                <w:szCs w:val="32"/>
              </w:rPr>
              <w:t>，</w:t>
            </w:r>
            <w:r>
              <w:rPr>
                <w:color w:val="auto"/>
                <w:sz w:val="24"/>
              </w:rPr>
              <w:t>根据《2021年合肥市生态环境状况公报》</w:t>
            </w:r>
            <w:r>
              <w:rPr>
                <w:rFonts w:hint="eastAsia"/>
                <w:color w:val="auto"/>
                <w:sz w:val="24"/>
              </w:rPr>
              <w:t>，本项目区域地表水</w:t>
            </w:r>
            <w:r>
              <w:rPr>
                <w:color w:val="auto"/>
                <w:sz w:val="24"/>
              </w:rPr>
              <w:t>派河的氨氮和总磷浓度均呈下降趋势</w:t>
            </w:r>
            <w:r>
              <w:rPr>
                <w:rFonts w:hint="eastAsia"/>
                <w:color w:val="auto"/>
                <w:sz w:val="24"/>
              </w:rPr>
              <w:t>，</w:t>
            </w:r>
            <w:r>
              <w:rPr>
                <w:color w:val="auto"/>
                <w:sz w:val="24"/>
              </w:rPr>
              <w:t>派河氨氮和总磷浓度分别为0.89mg/L和0.145mg/L ，较去年同期分别下降24.57%和4.61%。根据合肥市《南淝河、十五里河、派河、双桥河水体达标方案》，拟通过外源截污、底泥清淤、水生生态修复、旁路人工湿地净化、生态补水，加强周边企业监管，严格环境执法、完善排污许可制度和总量控制等措施，确保</w:t>
            </w:r>
            <w:r>
              <w:rPr>
                <w:rFonts w:hint="eastAsia"/>
                <w:color w:val="auto"/>
                <w:sz w:val="24"/>
              </w:rPr>
              <w:t>派河</w:t>
            </w:r>
            <w:r>
              <w:rPr>
                <w:color w:val="auto"/>
                <w:sz w:val="24"/>
              </w:rPr>
              <w:t>水质达标。</w:t>
            </w:r>
          </w:p>
          <w:p>
            <w:pPr>
              <w:spacing w:line="360" w:lineRule="auto"/>
              <w:ind w:firstLine="482" w:firstLineChars="200"/>
              <w:rPr>
                <w:b/>
                <w:bCs/>
                <w:color w:val="auto"/>
                <w:sz w:val="24"/>
              </w:rPr>
            </w:pPr>
            <w:r>
              <w:rPr>
                <w:rFonts w:hint="eastAsia"/>
                <w:b/>
                <w:bCs/>
                <w:color w:val="auto"/>
                <w:sz w:val="24"/>
                <w:lang w:eastAsia="zh-CN"/>
              </w:rPr>
              <w:t>（三）</w:t>
            </w:r>
            <w:r>
              <w:rPr>
                <w:b/>
                <w:bCs/>
                <w:color w:val="auto"/>
                <w:sz w:val="24"/>
              </w:rPr>
              <w:t>声环境质量现状</w:t>
            </w:r>
          </w:p>
          <w:p>
            <w:pPr>
              <w:pStyle w:val="9"/>
              <w:spacing w:line="360" w:lineRule="auto"/>
              <w:ind w:firstLine="480"/>
              <w:rPr>
                <w:color w:val="auto"/>
                <w:sz w:val="24"/>
                <w:szCs w:val="32"/>
              </w:rPr>
            </w:pPr>
            <w:r>
              <w:rPr>
                <w:rFonts w:hint="eastAsia"/>
                <w:bCs/>
                <w:color w:val="auto"/>
                <w:sz w:val="24"/>
                <w:szCs w:val="28"/>
                <w:lang w:eastAsia="zh-CN"/>
              </w:rPr>
              <w:t>本</w:t>
            </w:r>
            <w:r>
              <w:rPr>
                <w:bCs/>
                <w:color w:val="auto"/>
                <w:sz w:val="24"/>
                <w:szCs w:val="28"/>
              </w:rPr>
              <w:t>项目区域声环境质量现状</w:t>
            </w:r>
            <w:r>
              <w:rPr>
                <w:rFonts w:hint="eastAsia"/>
                <w:color w:val="auto"/>
                <w:sz w:val="24"/>
              </w:rPr>
              <w:t>引用《</w:t>
            </w:r>
            <w:r>
              <w:rPr>
                <w:color w:val="auto"/>
                <w:kern w:val="0"/>
                <w:sz w:val="24"/>
                <w:szCs w:val="24"/>
              </w:rPr>
              <w:t>合肥晶澳太阳能科技有限公司</w:t>
            </w:r>
            <w:r>
              <w:rPr>
                <w:rFonts w:hint="eastAsia"/>
                <w:color w:val="auto"/>
                <w:kern w:val="0"/>
                <w:sz w:val="24"/>
                <w:szCs w:val="24"/>
              </w:rPr>
              <w:t>2022年第二季度环境监测报告</w:t>
            </w:r>
            <w:r>
              <w:rPr>
                <w:rFonts w:hint="eastAsia"/>
                <w:color w:val="auto"/>
                <w:sz w:val="24"/>
              </w:rPr>
              <w:t>》中监测数据</w:t>
            </w:r>
            <w:r>
              <w:rPr>
                <w:bCs/>
                <w:color w:val="auto"/>
                <w:sz w:val="24"/>
                <w:szCs w:val="28"/>
              </w:rPr>
              <w:t>，监测时间为202</w:t>
            </w:r>
            <w:r>
              <w:rPr>
                <w:rFonts w:hint="eastAsia"/>
                <w:bCs/>
                <w:color w:val="auto"/>
                <w:sz w:val="24"/>
                <w:szCs w:val="28"/>
              </w:rPr>
              <w:t>2</w:t>
            </w:r>
            <w:r>
              <w:rPr>
                <w:bCs/>
                <w:color w:val="auto"/>
                <w:sz w:val="24"/>
                <w:szCs w:val="28"/>
              </w:rPr>
              <w:t>年4月</w:t>
            </w:r>
            <w:r>
              <w:rPr>
                <w:rFonts w:hint="eastAsia"/>
                <w:bCs/>
                <w:color w:val="auto"/>
                <w:sz w:val="24"/>
                <w:szCs w:val="28"/>
              </w:rPr>
              <w:t>2</w:t>
            </w:r>
            <w:r>
              <w:rPr>
                <w:bCs/>
                <w:color w:val="auto"/>
                <w:sz w:val="24"/>
                <w:szCs w:val="28"/>
              </w:rPr>
              <w:t>6日，监测结果如下：</w:t>
            </w:r>
          </w:p>
          <w:p>
            <w:pPr>
              <w:widowControl/>
              <w:numPr>
                <w:ilvl w:val="0"/>
                <w:numId w:val="2"/>
              </w:numPr>
              <w:jc w:val="center"/>
              <w:rPr>
                <w:b/>
                <w:color w:val="auto"/>
                <w:kern w:val="0"/>
                <w:szCs w:val="21"/>
              </w:rPr>
            </w:pPr>
            <w:r>
              <w:rPr>
                <w:b/>
                <w:color w:val="auto"/>
                <w:kern w:val="0"/>
                <w:szCs w:val="21"/>
              </w:rPr>
              <w:t>声环境质量现状监测结果   单位：dB(A)</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833"/>
              <w:gridCol w:w="1071"/>
              <w:gridCol w:w="1417"/>
              <w:gridCol w:w="1333"/>
              <w:gridCol w:w="1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vMerge w:val="restart"/>
                  <w:noWrap w:val="0"/>
                  <w:vAlign w:val="center"/>
                </w:tcPr>
                <w:p>
                  <w:pPr>
                    <w:ind w:left="-126" w:leftChars="-60" w:right="-99" w:rightChars="-47"/>
                    <w:jc w:val="center"/>
                    <w:rPr>
                      <w:color w:val="auto"/>
                      <w:szCs w:val="21"/>
                    </w:rPr>
                  </w:pPr>
                  <w:r>
                    <w:rPr>
                      <w:color w:val="auto"/>
                      <w:szCs w:val="21"/>
                    </w:rPr>
                    <w:t>序号</w:t>
                  </w:r>
                </w:p>
              </w:tc>
              <w:tc>
                <w:tcPr>
                  <w:tcW w:w="1833" w:type="dxa"/>
                  <w:vMerge w:val="restart"/>
                  <w:noWrap w:val="0"/>
                  <w:vAlign w:val="center"/>
                </w:tcPr>
                <w:p>
                  <w:pPr>
                    <w:ind w:left="-126" w:leftChars="-60" w:right="-99" w:rightChars="-47"/>
                    <w:jc w:val="center"/>
                    <w:rPr>
                      <w:color w:val="auto"/>
                      <w:szCs w:val="21"/>
                    </w:rPr>
                  </w:pPr>
                  <w:r>
                    <w:rPr>
                      <w:color w:val="auto"/>
                      <w:szCs w:val="21"/>
                    </w:rPr>
                    <w:t>监测点位</w:t>
                  </w:r>
                </w:p>
              </w:tc>
              <w:tc>
                <w:tcPr>
                  <w:tcW w:w="2488" w:type="dxa"/>
                  <w:gridSpan w:val="2"/>
                  <w:noWrap w:val="0"/>
                  <w:vAlign w:val="center"/>
                </w:tcPr>
                <w:p>
                  <w:pPr>
                    <w:ind w:left="-126" w:leftChars="-60" w:right="-99" w:rightChars="-47"/>
                    <w:jc w:val="center"/>
                    <w:rPr>
                      <w:color w:val="auto"/>
                      <w:szCs w:val="21"/>
                    </w:rPr>
                  </w:pPr>
                  <w:r>
                    <w:rPr>
                      <w:color w:val="auto"/>
                      <w:szCs w:val="21"/>
                    </w:rPr>
                    <w:t>202</w:t>
                  </w:r>
                  <w:r>
                    <w:rPr>
                      <w:rFonts w:hint="eastAsia"/>
                      <w:color w:val="auto"/>
                      <w:szCs w:val="21"/>
                    </w:rPr>
                    <w:t>2</w:t>
                  </w:r>
                  <w:r>
                    <w:rPr>
                      <w:color w:val="auto"/>
                      <w:szCs w:val="21"/>
                    </w:rPr>
                    <w:t>年4月</w:t>
                  </w:r>
                  <w:r>
                    <w:rPr>
                      <w:rFonts w:hint="eastAsia"/>
                      <w:color w:val="auto"/>
                      <w:szCs w:val="21"/>
                    </w:rPr>
                    <w:t>2</w:t>
                  </w:r>
                  <w:r>
                    <w:rPr>
                      <w:color w:val="auto"/>
                      <w:szCs w:val="21"/>
                    </w:rPr>
                    <w:t>6日</w:t>
                  </w:r>
                </w:p>
              </w:tc>
              <w:tc>
                <w:tcPr>
                  <w:tcW w:w="2667" w:type="dxa"/>
                  <w:gridSpan w:val="2"/>
                  <w:noWrap w:val="0"/>
                  <w:vAlign w:val="center"/>
                </w:tcPr>
                <w:p>
                  <w:pPr>
                    <w:ind w:left="-126" w:leftChars="-60" w:right="-99" w:rightChars="-47"/>
                    <w:jc w:val="center"/>
                    <w:rPr>
                      <w:rFonts w:hint="eastAsia"/>
                      <w:color w:val="auto"/>
                      <w:szCs w:val="21"/>
                    </w:rPr>
                  </w:pPr>
                  <w:r>
                    <w:rPr>
                      <w:rFonts w:hint="eastAsia"/>
                      <w:color w:val="auto"/>
                      <w:szCs w:val="21"/>
                    </w:rPr>
                    <w:t>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vMerge w:val="continue"/>
                  <w:noWrap w:val="0"/>
                  <w:vAlign w:val="center"/>
                </w:tcPr>
                <w:p>
                  <w:pPr>
                    <w:ind w:left="-126" w:leftChars="-60" w:right="-99" w:rightChars="-47"/>
                    <w:jc w:val="center"/>
                    <w:rPr>
                      <w:color w:val="auto"/>
                      <w:szCs w:val="21"/>
                    </w:rPr>
                  </w:pPr>
                </w:p>
              </w:tc>
              <w:tc>
                <w:tcPr>
                  <w:tcW w:w="1833" w:type="dxa"/>
                  <w:vMerge w:val="continue"/>
                  <w:noWrap w:val="0"/>
                  <w:vAlign w:val="center"/>
                </w:tcPr>
                <w:p>
                  <w:pPr>
                    <w:ind w:left="-126" w:leftChars="-60" w:right="-99" w:rightChars="-47"/>
                    <w:jc w:val="center"/>
                    <w:rPr>
                      <w:color w:val="auto"/>
                      <w:szCs w:val="21"/>
                    </w:rPr>
                  </w:pPr>
                </w:p>
              </w:tc>
              <w:tc>
                <w:tcPr>
                  <w:tcW w:w="1071" w:type="dxa"/>
                  <w:noWrap w:val="0"/>
                  <w:vAlign w:val="center"/>
                </w:tcPr>
                <w:p>
                  <w:pPr>
                    <w:ind w:left="-126" w:leftChars="-60" w:right="-99" w:rightChars="-47"/>
                    <w:jc w:val="center"/>
                    <w:rPr>
                      <w:color w:val="auto"/>
                      <w:szCs w:val="21"/>
                    </w:rPr>
                  </w:pPr>
                  <w:r>
                    <w:rPr>
                      <w:color w:val="auto"/>
                      <w:szCs w:val="21"/>
                    </w:rPr>
                    <w:t>昼间</w:t>
                  </w:r>
                </w:p>
              </w:tc>
              <w:tc>
                <w:tcPr>
                  <w:tcW w:w="1417" w:type="dxa"/>
                  <w:noWrap w:val="0"/>
                  <w:vAlign w:val="center"/>
                </w:tcPr>
                <w:p>
                  <w:pPr>
                    <w:ind w:left="-126" w:leftChars="-60" w:right="-99" w:rightChars="-47"/>
                    <w:jc w:val="center"/>
                    <w:rPr>
                      <w:color w:val="auto"/>
                      <w:szCs w:val="21"/>
                    </w:rPr>
                  </w:pPr>
                  <w:r>
                    <w:rPr>
                      <w:color w:val="auto"/>
                      <w:szCs w:val="21"/>
                    </w:rPr>
                    <w:t>夜间</w:t>
                  </w:r>
                </w:p>
              </w:tc>
              <w:tc>
                <w:tcPr>
                  <w:tcW w:w="1333" w:type="dxa"/>
                  <w:noWrap w:val="0"/>
                  <w:vAlign w:val="center"/>
                </w:tcPr>
                <w:p>
                  <w:pPr>
                    <w:ind w:left="-126" w:leftChars="-60" w:right="-99" w:rightChars="-47"/>
                    <w:jc w:val="center"/>
                    <w:rPr>
                      <w:color w:val="auto"/>
                      <w:szCs w:val="21"/>
                    </w:rPr>
                  </w:pPr>
                  <w:r>
                    <w:rPr>
                      <w:color w:val="auto"/>
                      <w:szCs w:val="21"/>
                    </w:rPr>
                    <w:t>昼间</w:t>
                  </w:r>
                </w:p>
              </w:tc>
              <w:tc>
                <w:tcPr>
                  <w:tcW w:w="1334" w:type="dxa"/>
                  <w:noWrap w:val="0"/>
                  <w:vAlign w:val="center"/>
                </w:tcPr>
                <w:p>
                  <w:pPr>
                    <w:ind w:left="-126" w:leftChars="-60" w:right="-99" w:rightChars="-47"/>
                    <w:jc w:val="center"/>
                    <w:rPr>
                      <w:color w:val="auto"/>
                      <w:szCs w:val="21"/>
                    </w:rPr>
                  </w:pPr>
                  <w:r>
                    <w:rPr>
                      <w:color w:val="auto"/>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pPr>
                    <w:ind w:left="-126" w:leftChars="-60" w:right="-99" w:rightChars="-47"/>
                    <w:jc w:val="center"/>
                    <w:rPr>
                      <w:color w:val="auto"/>
                      <w:szCs w:val="21"/>
                    </w:rPr>
                  </w:pPr>
                  <w:r>
                    <w:rPr>
                      <w:color w:val="auto"/>
                      <w:szCs w:val="21"/>
                    </w:rPr>
                    <w:t>1</w:t>
                  </w:r>
                </w:p>
              </w:tc>
              <w:tc>
                <w:tcPr>
                  <w:tcW w:w="1833" w:type="dxa"/>
                  <w:noWrap w:val="0"/>
                  <w:vAlign w:val="center"/>
                </w:tcPr>
                <w:p>
                  <w:pPr>
                    <w:ind w:left="-126" w:leftChars="-60" w:right="-99" w:rightChars="-47"/>
                    <w:jc w:val="center"/>
                    <w:rPr>
                      <w:color w:val="auto"/>
                      <w:szCs w:val="21"/>
                    </w:rPr>
                  </w:pPr>
                  <w:r>
                    <w:rPr>
                      <w:color w:val="auto"/>
                      <w:szCs w:val="21"/>
                    </w:rPr>
                    <w:t>厂界东</w:t>
                  </w:r>
                </w:p>
              </w:tc>
              <w:tc>
                <w:tcPr>
                  <w:tcW w:w="1071" w:type="dxa"/>
                  <w:noWrap w:val="0"/>
                  <w:vAlign w:val="center"/>
                </w:tcPr>
                <w:p>
                  <w:pPr>
                    <w:ind w:left="-126" w:leftChars="-60" w:right="-99" w:rightChars="-47"/>
                    <w:jc w:val="center"/>
                    <w:rPr>
                      <w:color w:val="auto"/>
                      <w:szCs w:val="21"/>
                    </w:rPr>
                  </w:pPr>
                  <w:r>
                    <w:rPr>
                      <w:rFonts w:hint="eastAsia"/>
                      <w:color w:val="auto"/>
                      <w:szCs w:val="21"/>
                    </w:rPr>
                    <w:t>55.5</w:t>
                  </w:r>
                </w:p>
              </w:tc>
              <w:tc>
                <w:tcPr>
                  <w:tcW w:w="1417" w:type="dxa"/>
                  <w:noWrap w:val="0"/>
                  <w:vAlign w:val="center"/>
                </w:tcPr>
                <w:p>
                  <w:pPr>
                    <w:ind w:left="-126" w:leftChars="-60" w:right="-99" w:rightChars="-47"/>
                    <w:jc w:val="center"/>
                    <w:rPr>
                      <w:color w:val="auto"/>
                      <w:szCs w:val="21"/>
                    </w:rPr>
                  </w:pPr>
                  <w:r>
                    <w:rPr>
                      <w:rFonts w:hint="eastAsia"/>
                      <w:color w:val="auto"/>
                      <w:szCs w:val="21"/>
                    </w:rPr>
                    <w:t>44.7</w:t>
                  </w:r>
                </w:p>
              </w:tc>
              <w:tc>
                <w:tcPr>
                  <w:tcW w:w="1333" w:type="dxa"/>
                  <w:vMerge w:val="restart"/>
                  <w:noWrap w:val="0"/>
                  <w:vAlign w:val="center"/>
                </w:tcPr>
                <w:p>
                  <w:pPr>
                    <w:ind w:left="-126" w:leftChars="-60" w:right="-99" w:rightChars="-47"/>
                    <w:jc w:val="center"/>
                    <w:rPr>
                      <w:color w:val="auto"/>
                      <w:szCs w:val="21"/>
                    </w:rPr>
                  </w:pPr>
                  <w:r>
                    <w:rPr>
                      <w:rFonts w:hint="eastAsia"/>
                      <w:color w:val="auto"/>
                      <w:szCs w:val="21"/>
                    </w:rPr>
                    <w:t>65</w:t>
                  </w:r>
                </w:p>
              </w:tc>
              <w:tc>
                <w:tcPr>
                  <w:tcW w:w="1334" w:type="dxa"/>
                  <w:vMerge w:val="restart"/>
                  <w:noWrap w:val="0"/>
                  <w:vAlign w:val="center"/>
                </w:tcPr>
                <w:p>
                  <w:pPr>
                    <w:ind w:left="-126" w:leftChars="-60" w:right="-99" w:rightChars="-47"/>
                    <w:jc w:val="center"/>
                    <w:rPr>
                      <w:rFonts w:hint="default" w:eastAsia="宋体"/>
                      <w:color w:val="auto"/>
                      <w:szCs w:val="21"/>
                      <w:lang w:val="en-US" w:eastAsia="zh-CN"/>
                    </w:rPr>
                  </w:pPr>
                  <w:r>
                    <w:rPr>
                      <w:rFonts w:hint="eastAsia"/>
                      <w:color w:val="auto"/>
                      <w:szCs w:val="21"/>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pPr>
                    <w:ind w:left="-126" w:leftChars="-60" w:right="-99" w:rightChars="-47"/>
                    <w:jc w:val="center"/>
                    <w:rPr>
                      <w:color w:val="auto"/>
                      <w:szCs w:val="21"/>
                    </w:rPr>
                  </w:pPr>
                  <w:r>
                    <w:rPr>
                      <w:color w:val="auto"/>
                      <w:szCs w:val="21"/>
                    </w:rPr>
                    <w:t>2</w:t>
                  </w:r>
                </w:p>
              </w:tc>
              <w:tc>
                <w:tcPr>
                  <w:tcW w:w="1833" w:type="dxa"/>
                  <w:noWrap w:val="0"/>
                  <w:vAlign w:val="center"/>
                </w:tcPr>
                <w:p>
                  <w:pPr>
                    <w:ind w:left="-126" w:leftChars="-60" w:right="-99" w:rightChars="-47"/>
                    <w:jc w:val="center"/>
                    <w:rPr>
                      <w:color w:val="auto"/>
                      <w:szCs w:val="21"/>
                    </w:rPr>
                  </w:pPr>
                  <w:r>
                    <w:rPr>
                      <w:color w:val="auto"/>
                      <w:szCs w:val="21"/>
                    </w:rPr>
                    <w:t>厂界南</w:t>
                  </w:r>
                </w:p>
              </w:tc>
              <w:tc>
                <w:tcPr>
                  <w:tcW w:w="1071" w:type="dxa"/>
                  <w:noWrap w:val="0"/>
                  <w:vAlign w:val="center"/>
                </w:tcPr>
                <w:p>
                  <w:pPr>
                    <w:ind w:left="-126" w:leftChars="-60" w:right="-99" w:rightChars="-47"/>
                    <w:jc w:val="center"/>
                    <w:rPr>
                      <w:color w:val="auto"/>
                      <w:szCs w:val="21"/>
                    </w:rPr>
                  </w:pPr>
                  <w:r>
                    <w:rPr>
                      <w:rFonts w:hint="eastAsia"/>
                      <w:color w:val="auto"/>
                      <w:szCs w:val="21"/>
                    </w:rPr>
                    <w:t>56.5</w:t>
                  </w:r>
                </w:p>
              </w:tc>
              <w:tc>
                <w:tcPr>
                  <w:tcW w:w="1417" w:type="dxa"/>
                  <w:noWrap w:val="0"/>
                  <w:vAlign w:val="center"/>
                </w:tcPr>
                <w:p>
                  <w:pPr>
                    <w:ind w:left="-126" w:leftChars="-60" w:right="-99" w:rightChars="-47"/>
                    <w:jc w:val="center"/>
                    <w:rPr>
                      <w:color w:val="auto"/>
                      <w:szCs w:val="21"/>
                    </w:rPr>
                  </w:pPr>
                  <w:r>
                    <w:rPr>
                      <w:rFonts w:hint="eastAsia"/>
                      <w:color w:val="auto"/>
                      <w:szCs w:val="21"/>
                    </w:rPr>
                    <w:t>47.3</w:t>
                  </w:r>
                </w:p>
              </w:tc>
              <w:tc>
                <w:tcPr>
                  <w:tcW w:w="1333" w:type="dxa"/>
                  <w:vMerge w:val="continue"/>
                  <w:noWrap w:val="0"/>
                  <w:vAlign w:val="center"/>
                </w:tcPr>
                <w:p>
                  <w:pPr>
                    <w:ind w:left="-126" w:leftChars="-60" w:right="-99" w:rightChars="-47"/>
                    <w:jc w:val="center"/>
                    <w:rPr>
                      <w:color w:val="auto"/>
                      <w:szCs w:val="21"/>
                    </w:rPr>
                  </w:pPr>
                </w:p>
              </w:tc>
              <w:tc>
                <w:tcPr>
                  <w:tcW w:w="1334" w:type="dxa"/>
                  <w:vMerge w:val="continue"/>
                  <w:noWrap w:val="0"/>
                  <w:vAlign w:val="center"/>
                </w:tcPr>
                <w:p>
                  <w:pPr>
                    <w:ind w:left="-126" w:leftChars="-60" w:right="-99" w:rightChars="-47"/>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pPr>
                    <w:ind w:left="-126" w:leftChars="-60" w:right="-99" w:rightChars="-47"/>
                    <w:jc w:val="center"/>
                    <w:rPr>
                      <w:color w:val="auto"/>
                      <w:szCs w:val="21"/>
                    </w:rPr>
                  </w:pPr>
                  <w:r>
                    <w:rPr>
                      <w:color w:val="auto"/>
                      <w:szCs w:val="21"/>
                    </w:rPr>
                    <w:t>3</w:t>
                  </w:r>
                </w:p>
              </w:tc>
              <w:tc>
                <w:tcPr>
                  <w:tcW w:w="1833" w:type="dxa"/>
                  <w:noWrap w:val="0"/>
                  <w:vAlign w:val="center"/>
                </w:tcPr>
                <w:p>
                  <w:pPr>
                    <w:ind w:left="-126" w:leftChars="-60" w:right="-99" w:rightChars="-47"/>
                    <w:jc w:val="center"/>
                    <w:rPr>
                      <w:color w:val="auto"/>
                      <w:szCs w:val="21"/>
                    </w:rPr>
                  </w:pPr>
                  <w:r>
                    <w:rPr>
                      <w:color w:val="auto"/>
                      <w:szCs w:val="21"/>
                    </w:rPr>
                    <w:t>厂界西</w:t>
                  </w:r>
                </w:p>
              </w:tc>
              <w:tc>
                <w:tcPr>
                  <w:tcW w:w="1071" w:type="dxa"/>
                  <w:noWrap w:val="0"/>
                  <w:vAlign w:val="center"/>
                </w:tcPr>
                <w:p>
                  <w:pPr>
                    <w:ind w:left="-126" w:leftChars="-60" w:right="-99" w:rightChars="-47"/>
                    <w:jc w:val="center"/>
                    <w:rPr>
                      <w:color w:val="auto"/>
                      <w:szCs w:val="21"/>
                    </w:rPr>
                  </w:pPr>
                  <w:r>
                    <w:rPr>
                      <w:rFonts w:hint="eastAsia"/>
                      <w:color w:val="auto"/>
                      <w:szCs w:val="21"/>
                    </w:rPr>
                    <w:t>55.4</w:t>
                  </w:r>
                </w:p>
              </w:tc>
              <w:tc>
                <w:tcPr>
                  <w:tcW w:w="1417" w:type="dxa"/>
                  <w:noWrap w:val="0"/>
                  <w:vAlign w:val="center"/>
                </w:tcPr>
                <w:p>
                  <w:pPr>
                    <w:ind w:left="-126" w:leftChars="-60" w:right="-99" w:rightChars="-47"/>
                    <w:jc w:val="center"/>
                    <w:rPr>
                      <w:color w:val="auto"/>
                      <w:szCs w:val="21"/>
                    </w:rPr>
                  </w:pPr>
                  <w:r>
                    <w:rPr>
                      <w:rFonts w:hint="eastAsia"/>
                      <w:color w:val="auto"/>
                      <w:szCs w:val="21"/>
                    </w:rPr>
                    <w:t>44.8</w:t>
                  </w:r>
                </w:p>
              </w:tc>
              <w:tc>
                <w:tcPr>
                  <w:tcW w:w="1333" w:type="dxa"/>
                  <w:vMerge w:val="continue"/>
                  <w:noWrap w:val="0"/>
                  <w:vAlign w:val="center"/>
                </w:tcPr>
                <w:p>
                  <w:pPr>
                    <w:ind w:left="-126" w:leftChars="-60" w:right="-99" w:rightChars="-47"/>
                    <w:jc w:val="center"/>
                    <w:rPr>
                      <w:color w:val="auto"/>
                      <w:szCs w:val="21"/>
                    </w:rPr>
                  </w:pPr>
                </w:p>
              </w:tc>
              <w:tc>
                <w:tcPr>
                  <w:tcW w:w="1334" w:type="dxa"/>
                  <w:vMerge w:val="continue"/>
                  <w:noWrap w:val="0"/>
                  <w:vAlign w:val="center"/>
                </w:tcPr>
                <w:p>
                  <w:pPr>
                    <w:ind w:left="-126" w:leftChars="-60" w:right="-99" w:rightChars="-47"/>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1010" w:type="dxa"/>
                  <w:noWrap w:val="0"/>
                  <w:vAlign w:val="center"/>
                </w:tcPr>
                <w:p>
                  <w:pPr>
                    <w:ind w:left="-126" w:leftChars="-60" w:right="-99" w:rightChars="-47"/>
                    <w:jc w:val="center"/>
                    <w:rPr>
                      <w:color w:val="auto"/>
                      <w:szCs w:val="21"/>
                    </w:rPr>
                  </w:pPr>
                  <w:r>
                    <w:rPr>
                      <w:color w:val="auto"/>
                      <w:szCs w:val="21"/>
                    </w:rPr>
                    <w:t>4</w:t>
                  </w:r>
                </w:p>
              </w:tc>
              <w:tc>
                <w:tcPr>
                  <w:tcW w:w="1833" w:type="dxa"/>
                  <w:noWrap w:val="0"/>
                  <w:vAlign w:val="center"/>
                </w:tcPr>
                <w:p>
                  <w:pPr>
                    <w:ind w:left="-126" w:leftChars="-60" w:right="-99" w:rightChars="-47"/>
                    <w:jc w:val="center"/>
                    <w:rPr>
                      <w:color w:val="auto"/>
                      <w:szCs w:val="21"/>
                    </w:rPr>
                  </w:pPr>
                  <w:r>
                    <w:rPr>
                      <w:color w:val="auto"/>
                      <w:szCs w:val="21"/>
                    </w:rPr>
                    <w:t>厂界北</w:t>
                  </w:r>
                </w:p>
              </w:tc>
              <w:tc>
                <w:tcPr>
                  <w:tcW w:w="1071" w:type="dxa"/>
                  <w:noWrap w:val="0"/>
                  <w:vAlign w:val="center"/>
                </w:tcPr>
                <w:p>
                  <w:pPr>
                    <w:ind w:left="-126" w:leftChars="-60" w:right="-99" w:rightChars="-47"/>
                    <w:jc w:val="center"/>
                    <w:rPr>
                      <w:color w:val="auto"/>
                      <w:szCs w:val="21"/>
                    </w:rPr>
                  </w:pPr>
                  <w:r>
                    <w:rPr>
                      <w:rFonts w:hint="eastAsia"/>
                      <w:color w:val="auto"/>
                      <w:szCs w:val="21"/>
                    </w:rPr>
                    <w:t>56.6</w:t>
                  </w:r>
                </w:p>
              </w:tc>
              <w:tc>
                <w:tcPr>
                  <w:tcW w:w="1417" w:type="dxa"/>
                  <w:noWrap w:val="0"/>
                  <w:vAlign w:val="center"/>
                </w:tcPr>
                <w:p>
                  <w:pPr>
                    <w:ind w:left="-126" w:leftChars="-60" w:right="-99" w:rightChars="-47"/>
                    <w:jc w:val="center"/>
                    <w:rPr>
                      <w:color w:val="auto"/>
                      <w:szCs w:val="21"/>
                    </w:rPr>
                  </w:pPr>
                  <w:r>
                    <w:rPr>
                      <w:rFonts w:hint="eastAsia"/>
                      <w:color w:val="auto"/>
                      <w:szCs w:val="21"/>
                    </w:rPr>
                    <w:t>46.5</w:t>
                  </w:r>
                </w:p>
              </w:tc>
              <w:tc>
                <w:tcPr>
                  <w:tcW w:w="1333" w:type="dxa"/>
                  <w:vMerge w:val="continue"/>
                  <w:noWrap w:val="0"/>
                  <w:vAlign w:val="center"/>
                </w:tcPr>
                <w:p>
                  <w:pPr>
                    <w:ind w:left="-126" w:leftChars="-60" w:right="-99" w:rightChars="-47"/>
                    <w:jc w:val="center"/>
                    <w:rPr>
                      <w:color w:val="auto"/>
                      <w:szCs w:val="21"/>
                    </w:rPr>
                  </w:pPr>
                </w:p>
              </w:tc>
              <w:tc>
                <w:tcPr>
                  <w:tcW w:w="1334" w:type="dxa"/>
                  <w:vMerge w:val="continue"/>
                  <w:noWrap w:val="0"/>
                  <w:vAlign w:val="center"/>
                </w:tcPr>
                <w:p>
                  <w:pPr>
                    <w:ind w:left="-126" w:leftChars="-60" w:right="-99" w:rightChars="-47"/>
                    <w:jc w:val="center"/>
                    <w:rPr>
                      <w:color w:val="auto"/>
                      <w:szCs w:val="21"/>
                    </w:rPr>
                  </w:pPr>
                </w:p>
              </w:tc>
            </w:tr>
          </w:tbl>
          <w:p>
            <w:pPr>
              <w:adjustRightInd w:val="0"/>
              <w:snapToGrid w:val="0"/>
              <w:spacing w:line="360" w:lineRule="auto"/>
              <w:ind w:firstLine="480" w:firstLineChars="200"/>
              <w:jc w:val="both"/>
              <w:rPr>
                <w:rFonts w:hint="eastAsia"/>
                <w:color w:val="auto"/>
                <w:sz w:val="24"/>
                <w:szCs w:val="32"/>
              </w:rPr>
            </w:pPr>
            <w:r>
              <w:rPr>
                <w:rFonts w:hint="eastAsia"/>
                <w:color w:val="auto"/>
                <w:sz w:val="24"/>
                <w:szCs w:val="32"/>
                <w:lang w:eastAsia="zh-CN"/>
              </w:rPr>
              <w:t>根据</w:t>
            </w:r>
            <w:r>
              <w:rPr>
                <w:color w:val="auto"/>
                <w:sz w:val="24"/>
                <w:szCs w:val="32"/>
              </w:rPr>
              <w:t>上表监测结果，项目所在区域声环境满足《声环境质量标准》（GB3096-2008）中3类区标准要求，声环境质量较好。</w:t>
            </w:r>
          </w:p>
          <w:p>
            <w:pPr>
              <w:spacing w:line="360" w:lineRule="auto"/>
              <w:ind w:firstLine="482" w:firstLineChars="200"/>
              <w:rPr>
                <w:b/>
                <w:bCs/>
                <w:color w:val="auto"/>
                <w:sz w:val="24"/>
              </w:rPr>
            </w:pPr>
            <w:r>
              <w:rPr>
                <w:rFonts w:hint="eastAsia"/>
                <w:b/>
                <w:bCs/>
                <w:color w:val="auto"/>
                <w:sz w:val="24"/>
              </w:rPr>
              <w:t>（四）</w:t>
            </w:r>
            <w:r>
              <w:rPr>
                <w:b/>
                <w:bCs/>
                <w:color w:val="auto"/>
                <w:sz w:val="24"/>
              </w:rPr>
              <w:t>地下水</w:t>
            </w:r>
            <w:r>
              <w:rPr>
                <w:rFonts w:hint="eastAsia"/>
                <w:b/>
                <w:bCs/>
                <w:color w:val="auto"/>
                <w:sz w:val="24"/>
              </w:rPr>
              <w:t>、土壤</w:t>
            </w:r>
            <w:r>
              <w:rPr>
                <w:b/>
                <w:bCs/>
                <w:color w:val="auto"/>
                <w:sz w:val="24"/>
              </w:rPr>
              <w:t>环境质量现状</w:t>
            </w:r>
          </w:p>
          <w:p>
            <w:pPr>
              <w:spacing w:line="360" w:lineRule="auto"/>
              <w:ind w:firstLine="480" w:firstLineChars="200"/>
              <w:rPr>
                <w:color w:val="auto"/>
              </w:rPr>
            </w:pPr>
            <w:r>
              <w:rPr>
                <w:rFonts w:hint="eastAsia"/>
                <w:color w:val="auto"/>
                <w:sz w:val="24"/>
              </w:rPr>
              <w:t>本项目针对重点区域采取严格的防泄漏、防渗措施，无土壤、地下水的污染途径，根据《建设项目环境影响报告表编制技术指南（污染影响类）》（试行），无需对地下水、土壤背景值进行调查。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64" w:hRule="atLeast"/>
          <w:jc w:val="center"/>
        </w:trPr>
        <w:tc>
          <w:tcPr>
            <w:tcW w:w="800" w:type="dxa"/>
            <w:noWrap w:val="0"/>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保护</w:t>
            </w:r>
          </w:p>
          <w:p>
            <w:pPr>
              <w:adjustRightInd w:val="0"/>
              <w:snapToGrid w:val="0"/>
              <w:jc w:val="center"/>
              <w:rPr>
                <w:rFonts w:hint="eastAsia" w:ascii="宋体" w:hAnsi="宋体" w:cs="宋体"/>
                <w:color w:val="auto"/>
                <w:kern w:val="0"/>
                <w:szCs w:val="21"/>
              </w:rPr>
            </w:pPr>
            <w:r>
              <w:rPr>
                <w:rFonts w:hint="eastAsia" w:ascii="宋体" w:hAnsi="宋体" w:cs="宋体"/>
                <w:b/>
                <w:color w:val="auto"/>
                <w:kern w:val="0"/>
                <w:szCs w:val="21"/>
              </w:rPr>
              <w:t>目标</w:t>
            </w:r>
          </w:p>
        </w:tc>
        <w:tc>
          <w:tcPr>
            <w:tcW w:w="8245" w:type="dxa"/>
            <w:noWrap w:val="0"/>
            <w:vAlign w:val="center"/>
          </w:tcPr>
          <w:p>
            <w:pPr>
              <w:adjustRightInd w:val="0"/>
              <w:snapToGrid w:val="0"/>
              <w:spacing w:line="360" w:lineRule="auto"/>
              <w:ind w:firstLine="480" w:firstLineChars="200"/>
              <w:rPr>
                <w:color w:val="auto"/>
                <w:sz w:val="24"/>
              </w:rPr>
            </w:pPr>
            <w:r>
              <w:rPr>
                <w:color w:val="auto"/>
                <w:sz w:val="24"/>
              </w:rPr>
              <w:t>本项目位于合肥市高新区长宁大道999号合肥晶澳太阳能科技有限公司</w:t>
            </w:r>
            <w:r>
              <w:rPr>
                <w:rFonts w:hint="eastAsia"/>
                <w:color w:val="auto"/>
                <w:sz w:val="24"/>
              </w:rPr>
              <w:t>现有厂区</w:t>
            </w:r>
            <w:r>
              <w:rPr>
                <w:color w:val="auto"/>
                <w:sz w:val="24"/>
              </w:rPr>
              <w:t>。合肥晶澳太阳能科技有限公司东侧为石莲南路，隔石莲南路为空地；南侧为明珠大道，隔明珠大道为</w:t>
            </w:r>
            <w:r>
              <w:rPr>
                <w:rFonts w:hint="eastAsia"/>
                <w:color w:val="auto"/>
                <w:sz w:val="24"/>
                <w:lang w:eastAsia="zh-CN"/>
              </w:rPr>
              <w:t>阳光电源股份有限公司</w:t>
            </w:r>
            <w:r>
              <w:rPr>
                <w:color w:val="auto"/>
                <w:sz w:val="24"/>
              </w:rPr>
              <w:t>；西侧为长宁大道，隔长宁大道为合肥芯碁微电子装备股份有限公司，北侧为柏堰湾路，隔柏堰湾路为本公司员工宿舍区。</w:t>
            </w:r>
          </w:p>
          <w:p>
            <w:pPr>
              <w:adjustRightInd w:val="0"/>
              <w:snapToGrid w:val="0"/>
              <w:spacing w:line="360" w:lineRule="auto"/>
              <w:ind w:firstLine="480" w:firstLineChars="200"/>
              <w:rPr>
                <w:color w:val="auto"/>
                <w:sz w:val="24"/>
              </w:rPr>
            </w:pPr>
            <w:r>
              <w:rPr>
                <w:rFonts w:hint="eastAsia"/>
                <w:color w:val="auto"/>
                <w:sz w:val="24"/>
              </w:rPr>
              <w:t>本项目周边环境保护目标情况如下：</w:t>
            </w:r>
          </w:p>
          <w:p>
            <w:pPr>
              <w:adjustRightInd w:val="0"/>
              <w:snapToGrid w:val="0"/>
              <w:spacing w:line="360" w:lineRule="auto"/>
              <w:ind w:firstLine="480" w:firstLineChars="200"/>
              <w:rPr>
                <w:rFonts w:hint="eastAsia"/>
                <w:color w:val="auto"/>
                <w:sz w:val="24"/>
              </w:rPr>
            </w:pPr>
            <w:r>
              <w:rPr>
                <w:rFonts w:hint="eastAsia"/>
                <w:color w:val="auto"/>
                <w:sz w:val="24"/>
              </w:rPr>
              <w:t>1、大气环境；本项目厂界外500m范围内无环境保护目标；</w:t>
            </w:r>
          </w:p>
          <w:p>
            <w:pPr>
              <w:adjustRightInd w:val="0"/>
              <w:snapToGrid w:val="0"/>
              <w:spacing w:line="360" w:lineRule="auto"/>
              <w:ind w:firstLine="480" w:firstLineChars="200"/>
              <w:rPr>
                <w:rFonts w:hint="eastAsia"/>
                <w:color w:val="auto"/>
                <w:sz w:val="24"/>
              </w:rPr>
            </w:pPr>
            <w:r>
              <w:rPr>
                <w:rFonts w:hint="eastAsia"/>
                <w:color w:val="auto"/>
                <w:sz w:val="24"/>
              </w:rPr>
              <w:t>2、声环境：本项目厂界外50m无声环境保护目标；</w:t>
            </w:r>
          </w:p>
          <w:p>
            <w:pPr>
              <w:adjustRightInd w:val="0"/>
              <w:snapToGrid w:val="0"/>
              <w:spacing w:line="360" w:lineRule="auto"/>
              <w:ind w:firstLine="480" w:firstLineChars="200"/>
              <w:rPr>
                <w:rFonts w:hint="eastAsia"/>
                <w:color w:val="auto"/>
                <w:sz w:val="24"/>
              </w:rPr>
            </w:pPr>
            <w:r>
              <w:rPr>
                <w:rFonts w:hint="eastAsia"/>
                <w:color w:val="auto"/>
                <w:sz w:val="24"/>
              </w:rPr>
              <w:t>3、地下水环境：本项目厂界外500m范围内无特殊地下水资源；</w:t>
            </w:r>
          </w:p>
          <w:p>
            <w:pPr>
              <w:adjustRightInd w:val="0"/>
              <w:snapToGrid w:val="0"/>
              <w:spacing w:line="360" w:lineRule="auto"/>
              <w:ind w:firstLine="480" w:firstLineChars="200"/>
              <w:rPr>
                <w:color w:val="auto"/>
              </w:rPr>
            </w:pPr>
            <w:r>
              <w:rPr>
                <w:rFonts w:hint="eastAsia"/>
                <w:color w:val="auto"/>
                <w:sz w:val="24"/>
              </w:rPr>
              <w:t>4、生态环境：本项目不涉及生态环境保护目标。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800" w:type="dxa"/>
            <w:noWrap w:val="0"/>
            <w:tcMar>
              <w:left w:w="28" w:type="dxa"/>
              <w:right w:w="28" w:type="dxa"/>
            </w:tcMar>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污染</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物排</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放控</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b/>
                <w:color w:val="auto"/>
                <w:kern w:val="0"/>
                <w:szCs w:val="21"/>
              </w:rPr>
              <w:t>准</w:t>
            </w:r>
          </w:p>
        </w:tc>
        <w:tc>
          <w:tcPr>
            <w:tcW w:w="8245" w:type="dxa"/>
            <w:noWrap w:val="0"/>
            <w:vAlign w:val="center"/>
          </w:tcPr>
          <w:p>
            <w:pPr>
              <w:spacing w:line="360" w:lineRule="auto"/>
              <w:ind w:firstLine="482" w:firstLineChars="200"/>
              <w:rPr>
                <w:b/>
                <w:bCs/>
                <w:color w:val="auto"/>
                <w:sz w:val="24"/>
              </w:rPr>
            </w:pPr>
            <w:r>
              <w:rPr>
                <w:rFonts w:hint="eastAsia"/>
                <w:b/>
                <w:bCs/>
                <w:color w:val="auto"/>
                <w:sz w:val="24"/>
                <w:lang w:eastAsia="zh-CN"/>
              </w:rPr>
              <w:t>（一）</w:t>
            </w:r>
            <w:r>
              <w:rPr>
                <w:b/>
                <w:bCs/>
                <w:color w:val="auto"/>
                <w:sz w:val="24"/>
              </w:rPr>
              <w:t>废水</w:t>
            </w:r>
          </w:p>
          <w:p>
            <w:pPr>
              <w:spacing w:line="360" w:lineRule="auto"/>
              <w:ind w:firstLine="480" w:firstLineChars="200"/>
              <w:jc w:val="left"/>
              <w:rPr>
                <w:color w:val="auto"/>
                <w:sz w:val="24"/>
              </w:rPr>
            </w:pPr>
            <w:r>
              <w:rPr>
                <w:color w:val="auto"/>
                <w:sz w:val="24"/>
              </w:rPr>
              <w:t>项目废水</w:t>
            </w:r>
            <w:r>
              <w:rPr>
                <w:rFonts w:hint="eastAsia"/>
                <w:color w:val="auto"/>
                <w:sz w:val="24"/>
                <w:lang w:eastAsia="zh-CN"/>
              </w:rPr>
              <w:t>总排口污染物排放执行</w:t>
            </w:r>
            <w:r>
              <w:rPr>
                <w:color w:val="auto"/>
                <w:sz w:val="24"/>
              </w:rPr>
              <w:t>合肥西部组团污水处理厂接管</w:t>
            </w:r>
            <w:r>
              <w:rPr>
                <w:rFonts w:hint="eastAsia"/>
                <w:color w:val="auto"/>
                <w:sz w:val="24"/>
                <w:lang w:eastAsia="zh-CN"/>
              </w:rPr>
              <w:t>限值</w:t>
            </w:r>
            <w:r>
              <w:rPr>
                <w:color w:val="auto"/>
                <w:sz w:val="24"/>
              </w:rPr>
              <w:t>，西部组团污水处理厂的出水执行《巢湖流域城镇污水处理厂和工业行业主要水污染物排放限值》（DB 34/2710-2016）（其中未规定污染物指标执行《城镇污水处理厂污染物排放标准》（GB18918-2002）一级标准中A标准）。具体标准值见下表。</w:t>
            </w:r>
          </w:p>
          <w:p>
            <w:pPr>
              <w:widowControl/>
              <w:numPr>
                <w:ilvl w:val="0"/>
                <w:numId w:val="2"/>
              </w:numPr>
              <w:jc w:val="center"/>
              <w:rPr>
                <w:b/>
                <w:color w:val="auto"/>
                <w:kern w:val="0"/>
                <w:szCs w:val="21"/>
              </w:rPr>
            </w:pPr>
            <w:r>
              <w:rPr>
                <w:rFonts w:hint="eastAsia"/>
                <w:b/>
                <w:color w:val="auto"/>
                <w:kern w:val="0"/>
                <w:szCs w:val="21"/>
              </w:rPr>
              <w:t>废水污染物</w:t>
            </w:r>
            <w:r>
              <w:rPr>
                <w:b/>
                <w:color w:val="auto"/>
                <w:kern w:val="0"/>
                <w:szCs w:val="21"/>
              </w:rPr>
              <w:t>排放标准  单位：mg/L，pH无量纲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676"/>
              <w:gridCol w:w="962"/>
              <w:gridCol w:w="1006"/>
              <w:gridCol w:w="717"/>
              <w:gridCol w:w="891"/>
              <w:gridCol w:w="704"/>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146" w:type="dxa"/>
                  <w:noWrap w:val="0"/>
                  <w:vAlign w:val="center"/>
                </w:tcPr>
                <w:p>
                  <w:pPr>
                    <w:jc w:val="center"/>
                    <w:rPr>
                      <w:b/>
                      <w:color w:val="auto"/>
                      <w:szCs w:val="21"/>
                    </w:rPr>
                  </w:pPr>
                  <w:r>
                    <w:rPr>
                      <w:b/>
                      <w:color w:val="auto"/>
                      <w:szCs w:val="21"/>
                    </w:rPr>
                    <w:t>污染物</w:t>
                  </w:r>
                </w:p>
              </w:tc>
              <w:tc>
                <w:tcPr>
                  <w:tcW w:w="676" w:type="dxa"/>
                  <w:noWrap w:val="0"/>
                  <w:vAlign w:val="center"/>
                </w:tcPr>
                <w:p>
                  <w:pPr>
                    <w:tabs>
                      <w:tab w:val="right" w:leader="middleDot" w:pos="8505"/>
                    </w:tabs>
                    <w:jc w:val="center"/>
                    <w:rPr>
                      <w:b/>
                      <w:color w:val="auto"/>
                      <w:szCs w:val="21"/>
                    </w:rPr>
                  </w:pPr>
                  <w:r>
                    <w:rPr>
                      <w:b/>
                      <w:color w:val="auto"/>
                      <w:szCs w:val="21"/>
                    </w:rPr>
                    <w:t>pH</w:t>
                  </w:r>
                </w:p>
              </w:tc>
              <w:tc>
                <w:tcPr>
                  <w:tcW w:w="962" w:type="dxa"/>
                  <w:noWrap w:val="0"/>
                  <w:vAlign w:val="center"/>
                </w:tcPr>
                <w:p>
                  <w:pPr>
                    <w:tabs>
                      <w:tab w:val="right" w:leader="middleDot" w:pos="8505"/>
                    </w:tabs>
                    <w:jc w:val="center"/>
                    <w:rPr>
                      <w:b/>
                      <w:color w:val="auto"/>
                      <w:szCs w:val="21"/>
                    </w:rPr>
                  </w:pPr>
                  <w:r>
                    <w:rPr>
                      <w:b/>
                      <w:color w:val="auto"/>
                      <w:szCs w:val="21"/>
                    </w:rPr>
                    <w:t>COD</w:t>
                  </w:r>
                </w:p>
              </w:tc>
              <w:tc>
                <w:tcPr>
                  <w:tcW w:w="1006" w:type="dxa"/>
                  <w:noWrap w:val="0"/>
                  <w:vAlign w:val="center"/>
                </w:tcPr>
                <w:p>
                  <w:pPr>
                    <w:jc w:val="center"/>
                    <w:rPr>
                      <w:b/>
                      <w:color w:val="auto"/>
                      <w:szCs w:val="21"/>
                    </w:rPr>
                  </w:pPr>
                  <w:r>
                    <w:rPr>
                      <w:b/>
                      <w:color w:val="auto"/>
                      <w:szCs w:val="21"/>
                    </w:rPr>
                    <w:t>BOD</w:t>
                  </w:r>
                  <w:r>
                    <w:rPr>
                      <w:b/>
                      <w:color w:val="auto"/>
                      <w:szCs w:val="21"/>
                      <w:vertAlign w:val="subscript"/>
                    </w:rPr>
                    <w:t>5</w:t>
                  </w:r>
                </w:p>
              </w:tc>
              <w:tc>
                <w:tcPr>
                  <w:tcW w:w="717" w:type="dxa"/>
                  <w:noWrap w:val="0"/>
                  <w:vAlign w:val="center"/>
                </w:tcPr>
                <w:p>
                  <w:pPr>
                    <w:jc w:val="center"/>
                    <w:rPr>
                      <w:b/>
                      <w:color w:val="auto"/>
                      <w:szCs w:val="21"/>
                    </w:rPr>
                  </w:pPr>
                  <w:r>
                    <w:rPr>
                      <w:b/>
                      <w:color w:val="auto"/>
                      <w:szCs w:val="21"/>
                    </w:rPr>
                    <w:t>SS</w:t>
                  </w:r>
                </w:p>
              </w:tc>
              <w:tc>
                <w:tcPr>
                  <w:tcW w:w="891" w:type="dxa"/>
                  <w:noWrap w:val="0"/>
                  <w:vAlign w:val="center"/>
                </w:tcPr>
                <w:p>
                  <w:pPr>
                    <w:jc w:val="center"/>
                    <w:rPr>
                      <w:b/>
                      <w:color w:val="auto"/>
                      <w:szCs w:val="21"/>
                    </w:rPr>
                  </w:pPr>
                  <w:r>
                    <w:rPr>
                      <w:b/>
                      <w:color w:val="auto"/>
                      <w:szCs w:val="21"/>
                    </w:rPr>
                    <w:t>NH</w:t>
                  </w:r>
                  <w:r>
                    <w:rPr>
                      <w:b/>
                      <w:color w:val="auto"/>
                      <w:szCs w:val="21"/>
                      <w:vertAlign w:val="subscript"/>
                    </w:rPr>
                    <w:t>3</w:t>
                  </w:r>
                  <w:r>
                    <w:rPr>
                      <w:b/>
                      <w:color w:val="auto"/>
                      <w:szCs w:val="21"/>
                    </w:rPr>
                    <w:t>-N</w:t>
                  </w:r>
                </w:p>
              </w:tc>
              <w:tc>
                <w:tcPr>
                  <w:tcW w:w="704" w:type="dxa"/>
                  <w:noWrap w:val="0"/>
                  <w:vAlign w:val="center"/>
                </w:tcPr>
                <w:p>
                  <w:pPr>
                    <w:jc w:val="center"/>
                    <w:rPr>
                      <w:b/>
                      <w:color w:val="auto"/>
                      <w:szCs w:val="21"/>
                    </w:rPr>
                  </w:pPr>
                  <w:r>
                    <w:rPr>
                      <w:b/>
                      <w:color w:val="auto"/>
                      <w:szCs w:val="21"/>
                    </w:rPr>
                    <w:t>TP</w:t>
                  </w:r>
                </w:p>
              </w:tc>
              <w:tc>
                <w:tcPr>
                  <w:tcW w:w="749" w:type="dxa"/>
                  <w:noWrap w:val="0"/>
                  <w:vAlign w:val="center"/>
                </w:tcPr>
                <w:p>
                  <w:pPr>
                    <w:jc w:val="center"/>
                    <w:rPr>
                      <w:b/>
                      <w:color w:val="auto"/>
                      <w:szCs w:val="21"/>
                    </w:rPr>
                  </w:pPr>
                  <w:r>
                    <w:rPr>
                      <w:b/>
                      <w:color w:val="auto"/>
                      <w:szCs w:val="21"/>
                    </w:rPr>
                    <w:t>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2146" w:type="dxa"/>
                  <w:noWrap w:val="0"/>
                  <w:vAlign w:val="center"/>
                </w:tcPr>
                <w:p>
                  <w:pPr>
                    <w:jc w:val="center"/>
                    <w:rPr>
                      <w:rFonts w:hint="eastAsia" w:eastAsia="宋体"/>
                      <w:color w:val="auto"/>
                      <w:szCs w:val="21"/>
                      <w:lang w:eastAsia="zh-CN"/>
                    </w:rPr>
                  </w:pPr>
                  <w:r>
                    <w:rPr>
                      <w:bCs/>
                      <w:color w:val="auto"/>
                      <w:szCs w:val="21"/>
                    </w:rPr>
                    <w:t>西部组团污水处理厂接管</w:t>
                  </w:r>
                  <w:r>
                    <w:rPr>
                      <w:rFonts w:hint="eastAsia"/>
                      <w:bCs/>
                      <w:color w:val="auto"/>
                      <w:szCs w:val="21"/>
                      <w:lang w:eastAsia="zh-CN"/>
                    </w:rPr>
                    <w:t>限值</w:t>
                  </w:r>
                </w:p>
              </w:tc>
              <w:tc>
                <w:tcPr>
                  <w:tcW w:w="676" w:type="dxa"/>
                  <w:noWrap w:val="0"/>
                  <w:vAlign w:val="center"/>
                </w:tcPr>
                <w:p>
                  <w:pPr>
                    <w:pStyle w:val="14"/>
                    <w:jc w:val="center"/>
                    <w:rPr>
                      <w:color w:val="auto"/>
                      <w:kern w:val="2"/>
                      <w:sz w:val="21"/>
                      <w:szCs w:val="21"/>
                    </w:rPr>
                  </w:pPr>
                  <w:r>
                    <w:rPr>
                      <w:color w:val="auto"/>
                      <w:kern w:val="2"/>
                      <w:sz w:val="21"/>
                      <w:szCs w:val="21"/>
                    </w:rPr>
                    <w:t>6-9</w:t>
                  </w:r>
                </w:p>
              </w:tc>
              <w:tc>
                <w:tcPr>
                  <w:tcW w:w="962" w:type="dxa"/>
                  <w:noWrap w:val="0"/>
                  <w:vAlign w:val="center"/>
                </w:tcPr>
                <w:p>
                  <w:pPr>
                    <w:pStyle w:val="14"/>
                    <w:jc w:val="center"/>
                    <w:rPr>
                      <w:color w:val="auto"/>
                      <w:kern w:val="2"/>
                      <w:sz w:val="21"/>
                      <w:szCs w:val="21"/>
                    </w:rPr>
                  </w:pPr>
                  <w:r>
                    <w:rPr>
                      <w:color w:val="auto"/>
                      <w:kern w:val="2"/>
                      <w:sz w:val="21"/>
                      <w:szCs w:val="21"/>
                    </w:rPr>
                    <w:t>350</w:t>
                  </w:r>
                </w:p>
              </w:tc>
              <w:tc>
                <w:tcPr>
                  <w:tcW w:w="1006" w:type="dxa"/>
                  <w:noWrap w:val="0"/>
                  <w:vAlign w:val="center"/>
                </w:tcPr>
                <w:p>
                  <w:pPr>
                    <w:pStyle w:val="14"/>
                    <w:jc w:val="center"/>
                    <w:rPr>
                      <w:color w:val="auto"/>
                      <w:kern w:val="2"/>
                      <w:sz w:val="21"/>
                      <w:szCs w:val="21"/>
                    </w:rPr>
                  </w:pPr>
                  <w:r>
                    <w:rPr>
                      <w:color w:val="auto"/>
                      <w:kern w:val="2"/>
                      <w:sz w:val="21"/>
                      <w:szCs w:val="21"/>
                    </w:rPr>
                    <w:t>180</w:t>
                  </w:r>
                </w:p>
              </w:tc>
              <w:tc>
                <w:tcPr>
                  <w:tcW w:w="717" w:type="dxa"/>
                  <w:noWrap w:val="0"/>
                  <w:vAlign w:val="center"/>
                </w:tcPr>
                <w:p>
                  <w:pPr>
                    <w:pStyle w:val="14"/>
                    <w:jc w:val="center"/>
                    <w:rPr>
                      <w:color w:val="auto"/>
                      <w:kern w:val="2"/>
                      <w:sz w:val="21"/>
                      <w:szCs w:val="21"/>
                    </w:rPr>
                  </w:pPr>
                  <w:r>
                    <w:rPr>
                      <w:color w:val="auto"/>
                      <w:kern w:val="2"/>
                      <w:sz w:val="21"/>
                      <w:szCs w:val="21"/>
                    </w:rPr>
                    <w:t>250</w:t>
                  </w:r>
                </w:p>
              </w:tc>
              <w:tc>
                <w:tcPr>
                  <w:tcW w:w="891" w:type="dxa"/>
                  <w:noWrap w:val="0"/>
                  <w:vAlign w:val="center"/>
                </w:tcPr>
                <w:p>
                  <w:pPr>
                    <w:pStyle w:val="14"/>
                    <w:jc w:val="center"/>
                    <w:rPr>
                      <w:color w:val="auto"/>
                      <w:kern w:val="2"/>
                      <w:sz w:val="21"/>
                      <w:szCs w:val="21"/>
                    </w:rPr>
                  </w:pPr>
                  <w:r>
                    <w:rPr>
                      <w:color w:val="auto"/>
                      <w:kern w:val="2"/>
                      <w:sz w:val="21"/>
                      <w:szCs w:val="21"/>
                    </w:rPr>
                    <w:t>35</w:t>
                  </w:r>
                </w:p>
              </w:tc>
              <w:tc>
                <w:tcPr>
                  <w:tcW w:w="704" w:type="dxa"/>
                  <w:noWrap w:val="0"/>
                  <w:vAlign w:val="center"/>
                </w:tcPr>
                <w:p>
                  <w:pPr>
                    <w:pStyle w:val="14"/>
                    <w:jc w:val="center"/>
                    <w:rPr>
                      <w:color w:val="auto"/>
                      <w:kern w:val="2"/>
                      <w:sz w:val="21"/>
                      <w:szCs w:val="21"/>
                    </w:rPr>
                  </w:pPr>
                  <w:r>
                    <w:rPr>
                      <w:color w:val="auto"/>
                      <w:kern w:val="2"/>
                      <w:sz w:val="21"/>
                      <w:szCs w:val="21"/>
                    </w:rPr>
                    <w:t>6</w:t>
                  </w:r>
                </w:p>
              </w:tc>
              <w:tc>
                <w:tcPr>
                  <w:tcW w:w="749" w:type="dxa"/>
                  <w:noWrap w:val="0"/>
                  <w:vAlign w:val="center"/>
                </w:tcPr>
                <w:p>
                  <w:pPr>
                    <w:pStyle w:val="14"/>
                    <w:jc w:val="center"/>
                    <w:rPr>
                      <w:color w:val="auto"/>
                      <w:kern w:val="2"/>
                      <w:sz w:val="21"/>
                      <w:szCs w:val="21"/>
                    </w:rPr>
                  </w:pPr>
                  <w:r>
                    <w:rPr>
                      <w:color w:val="auto"/>
                      <w:kern w:val="2"/>
                      <w:sz w:val="21"/>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146" w:type="dxa"/>
                  <w:noWrap w:val="0"/>
                  <w:vAlign w:val="center"/>
                </w:tcPr>
                <w:p>
                  <w:pPr>
                    <w:jc w:val="center"/>
                    <w:rPr>
                      <w:color w:val="auto"/>
                      <w:szCs w:val="21"/>
                    </w:rPr>
                  </w:pPr>
                  <w:r>
                    <w:rPr>
                      <w:color w:val="auto"/>
                      <w:szCs w:val="21"/>
                    </w:rPr>
                    <w:t>西部组团污水处理厂出水执行标准</w:t>
                  </w:r>
                </w:p>
              </w:tc>
              <w:tc>
                <w:tcPr>
                  <w:tcW w:w="676" w:type="dxa"/>
                  <w:noWrap w:val="0"/>
                  <w:vAlign w:val="center"/>
                </w:tcPr>
                <w:p>
                  <w:pPr>
                    <w:jc w:val="center"/>
                    <w:rPr>
                      <w:color w:val="auto"/>
                      <w:szCs w:val="21"/>
                    </w:rPr>
                  </w:pPr>
                  <w:r>
                    <w:rPr>
                      <w:color w:val="auto"/>
                      <w:szCs w:val="21"/>
                    </w:rPr>
                    <w:t>6-9</w:t>
                  </w:r>
                </w:p>
              </w:tc>
              <w:tc>
                <w:tcPr>
                  <w:tcW w:w="962" w:type="dxa"/>
                  <w:noWrap w:val="0"/>
                  <w:vAlign w:val="center"/>
                </w:tcPr>
                <w:p>
                  <w:pPr>
                    <w:jc w:val="center"/>
                    <w:rPr>
                      <w:color w:val="auto"/>
                      <w:szCs w:val="21"/>
                    </w:rPr>
                  </w:pPr>
                  <w:r>
                    <w:rPr>
                      <w:color w:val="auto"/>
                      <w:szCs w:val="21"/>
                    </w:rPr>
                    <w:t>40</w:t>
                  </w:r>
                </w:p>
              </w:tc>
              <w:tc>
                <w:tcPr>
                  <w:tcW w:w="1006" w:type="dxa"/>
                  <w:noWrap w:val="0"/>
                  <w:vAlign w:val="center"/>
                </w:tcPr>
                <w:p>
                  <w:pPr>
                    <w:jc w:val="center"/>
                    <w:rPr>
                      <w:color w:val="auto"/>
                      <w:szCs w:val="21"/>
                    </w:rPr>
                  </w:pPr>
                  <w:r>
                    <w:rPr>
                      <w:color w:val="auto"/>
                      <w:szCs w:val="21"/>
                    </w:rPr>
                    <w:t>10</w:t>
                  </w:r>
                </w:p>
              </w:tc>
              <w:tc>
                <w:tcPr>
                  <w:tcW w:w="717" w:type="dxa"/>
                  <w:noWrap w:val="0"/>
                  <w:vAlign w:val="center"/>
                </w:tcPr>
                <w:p>
                  <w:pPr>
                    <w:jc w:val="center"/>
                    <w:rPr>
                      <w:color w:val="auto"/>
                      <w:szCs w:val="21"/>
                    </w:rPr>
                  </w:pPr>
                  <w:r>
                    <w:rPr>
                      <w:color w:val="auto"/>
                      <w:szCs w:val="21"/>
                    </w:rPr>
                    <w:t>10</w:t>
                  </w:r>
                </w:p>
              </w:tc>
              <w:tc>
                <w:tcPr>
                  <w:tcW w:w="891" w:type="dxa"/>
                  <w:noWrap w:val="0"/>
                  <w:vAlign w:val="center"/>
                </w:tcPr>
                <w:p>
                  <w:pPr>
                    <w:jc w:val="center"/>
                    <w:rPr>
                      <w:color w:val="auto"/>
                      <w:szCs w:val="21"/>
                    </w:rPr>
                  </w:pPr>
                  <w:r>
                    <w:rPr>
                      <w:color w:val="auto"/>
                      <w:szCs w:val="21"/>
                    </w:rPr>
                    <w:t>2</w:t>
                  </w:r>
                </w:p>
              </w:tc>
              <w:tc>
                <w:tcPr>
                  <w:tcW w:w="704" w:type="dxa"/>
                  <w:noWrap w:val="0"/>
                  <w:vAlign w:val="center"/>
                </w:tcPr>
                <w:p>
                  <w:pPr>
                    <w:jc w:val="center"/>
                    <w:rPr>
                      <w:color w:val="auto"/>
                      <w:szCs w:val="21"/>
                    </w:rPr>
                  </w:pPr>
                  <w:r>
                    <w:rPr>
                      <w:color w:val="auto"/>
                      <w:szCs w:val="21"/>
                    </w:rPr>
                    <w:t>0.</w:t>
                  </w:r>
                  <w:r>
                    <w:rPr>
                      <w:rFonts w:hint="eastAsia"/>
                      <w:color w:val="auto"/>
                      <w:szCs w:val="21"/>
                    </w:rPr>
                    <w:t>3</w:t>
                  </w:r>
                </w:p>
              </w:tc>
              <w:tc>
                <w:tcPr>
                  <w:tcW w:w="749" w:type="dxa"/>
                  <w:noWrap w:val="0"/>
                  <w:vAlign w:val="center"/>
                </w:tcPr>
                <w:p>
                  <w:pPr>
                    <w:jc w:val="center"/>
                    <w:rPr>
                      <w:color w:val="auto"/>
                      <w:szCs w:val="21"/>
                    </w:rPr>
                  </w:pPr>
                  <w:r>
                    <w:rPr>
                      <w:rFonts w:hint="eastAsia"/>
                      <w:color w:val="auto"/>
                      <w:szCs w:val="21"/>
                    </w:rPr>
                    <w:t>10</w:t>
                  </w:r>
                </w:p>
              </w:tc>
            </w:tr>
          </w:tbl>
          <w:p>
            <w:pPr>
              <w:spacing w:line="360" w:lineRule="auto"/>
              <w:ind w:firstLine="482" w:firstLineChars="200"/>
              <w:rPr>
                <w:b/>
                <w:bCs/>
                <w:color w:val="auto"/>
                <w:sz w:val="24"/>
              </w:rPr>
            </w:pPr>
            <w:r>
              <w:rPr>
                <w:rFonts w:hint="eastAsia"/>
                <w:b/>
                <w:bCs/>
                <w:color w:val="auto"/>
                <w:sz w:val="24"/>
                <w:lang w:val="en-US" w:eastAsia="zh-CN"/>
              </w:rPr>
              <w:t>（二）</w:t>
            </w:r>
            <w:r>
              <w:rPr>
                <w:b/>
                <w:bCs/>
                <w:color w:val="auto"/>
                <w:sz w:val="24"/>
              </w:rPr>
              <w:t>废气</w:t>
            </w:r>
          </w:p>
          <w:p>
            <w:pPr>
              <w:spacing w:line="360" w:lineRule="auto"/>
              <w:ind w:firstLine="570"/>
              <w:rPr>
                <w:b/>
                <w:bCs/>
                <w:color w:val="auto"/>
                <w:sz w:val="24"/>
                <w:szCs w:val="21"/>
              </w:rPr>
            </w:pPr>
            <w:r>
              <w:rPr>
                <w:rFonts w:hint="eastAsia"/>
                <w:color w:val="auto"/>
                <w:sz w:val="24"/>
              </w:rPr>
              <w:t>本项目废气</w:t>
            </w:r>
            <w:r>
              <w:rPr>
                <w:color w:val="auto"/>
                <w:sz w:val="24"/>
              </w:rPr>
              <w:t>颗粒物、锡及其化合物、非甲烷总烃、二甲苯排放参照执行上海市《大气污染物综合排放标准》（DB31/933-2015)中排放限值</w:t>
            </w:r>
            <w:r>
              <w:rPr>
                <w:rFonts w:hint="eastAsia"/>
                <w:color w:val="auto"/>
                <w:sz w:val="24"/>
              </w:rPr>
              <w:t>要求</w:t>
            </w:r>
            <w:r>
              <w:rPr>
                <w:color w:val="auto"/>
                <w:sz w:val="24"/>
              </w:rPr>
              <w:t>；</w:t>
            </w:r>
            <w:r>
              <w:rPr>
                <w:bCs/>
                <w:color w:val="auto"/>
                <w:sz w:val="24"/>
              </w:rPr>
              <w:t>厂区内VOC</w:t>
            </w:r>
            <w:r>
              <w:rPr>
                <w:bCs/>
                <w:color w:val="auto"/>
                <w:sz w:val="24"/>
                <w:vertAlign w:val="subscript"/>
              </w:rPr>
              <w:t>S</w:t>
            </w:r>
            <w:r>
              <w:rPr>
                <w:bCs/>
                <w:color w:val="auto"/>
                <w:sz w:val="24"/>
              </w:rPr>
              <w:t>无组织排放执行《挥发性有机物无组织排放控制标准》（GB37822-2019）中特别排放限值。</w:t>
            </w:r>
            <w:r>
              <w:rPr>
                <w:color w:val="auto"/>
                <w:sz w:val="24"/>
              </w:rPr>
              <w:t>具体标准限值见下表。</w:t>
            </w:r>
          </w:p>
          <w:p>
            <w:pPr>
              <w:widowControl/>
              <w:numPr>
                <w:ilvl w:val="0"/>
                <w:numId w:val="2"/>
              </w:numPr>
              <w:jc w:val="center"/>
              <w:rPr>
                <w:b/>
                <w:color w:val="auto"/>
                <w:kern w:val="0"/>
                <w:szCs w:val="21"/>
              </w:rPr>
            </w:pPr>
            <w:r>
              <w:rPr>
                <w:rFonts w:hint="eastAsia"/>
                <w:b/>
                <w:color w:val="auto"/>
                <w:kern w:val="0"/>
                <w:szCs w:val="21"/>
              </w:rPr>
              <w:t xml:space="preserve">  </w:t>
            </w:r>
            <w:r>
              <w:rPr>
                <w:b/>
                <w:color w:val="auto"/>
                <w:kern w:val="0"/>
                <w:szCs w:val="21"/>
              </w:rPr>
              <w:t>工艺废气排放标准一览表</w:t>
            </w:r>
          </w:p>
          <w:tbl>
            <w:tblPr>
              <w:tblStyle w:val="20"/>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28" w:type="dxa"/>
                <w:left w:w="28" w:type="dxa"/>
                <w:bottom w:w="28" w:type="dxa"/>
                <w:right w:w="28" w:type="dxa"/>
              </w:tblCellMar>
            </w:tblPr>
            <w:tblGrid>
              <w:gridCol w:w="817"/>
              <w:gridCol w:w="1101"/>
              <w:gridCol w:w="1137"/>
              <w:gridCol w:w="575"/>
              <w:gridCol w:w="876"/>
              <w:gridCol w:w="1549"/>
              <w:gridCol w:w="17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682" w:hRule="atLeast"/>
                <w:jc w:val="center"/>
              </w:trPr>
              <w:tc>
                <w:tcPr>
                  <w:tcW w:w="817" w:type="dxa"/>
                  <w:vMerge w:val="restart"/>
                  <w:noWrap w:val="0"/>
                  <w:vAlign w:val="center"/>
                </w:tcPr>
                <w:p>
                  <w:pPr>
                    <w:jc w:val="center"/>
                    <w:rPr>
                      <w:snapToGrid w:val="0"/>
                      <w:color w:val="auto"/>
                      <w:kern w:val="0"/>
                      <w:szCs w:val="21"/>
                    </w:rPr>
                  </w:pPr>
                  <w:r>
                    <w:rPr>
                      <w:snapToGrid w:val="0"/>
                      <w:color w:val="auto"/>
                      <w:kern w:val="0"/>
                      <w:szCs w:val="21"/>
                    </w:rPr>
                    <w:t>污染</w:t>
                  </w:r>
                </w:p>
                <w:p>
                  <w:pPr>
                    <w:jc w:val="center"/>
                    <w:rPr>
                      <w:snapToGrid w:val="0"/>
                      <w:color w:val="auto"/>
                      <w:kern w:val="0"/>
                      <w:szCs w:val="21"/>
                    </w:rPr>
                  </w:pPr>
                  <w:r>
                    <w:rPr>
                      <w:snapToGrid w:val="0"/>
                      <w:color w:val="auto"/>
                      <w:kern w:val="0"/>
                      <w:szCs w:val="21"/>
                    </w:rPr>
                    <w:t>因子</w:t>
                  </w:r>
                </w:p>
              </w:tc>
              <w:tc>
                <w:tcPr>
                  <w:tcW w:w="1101" w:type="dxa"/>
                  <w:vMerge w:val="restart"/>
                  <w:noWrap w:val="0"/>
                  <w:vAlign w:val="center"/>
                </w:tcPr>
                <w:p>
                  <w:pPr>
                    <w:jc w:val="center"/>
                    <w:rPr>
                      <w:color w:val="auto"/>
                      <w:szCs w:val="21"/>
                    </w:rPr>
                  </w:pPr>
                  <w:r>
                    <w:rPr>
                      <w:color w:val="auto"/>
                      <w:szCs w:val="21"/>
                    </w:rPr>
                    <w:t>最高允许</w:t>
                  </w:r>
                </w:p>
                <w:p>
                  <w:pPr>
                    <w:jc w:val="center"/>
                    <w:rPr>
                      <w:color w:val="auto"/>
                      <w:szCs w:val="21"/>
                    </w:rPr>
                  </w:pPr>
                  <w:r>
                    <w:rPr>
                      <w:color w:val="auto"/>
                      <w:szCs w:val="21"/>
                    </w:rPr>
                    <w:t>排放浓度</w:t>
                  </w:r>
                </w:p>
                <w:p>
                  <w:pPr>
                    <w:jc w:val="center"/>
                    <w:rPr>
                      <w:snapToGrid w:val="0"/>
                      <w:color w:val="auto"/>
                      <w:kern w:val="0"/>
                      <w:szCs w:val="21"/>
                    </w:rPr>
                  </w:pPr>
                  <w:r>
                    <w:rPr>
                      <w:color w:val="auto"/>
                      <w:szCs w:val="21"/>
                    </w:rPr>
                    <w:t>（mg/m</w:t>
                  </w:r>
                  <w:r>
                    <w:rPr>
                      <w:color w:val="auto"/>
                      <w:szCs w:val="21"/>
                      <w:vertAlign w:val="superscript"/>
                    </w:rPr>
                    <w:t>3</w:t>
                  </w:r>
                  <w:r>
                    <w:rPr>
                      <w:color w:val="auto"/>
                      <w:szCs w:val="21"/>
                    </w:rPr>
                    <w:t>）</w:t>
                  </w:r>
                </w:p>
              </w:tc>
              <w:tc>
                <w:tcPr>
                  <w:tcW w:w="1712" w:type="dxa"/>
                  <w:gridSpan w:val="2"/>
                  <w:noWrap w:val="0"/>
                  <w:vAlign w:val="center"/>
                </w:tcPr>
                <w:p>
                  <w:pPr>
                    <w:jc w:val="center"/>
                    <w:rPr>
                      <w:snapToGrid w:val="0"/>
                      <w:color w:val="auto"/>
                      <w:kern w:val="0"/>
                      <w:szCs w:val="21"/>
                    </w:rPr>
                  </w:pPr>
                  <w:r>
                    <w:rPr>
                      <w:color w:val="auto"/>
                      <w:szCs w:val="21"/>
                    </w:rPr>
                    <w:t>最高允许排放速率（kg/h）</w:t>
                  </w:r>
                </w:p>
              </w:tc>
              <w:tc>
                <w:tcPr>
                  <w:tcW w:w="2425" w:type="dxa"/>
                  <w:gridSpan w:val="2"/>
                  <w:noWrap w:val="0"/>
                  <w:vAlign w:val="center"/>
                </w:tcPr>
                <w:p>
                  <w:pPr>
                    <w:jc w:val="center"/>
                    <w:rPr>
                      <w:snapToGrid w:val="0"/>
                      <w:color w:val="auto"/>
                      <w:kern w:val="0"/>
                      <w:szCs w:val="21"/>
                    </w:rPr>
                  </w:pPr>
                  <w:r>
                    <w:rPr>
                      <w:snapToGrid w:val="0"/>
                      <w:color w:val="auto"/>
                      <w:kern w:val="0"/>
                      <w:szCs w:val="21"/>
                    </w:rPr>
                    <w:t>无组织排放监控浓度限值（</w:t>
                  </w:r>
                  <w:r>
                    <w:rPr>
                      <w:color w:val="auto"/>
                      <w:szCs w:val="21"/>
                    </w:rPr>
                    <w:t>mg/m</w:t>
                  </w:r>
                  <w:r>
                    <w:rPr>
                      <w:color w:val="auto"/>
                      <w:szCs w:val="21"/>
                      <w:vertAlign w:val="superscript"/>
                    </w:rPr>
                    <w:t>3</w:t>
                  </w:r>
                  <w:r>
                    <w:rPr>
                      <w:color w:val="auto"/>
                      <w:szCs w:val="21"/>
                    </w:rPr>
                    <w:t>）</w:t>
                  </w:r>
                </w:p>
              </w:tc>
              <w:tc>
                <w:tcPr>
                  <w:tcW w:w="1783" w:type="dxa"/>
                  <w:vMerge w:val="restart"/>
                  <w:noWrap w:val="0"/>
                  <w:vAlign w:val="center"/>
                </w:tcPr>
                <w:p>
                  <w:pPr>
                    <w:jc w:val="center"/>
                    <w:rPr>
                      <w:snapToGrid w:val="0"/>
                      <w:color w:val="auto"/>
                      <w:kern w:val="0"/>
                      <w:szCs w:val="21"/>
                    </w:rPr>
                  </w:pPr>
                  <w:r>
                    <w:rPr>
                      <w:snapToGrid w:val="0"/>
                      <w:color w:val="auto"/>
                      <w:kern w:val="0"/>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682" w:hRule="atLeast"/>
                <w:jc w:val="center"/>
              </w:trPr>
              <w:tc>
                <w:tcPr>
                  <w:tcW w:w="817" w:type="dxa"/>
                  <w:vMerge w:val="continue"/>
                  <w:noWrap w:val="0"/>
                  <w:vAlign w:val="center"/>
                </w:tcPr>
                <w:p>
                  <w:pPr>
                    <w:jc w:val="center"/>
                    <w:rPr>
                      <w:snapToGrid w:val="0"/>
                      <w:color w:val="auto"/>
                      <w:kern w:val="0"/>
                      <w:szCs w:val="21"/>
                    </w:rPr>
                  </w:pPr>
                </w:p>
              </w:tc>
              <w:tc>
                <w:tcPr>
                  <w:tcW w:w="1101" w:type="dxa"/>
                  <w:vMerge w:val="continue"/>
                  <w:noWrap w:val="0"/>
                  <w:vAlign w:val="center"/>
                </w:tcPr>
                <w:p>
                  <w:pPr>
                    <w:jc w:val="center"/>
                    <w:rPr>
                      <w:snapToGrid w:val="0"/>
                      <w:color w:val="auto"/>
                      <w:kern w:val="0"/>
                      <w:szCs w:val="21"/>
                    </w:rPr>
                  </w:pPr>
                </w:p>
              </w:tc>
              <w:tc>
                <w:tcPr>
                  <w:tcW w:w="1137" w:type="dxa"/>
                  <w:noWrap w:val="0"/>
                  <w:vAlign w:val="center"/>
                </w:tcPr>
                <w:p>
                  <w:pPr>
                    <w:jc w:val="center"/>
                    <w:rPr>
                      <w:color w:val="auto"/>
                      <w:szCs w:val="21"/>
                    </w:rPr>
                  </w:pPr>
                  <w:r>
                    <w:rPr>
                      <w:color w:val="auto"/>
                      <w:szCs w:val="21"/>
                    </w:rPr>
                    <w:t>排气筒高度</w:t>
                  </w:r>
                </w:p>
                <w:p>
                  <w:pPr>
                    <w:jc w:val="center"/>
                    <w:rPr>
                      <w:snapToGrid w:val="0"/>
                      <w:color w:val="auto"/>
                      <w:kern w:val="0"/>
                      <w:szCs w:val="21"/>
                    </w:rPr>
                  </w:pPr>
                  <w:r>
                    <w:rPr>
                      <w:color w:val="auto"/>
                      <w:szCs w:val="21"/>
                    </w:rPr>
                    <w:t>（m）</w:t>
                  </w:r>
                </w:p>
              </w:tc>
              <w:tc>
                <w:tcPr>
                  <w:tcW w:w="575" w:type="dxa"/>
                  <w:noWrap w:val="0"/>
                  <w:vAlign w:val="center"/>
                </w:tcPr>
                <w:p>
                  <w:pPr>
                    <w:jc w:val="center"/>
                    <w:rPr>
                      <w:snapToGrid w:val="0"/>
                      <w:color w:val="auto"/>
                      <w:kern w:val="0"/>
                      <w:szCs w:val="21"/>
                    </w:rPr>
                  </w:pPr>
                  <w:r>
                    <w:rPr>
                      <w:color w:val="auto"/>
                      <w:szCs w:val="21"/>
                    </w:rPr>
                    <w:t>限值</w:t>
                  </w:r>
                </w:p>
              </w:tc>
              <w:tc>
                <w:tcPr>
                  <w:tcW w:w="876" w:type="dxa"/>
                  <w:noWrap w:val="0"/>
                  <w:vAlign w:val="center"/>
                </w:tcPr>
                <w:p>
                  <w:pPr>
                    <w:jc w:val="center"/>
                    <w:rPr>
                      <w:snapToGrid w:val="0"/>
                      <w:color w:val="auto"/>
                      <w:kern w:val="0"/>
                      <w:szCs w:val="21"/>
                    </w:rPr>
                  </w:pPr>
                  <w:r>
                    <w:rPr>
                      <w:snapToGrid w:val="0"/>
                      <w:color w:val="auto"/>
                      <w:kern w:val="0"/>
                      <w:szCs w:val="21"/>
                    </w:rPr>
                    <w:t>监控点</w:t>
                  </w:r>
                </w:p>
              </w:tc>
              <w:tc>
                <w:tcPr>
                  <w:tcW w:w="1549" w:type="dxa"/>
                  <w:noWrap w:val="0"/>
                  <w:vAlign w:val="center"/>
                </w:tcPr>
                <w:p>
                  <w:pPr>
                    <w:jc w:val="center"/>
                    <w:rPr>
                      <w:snapToGrid w:val="0"/>
                      <w:color w:val="auto"/>
                      <w:kern w:val="0"/>
                      <w:szCs w:val="21"/>
                    </w:rPr>
                  </w:pPr>
                  <w:r>
                    <w:rPr>
                      <w:snapToGrid w:val="0"/>
                      <w:color w:val="auto"/>
                      <w:kern w:val="0"/>
                      <w:szCs w:val="21"/>
                    </w:rPr>
                    <w:t>浓度</w:t>
                  </w:r>
                </w:p>
                <w:p>
                  <w:pPr>
                    <w:jc w:val="center"/>
                    <w:rPr>
                      <w:snapToGrid w:val="0"/>
                      <w:color w:val="auto"/>
                      <w:kern w:val="0"/>
                      <w:szCs w:val="21"/>
                    </w:rPr>
                  </w:pPr>
                  <w:r>
                    <w:rPr>
                      <w:color w:val="auto"/>
                      <w:szCs w:val="21"/>
                    </w:rPr>
                    <w:t>（mg/m</w:t>
                  </w:r>
                  <w:r>
                    <w:rPr>
                      <w:color w:val="auto"/>
                      <w:szCs w:val="21"/>
                      <w:vertAlign w:val="superscript"/>
                    </w:rPr>
                    <w:t>3</w:t>
                  </w:r>
                  <w:r>
                    <w:rPr>
                      <w:color w:val="auto"/>
                      <w:szCs w:val="21"/>
                    </w:rPr>
                    <w:t>）</w:t>
                  </w:r>
                </w:p>
              </w:tc>
              <w:tc>
                <w:tcPr>
                  <w:tcW w:w="1783" w:type="dxa"/>
                  <w:vMerge w:val="continue"/>
                  <w:noWrap w:val="0"/>
                  <w:vAlign w:val="center"/>
                </w:tcPr>
                <w:p>
                  <w:pPr>
                    <w:jc w:val="center"/>
                    <w:rPr>
                      <w:snapToGrid w:val="0"/>
                      <w:color w:val="auto"/>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399" w:hRule="atLeast"/>
                <w:jc w:val="center"/>
              </w:trPr>
              <w:tc>
                <w:tcPr>
                  <w:tcW w:w="817" w:type="dxa"/>
                  <w:noWrap w:val="0"/>
                  <w:vAlign w:val="center"/>
                </w:tcPr>
                <w:p>
                  <w:pPr>
                    <w:jc w:val="center"/>
                    <w:rPr>
                      <w:color w:val="auto"/>
                      <w:szCs w:val="21"/>
                    </w:rPr>
                  </w:pPr>
                  <w:r>
                    <w:rPr>
                      <w:color w:val="auto"/>
                      <w:szCs w:val="21"/>
                    </w:rPr>
                    <w:t>颗粒物</w:t>
                  </w:r>
                </w:p>
              </w:tc>
              <w:tc>
                <w:tcPr>
                  <w:tcW w:w="1101" w:type="dxa"/>
                  <w:noWrap w:val="0"/>
                  <w:vAlign w:val="center"/>
                </w:tcPr>
                <w:p>
                  <w:pPr>
                    <w:jc w:val="center"/>
                    <w:rPr>
                      <w:snapToGrid w:val="0"/>
                      <w:color w:val="auto"/>
                      <w:kern w:val="0"/>
                      <w:szCs w:val="21"/>
                    </w:rPr>
                  </w:pPr>
                  <w:r>
                    <w:rPr>
                      <w:snapToGrid w:val="0"/>
                      <w:color w:val="auto"/>
                      <w:kern w:val="0"/>
                      <w:szCs w:val="21"/>
                    </w:rPr>
                    <w:t>20</w:t>
                  </w:r>
                </w:p>
              </w:tc>
              <w:tc>
                <w:tcPr>
                  <w:tcW w:w="1137" w:type="dxa"/>
                  <w:noWrap w:val="0"/>
                  <w:vAlign w:val="center"/>
                </w:tcPr>
                <w:p>
                  <w:pPr>
                    <w:jc w:val="center"/>
                    <w:rPr>
                      <w:snapToGrid w:val="0"/>
                      <w:color w:val="auto"/>
                      <w:kern w:val="0"/>
                      <w:szCs w:val="21"/>
                    </w:rPr>
                  </w:pPr>
                  <w:r>
                    <w:rPr>
                      <w:snapToGrid w:val="0"/>
                      <w:color w:val="auto"/>
                      <w:kern w:val="0"/>
                      <w:szCs w:val="21"/>
                    </w:rPr>
                    <w:t>15</w:t>
                  </w:r>
                </w:p>
              </w:tc>
              <w:tc>
                <w:tcPr>
                  <w:tcW w:w="575" w:type="dxa"/>
                  <w:noWrap w:val="0"/>
                  <w:vAlign w:val="center"/>
                </w:tcPr>
                <w:p>
                  <w:pPr>
                    <w:jc w:val="center"/>
                    <w:rPr>
                      <w:color w:val="auto"/>
                      <w:szCs w:val="21"/>
                    </w:rPr>
                  </w:pPr>
                  <w:r>
                    <w:rPr>
                      <w:color w:val="auto"/>
                      <w:szCs w:val="21"/>
                    </w:rPr>
                    <w:t>0.8</w:t>
                  </w:r>
                </w:p>
              </w:tc>
              <w:tc>
                <w:tcPr>
                  <w:tcW w:w="876" w:type="dxa"/>
                  <w:vMerge w:val="restart"/>
                  <w:noWrap w:val="0"/>
                  <w:vAlign w:val="center"/>
                </w:tcPr>
                <w:p>
                  <w:pPr>
                    <w:jc w:val="center"/>
                    <w:rPr>
                      <w:snapToGrid w:val="0"/>
                      <w:color w:val="auto"/>
                      <w:kern w:val="0"/>
                      <w:szCs w:val="21"/>
                    </w:rPr>
                  </w:pPr>
                  <w:r>
                    <w:rPr>
                      <w:snapToGrid w:val="0"/>
                      <w:color w:val="auto"/>
                      <w:kern w:val="0"/>
                      <w:szCs w:val="21"/>
                    </w:rPr>
                    <w:t>厂界</w:t>
                  </w:r>
                </w:p>
                <w:p>
                  <w:pPr>
                    <w:jc w:val="center"/>
                    <w:rPr>
                      <w:snapToGrid w:val="0"/>
                      <w:color w:val="auto"/>
                      <w:kern w:val="0"/>
                      <w:szCs w:val="21"/>
                    </w:rPr>
                  </w:pPr>
                </w:p>
              </w:tc>
              <w:tc>
                <w:tcPr>
                  <w:tcW w:w="1549" w:type="dxa"/>
                  <w:noWrap w:val="0"/>
                  <w:vAlign w:val="center"/>
                </w:tcPr>
                <w:p>
                  <w:pPr>
                    <w:jc w:val="center"/>
                    <w:rPr>
                      <w:snapToGrid w:val="0"/>
                      <w:color w:val="auto"/>
                      <w:kern w:val="0"/>
                      <w:szCs w:val="21"/>
                    </w:rPr>
                  </w:pPr>
                  <w:r>
                    <w:rPr>
                      <w:snapToGrid w:val="0"/>
                      <w:color w:val="auto"/>
                      <w:kern w:val="0"/>
                      <w:szCs w:val="21"/>
                    </w:rPr>
                    <w:t>0.3</w:t>
                  </w:r>
                </w:p>
              </w:tc>
              <w:tc>
                <w:tcPr>
                  <w:tcW w:w="1783" w:type="dxa"/>
                  <w:vMerge w:val="restart"/>
                  <w:noWrap w:val="0"/>
                  <w:vAlign w:val="center"/>
                </w:tcPr>
                <w:p>
                  <w:pPr>
                    <w:jc w:val="center"/>
                    <w:rPr>
                      <w:color w:val="auto"/>
                      <w:szCs w:val="21"/>
                    </w:rPr>
                  </w:pPr>
                  <w:r>
                    <w:rPr>
                      <w:color w:val="auto"/>
                      <w:szCs w:val="21"/>
                    </w:rPr>
                    <w:t>上海市《大气污染物综</w:t>
                  </w:r>
                </w:p>
                <w:p>
                  <w:pPr>
                    <w:jc w:val="center"/>
                    <w:rPr>
                      <w:color w:val="auto"/>
                      <w:szCs w:val="21"/>
                    </w:rPr>
                  </w:pPr>
                  <w:r>
                    <w:rPr>
                      <w:color w:val="auto"/>
                      <w:szCs w:val="21"/>
                    </w:rPr>
                    <w:t>合排放标准》（DB31933-2015）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399" w:hRule="atLeast"/>
                <w:jc w:val="center"/>
              </w:trPr>
              <w:tc>
                <w:tcPr>
                  <w:tcW w:w="817" w:type="dxa"/>
                  <w:noWrap w:val="0"/>
                  <w:vAlign w:val="center"/>
                </w:tcPr>
                <w:p>
                  <w:pPr>
                    <w:jc w:val="center"/>
                    <w:rPr>
                      <w:color w:val="auto"/>
                      <w:szCs w:val="21"/>
                    </w:rPr>
                  </w:pPr>
                  <w:r>
                    <w:rPr>
                      <w:color w:val="auto"/>
                      <w:szCs w:val="21"/>
                    </w:rPr>
                    <w:t>二甲苯</w:t>
                  </w:r>
                </w:p>
              </w:tc>
              <w:tc>
                <w:tcPr>
                  <w:tcW w:w="1101" w:type="dxa"/>
                  <w:noWrap w:val="0"/>
                  <w:vAlign w:val="center"/>
                </w:tcPr>
                <w:p>
                  <w:pPr>
                    <w:jc w:val="center"/>
                    <w:rPr>
                      <w:snapToGrid w:val="0"/>
                      <w:color w:val="auto"/>
                      <w:kern w:val="0"/>
                      <w:szCs w:val="21"/>
                    </w:rPr>
                  </w:pPr>
                  <w:r>
                    <w:rPr>
                      <w:snapToGrid w:val="0"/>
                      <w:color w:val="auto"/>
                      <w:kern w:val="0"/>
                      <w:szCs w:val="21"/>
                    </w:rPr>
                    <w:t>20</w:t>
                  </w:r>
                </w:p>
              </w:tc>
              <w:tc>
                <w:tcPr>
                  <w:tcW w:w="1137" w:type="dxa"/>
                  <w:noWrap w:val="0"/>
                  <w:vAlign w:val="center"/>
                </w:tcPr>
                <w:p>
                  <w:pPr>
                    <w:jc w:val="center"/>
                    <w:rPr>
                      <w:snapToGrid w:val="0"/>
                      <w:color w:val="auto"/>
                      <w:kern w:val="0"/>
                      <w:szCs w:val="21"/>
                    </w:rPr>
                  </w:pPr>
                  <w:r>
                    <w:rPr>
                      <w:snapToGrid w:val="0"/>
                      <w:color w:val="auto"/>
                      <w:kern w:val="0"/>
                      <w:szCs w:val="21"/>
                    </w:rPr>
                    <w:t>15</w:t>
                  </w:r>
                </w:p>
              </w:tc>
              <w:tc>
                <w:tcPr>
                  <w:tcW w:w="575" w:type="dxa"/>
                  <w:noWrap w:val="0"/>
                  <w:vAlign w:val="center"/>
                </w:tcPr>
                <w:p>
                  <w:pPr>
                    <w:jc w:val="center"/>
                    <w:rPr>
                      <w:color w:val="auto"/>
                      <w:szCs w:val="21"/>
                    </w:rPr>
                  </w:pPr>
                  <w:r>
                    <w:rPr>
                      <w:color w:val="auto"/>
                      <w:szCs w:val="21"/>
                    </w:rPr>
                    <w:t>0.8</w:t>
                  </w:r>
                </w:p>
              </w:tc>
              <w:tc>
                <w:tcPr>
                  <w:tcW w:w="876" w:type="dxa"/>
                  <w:vMerge w:val="continue"/>
                  <w:noWrap w:val="0"/>
                  <w:vAlign w:val="center"/>
                </w:tcPr>
                <w:p>
                  <w:pPr>
                    <w:jc w:val="center"/>
                    <w:rPr>
                      <w:snapToGrid w:val="0"/>
                      <w:color w:val="auto"/>
                      <w:kern w:val="0"/>
                      <w:szCs w:val="21"/>
                    </w:rPr>
                  </w:pPr>
                </w:p>
              </w:tc>
              <w:tc>
                <w:tcPr>
                  <w:tcW w:w="1549" w:type="dxa"/>
                  <w:noWrap w:val="0"/>
                  <w:vAlign w:val="center"/>
                </w:tcPr>
                <w:p>
                  <w:pPr>
                    <w:jc w:val="center"/>
                    <w:rPr>
                      <w:snapToGrid w:val="0"/>
                      <w:color w:val="auto"/>
                      <w:kern w:val="0"/>
                      <w:szCs w:val="21"/>
                    </w:rPr>
                  </w:pPr>
                  <w:r>
                    <w:rPr>
                      <w:snapToGrid w:val="0"/>
                      <w:color w:val="auto"/>
                      <w:kern w:val="0"/>
                      <w:szCs w:val="21"/>
                    </w:rPr>
                    <w:t>0.2</w:t>
                  </w:r>
                </w:p>
              </w:tc>
              <w:tc>
                <w:tcPr>
                  <w:tcW w:w="1783" w:type="dxa"/>
                  <w:vMerge w:val="continue"/>
                  <w:noWrap w:val="0"/>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399" w:hRule="atLeast"/>
                <w:jc w:val="center"/>
              </w:trPr>
              <w:tc>
                <w:tcPr>
                  <w:tcW w:w="817" w:type="dxa"/>
                  <w:noWrap w:val="0"/>
                  <w:vAlign w:val="center"/>
                </w:tcPr>
                <w:p>
                  <w:pPr>
                    <w:jc w:val="center"/>
                    <w:rPr>
                      <w:color w:val="auto"/>
                      <w:szCs w:val="21"/>
                    </w:rPr>
                  </w:pPr>
                  <w:r>
                    <w:rPr>
                      <w:color w:val="auto"/>
                      <w:szCs w:val="21"/>
                    </w:rPr>
                    <w:t>锡及其化合物</w:t>
                  </w:r>
                </w:p>
              </w:tc>
              <w:tc>
                <w:tcPr>
                  <w:tcW w:w="1101" w:type="dxa"/>
                  <w:noWrap w:val="0"/>
                  <w:vAlign w:val="center"/>
                </w:tcPr>
                <w:p>
                  <w:pPr>
                    <w:jc w:val="center"/>
                    <w:rPr>
                      <w:snapToGrid w:val="0"/>
                      <w:color w:val="auto"/>
                      <w:kern w:val="0"/>
                      <w:szCs w:val="21"/>
                    </w:rPr>
                  </w:pPr>
                  <w:r>
                    <w:rPr>
                      <w:snapToGrid w:val="0"/>
                      <w:color w:val="auto"/>
                      <w:kern w:val="0"/>
                      <w:szCs w:val="21"/>
                    </w:rPr>
                    <w:t>5</w:t>
                  </w:r>
                </w:p>
              </w:tc>
              <w:tc>
                <w:tcPr>
                  <w:tcW w:w="1137" w:type="dxa"/>
                  <w:noWrap w:val="0"/>
                  <w:vAlign w:val="center"/>
                </w:tcPr>
                <w:p>
                  <w:pPr>
                    <w:jc w:val="center"/>
                    <w:rPr>
                      <w:snapToGrid w:val="0"/>
                      <w:color w:val="auto"/>
                      <w:kern w:val="0"/>
                      <w:szCs w:val="21"/>
                    </w:rPr>
                  </w:pPr>
                  <w:r>
                    <w:rPr>
                      <w:snapToGrid w:val="0"/>
                      <w:color w:val="auto"/>
                      <w:kern w:val="0"/>
                      <w:szCs w:val="21"/>
                    </w:rPr>
                    <w:t>15</w:t>
                  </w:r>
                </w:p>
              </w:tc>
              <w:tc>
                <w:tcPr>
                  <w:tcW w:w="575" w:type="dxa"/>
                  <w:noWrap w:val="0"/>
                  <w:vAlign w:val="center"/>
                </w:tcPr>
                <w:p>
                  <w:pPr>
                    <w:jc w:val="center"/>
                    <w:rPr>
                      <w:color w:val="auto"/>
                      <w:szCs w:val="21"/>
                    </w:rPr>
                  </w:pPr>
                  <w:r>
                    <w:rPr>
                      <w:color w:val="auto"/>
                      <w:szCs w:val="21"/>
                    </w:rPr>
                    <w:t>0.22</w:t>
                  </w:r>
                </w:p>
              </w:tc>
              <w:tc>
                <w:tcPr>
                  <w:tcW w:w="876" w:type="dxa"/>
                  <w:vMerge w:val="continue"/>
                  <w:noWrap w:val="0"/>
                  <w:vAlign w:val="center"/>
                </w:tcPr>
                <w:p>
                  <w:pPr>
                    <w:jc w:val="center"/>
                    <w:rPr>
                      <w:snapToGrid w:val="0"/>
                      <w:color w:val="auto"/>
                      <w:kern w:val="0"/>
                      <w:szCs w:val="21"/>
                    </w:rPr>
                  </w:pPr>
                </w:p>
              </w:tc>
              <w:tc>
                <w:tcPr>
                  <w:tcW w:w="1549" w:type="dxa"/>
                  <w:noWrap w:val="0"/>
                  <w:vAlign w:val="center"/>
                </w:tcPr>
                <w:p>
                  <w:pPr>
                    <w:jc w:val="center"/>
                    <w:rPr>
                      <w:snapToGrid w:val="0"/>
                      <w:color w:val="auto"/>
                      <w:kern w:val="0"/>
                      <w:szCs w:val="21"/>
                    </w:rPr>
                  </w:pPr>
                  <w:r>
                    <w:rPr>
                      <w:snapToGrid w:val="0"/>
                      <w:color w:val="auto"/>
                      <w:kern w:val="0"/>
                      <w:szCs w:val="21"/>
                    </w:rPr>
                    <w:t>0.06</w:t>
                  </w:r>
                </w:p>
              </w:tc>
              <w:tc>
                <w:tcPr>
                  <w:tcW w:w="1783" w:type="dxa"/>
                  <w:vMerge w:val="continue"/>
                  <w:noWrap w:val="0"/>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399" w:hRule="atLeast"/>
                <w:jc w:val="center"/>
              </w:trPr>
              <w:tc>
                <w:tcPr>
                  <w:tcW w:w="817" w:type="dxa"/>
                  <w:vMerge w:val="restart"/>
                  <w:noWrap w:val="0"/>
                  <w:vAlign w:val="center"/>
                </w:tcPr>
                <w:p>
                  <w:pPr>
                    <w:jc w:val="center"/>
                    <w:rPr>
                      <w:color w:val="auto"/>
                      <w:kern w:val="0"/>
                      <w:szCs w:val="21"/>
                    </w:rPr>
                  </w:pPr>
                  <w:r>
                    <w:rPr>
                      <w:color w:val="auto"/>
                      <w:szCs w:val="21"/>
                    </w:rPr>
                    <w:t>非甲烷总烃</w:t>
                  </w:r>
                </w:p>
              </w:tc>
              <w:tc>
                <w:tcPr>
                  <w:tcW w:w="1101" w:type="dxa"/>
                  <w:noWrap w:val="0"/>
                  <w:vAlign w:val="center"/>
                </w:tcPr>
                <w:p>
                  <w:pPr>
                    <w:jc w:val="center"/>
                    <w:rPr>
                      <w:snapToGrid w:val="0"/>
                      <w:color w:val="auto"/>
                      <w:kern w:val="0"/>
                      <w:szCs w:val="21"/>
                    </w:rPr>
                  </w:pPr>
                  <w:r>
                    <w:rPr>
                      <w:snapToGrid w:val="0"/>
                      <w:color w:val="auto"/>
                      <w:kern w:val="0"/>
                      <w:szCs w:val="21"/>
                    </w:rPr>
                    <w:t>70</w:t>
                  </w:r>
                </w:p>
              </w:tc>
              <w:tc>
                <w:tcPr>
                  <w:tcW w:w="1137" w:type="dxa"/>
                  <w:noWrap w:val="0"/>
                  <w:vAlign w:val="center"/>
                </w:tcPr>
                <w:p>
                  <w:pPr>
                    <w:jc w:val="center"/>
                    <w:rPr>
                      <w:snapToGrid w:val="0"/>
                      <w:color w:val="auto"/>
                      <w:kern w:val="0"/>
                      <w:szCs w:val="21"/>
                    </w:rPr>
                  </w:pPr>
                  <w:r>
                    <w:rPr>
                      <w:snapToGrid w:val="0"/>
                      <w:color w:val="auto"/>
                      <w:kern w:val="0"/>
                      <w:szCs w:val="21"/>
                    </w:rPr>
                    <w:t>15</w:t>
                  </w:r>
                </w:p>
              </w:tc>
              <w:tc>
                <w:tcPr>
                  <w:tcW w:w="575" w:type="dxa"/>
                  <w:noWrap w:val="0"/>
                  <w:vAlign w:val="center"/>
                </w:tcPr>
                <w:p>
                  <w:pPr>
                    <w:jc w:val="center"/>
                    <w:rPr>
                      <w:color w:val="auto"/>
                      <w:szCs w:val="21"/>
                    </w:rPr>
                  </w:pPr>
                  <w:r>
                    <w:rPr>
                      <w:color w:val="auto"/>
                      <w:szCs w:val="21"/>
                    </w:rPr>
                    <w:t>3.0</w:t>
                  </w:r>
                </w:p>
              </w:tc>
              <w:tc>
                <w:tcPr>
                  <w:tcW w:w="876" w:type="dxa"/>
                  <w:vMerge w:val="continue"/>
                  <w:noWrap w:val="0"/>
                  <w:vAlign w:val="center"/>
                </w:tcPr>
                <w:p>
                  <w:pPr>
                    <w:jc w:val="center"/>
                    <w:rPr>
                      <w:snapToGrid w:val="0"/>
                      <w:color w:val="auto"/>
                      <w:kern w:val="0"/>
                      <w:szCs w:val="21"/>
                    </w:rPr>
                  </w:pPr>
                </w:p>
              </w:tc>
              <w:tc>
                <w:tcPr>
                  <w:tcW w:w="1549" w:type="dxa"/>
                  <w:noWrap w:val="0"/>
                  <w:vAlign w:val="center"/>
                </w:tcPr>
                <w:p>
                  <w:pPr>
                    <w:jc w:val="center"/>
                    <w:rPr>
                      <w:snapToGrid w:val="0"/>
                      <w:color w:val="auto"/>
                      <w:kern w:val="0"/>
                      <w:szCs w:val="21"/>
                    </w:rPr>
                  </w:pPr>
                  <w:r>
                    <w:rPr>
                      <w:snapToGrid w:val="0"/>
                      <w:color w:val="auto"/>
                      <w:kern w:val="0"/>
                      <w:szCs w:val="21"/>
                    </w:rPr>
                    <w:t>4.0</w:t>
                  </w:r>
                </w:p>
              </w:tc>
              <w:tc>
                <w:tcPr>
                  <w:tcW w:w="1783" w:type="dxa"/>
                  <w:vMerge w:val="continue"/>
                  <w:noWrap w:val="0"/>
                  <w:vAlign w:val="center"/>
                </w:tcPr>
                <w:p>
                  <w:pPr>
                    <w:jc w:val="center"/>
                    <w:rPr>
                      <w:color w:val="auto"/>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28" w:type="dxa"/>
                  <w:left w:w="28" w:type="dxa"/>
                  <w:bottom w:w="28" w:type="dxa"/>
                  <w:right w:w="28" w:type="dxa"/>
                </w:tblCellMar>
              </w:tblPrEx>
              <w:trPr>
                <w:cantSplit/>
                <w:trHeight w:val="659" w:hRule="atLeast"/>
                <w:jc w:val="center"/>
              </w:trPr>
              <w:tc>
                <w:tcPr>
                  <w:tcW w:w="817" w:type="dxa"/>
                  <w:vMerge w:val="continue"/>
                  <w:noWrap w:val="0"/>
                  <w:vAlign w:val="center"/>
                </w:tcPr>
                <w:p>
                  <w:pPr>
                    <w:widowControl/>
                    <w:jc w:val="center"/>
                    <w:rPr>
                      <w:color w:val="auto"/>
                      <w:kern w:val="0"/>
                      <w:szCs w:val="21"/>
                    </w:rPr>
                  </w:pPr>
                </w:p>
              </w:tc>
              <w:tc>
                <w:tcPr>
                  <w:tcW w:w="1101" w:type="dxa"/>
                  <w:noWrap w:val="0"/>
                  <w:vAlign w:val="center"/>
                </w:tcPr>
                <w:p>
                  <w:pPr>
                    <w:jc w:val="center"/>
                    <w:rPr>
                      <w:snapToGrid w:val="0"/>
                      <w:color w:val="auto"/>
                      <w:kern w:val="0"/>
                      <w:szCs w:val="21"/>
                    </w:rPr>
                  </w:pPr>
                  <w:r>
                    <w:rPr>
                      <w:snapToGrid w:val="0"/>
                      <w:color w:val="auto"/>
                      <w:kern w:val="0"/>
                      <w:szCs w:val="21"/>
                    </w:rPr>
                    <w:t>/</w:t>
                  </w:r>
                </w:p>
              </w:tc>
              <w:tc>
                <w:tcPr>
                  <w:tcW w:w="1137" w:type="dxa"/>
                  <w:noWrap w:val="0"/>
                  <w:vAlign w:val="center"/>
                </w:tcPr>
                <w:p>
                  <w:pPr>
                    <w:jc w:val="center"/>
                    <w:rPr>
                      <w:color w:val="auto"/>
                    </w:rPr>
                  </w:pPr>
                  <w:r>
                    <w:rPr>
                      <w:color w:val="auto"/>
                    </w:rPr>
                    <w:t>/</w:t>
                  </w:r>
                </w:p>
              </w:tc>
              <w:tc>
                <w:tcPr>
                  <w:tcW w:w="575" w:type="dxa"/>
                  <w:noWrap w:val="0"/>
                  <w:vAlign w:val="center"/>
                </w:tcPr>
                <w:p>
                  <w:pPr>
                    <w:jc w:val="center"/>
                    <w:rPr>
                      <w:color w:val="auto"/>
                      <w:szCs w:val="21"/>
                    </w:rPr>
                  </w:pPr>
                  <w:r>
                    <w:rPr>
                      <w:color w:val="auto"/>
                      <w:szCs w:val="21"/>
                    </w:rPr>
                    <w:t>/</w:t>
                  </w:r>
                </w:p>
              </w:tc>
              <w:tc>
                <w:tcPr>
                  <w:tcW w:w="876" w:type="dxa"/>
                  <w:noWrap w:val="0"/>
                  <w:vAlign w:val="center"/>
                </w:tcPr>
                <w:p>
                  <w:pPr>
                    <w:jc w:val="center"/>
                    <w:rPr>
                      <w:color w:val="auto"/>
                    </w:rPr>
                  </w:pPr>
                  <w:r>
                    <w:rPr>
                      <w:snapToGrid w:val="0"/>
                      <w:color w:val="auto"/>
                      <w:kern w:val="0"/>
                      <w:szCs w:val="21"/>
                    </w:rPr>
                    <w:t>厂区内厂房外</w:t>
                  </w:r>
                </w:p>
              </w:tc>
              <w:tc>
                <w:tcPr>
                  <w:tcW w:w="1549" w:type="dxa"/>
                  <w:noWrap w:val="0"/>
                  <w:vAlign w:val="center"/>
                </w:tcPr>
                <w:p>
                  <w:pPr>
                    <w:jc w:val="center"/>
                    <w:rPr>
                      <w:rFonts w:hint="eastAsia"/>
                      <w:color w:val="auto"/>
                    </w:rPr>
                  </w:pPr>
                  <w:r>
                    <w:rPr>
                      <w:color w:val="auto"/>
                    </w:rPr>
                    <w:t>6.0</w:t>
                  </w:r>
                  <w:r>
                    <w:rPr>
                      <w:rFonts w:hint="eastAsia"/>
                      <w:color w:val="auto"/>
                    </w:rPr>
                    <w:t>（1h平均值）</w:t>
                  </w:r>
                </w:p>
                <w:p>
                  <w:pPr>
                    <w:pStyle w:val="3"/>
                    <w:ind w:left="0" w:leftChars="0" w:firstLine="0" w:firstLineChars="0"/>
                    <w:rPr>
                      <w:color w:val="auto"/>
                    </w:rPr>
                  </w:pPr>
                  <w:r>
                    <w:rPr>
                      <w:rStyle w:val="24"/>
                      <w:rFonts w:hint="eastAsia"/>
                      <w:color w:val="auto"/>
                      <w:szCs w:val="20"/>
                    </w:rPr>
                    <w:t>20（任意一次值）</w:t>
                  </w:r>
                </w:p>
              </w:tc>
              <w:tc>
                <w:tcPr>
                  <w:tcW w:w="1783" w:type="dxa"/>
                  <w:noWrap w:val="0"/>
                  <w:vAlign w:val="center"/>
                </w:tcPr>
                <w:p>
                  <w:pPr>
                    <w:jc w:val="center"/>
                    <w:rPr>
                      <w:color w:val="auto"/>
                      <w:szCs w:val="21"/>
                    </w:rPr>
                  </w:pPr>
                  <w:r>
                    <w:rPr>
                      <w:color w:val="auto"/>
                      <w:szCs w:val="21"/>
                    </w:rPr>
                    <w:t>《挥发性有机物无组织排放控制标准》（GB37822-2019）</w:t>
                  </w:r>
                </w:p>
              </w:tc>
            </w:tr>
          </w:tbl>
          <w:p>
            <w:pPr>
              <w:spacing w:line="360" w:lineRule="auto"/>
              <w:ind w:firstLine="482" w:firstLineChars="200"/>
              <w:rPr>
                <w:b/>
                <w:bCs/>
                <w:color w:val="auto"/>
                <w:sz w:val="24"/>
              </w:rPr>
            </w:pPr>
            <w:r>
              <w:rPr>
                <w:rFonts w:hint="eastAsia"/>
                <w:b/>
                <w:bCs/>
                <w:color w:val="auto"/>
                <w:sz w:val="24"/>
                <w:lang w:eastAsia="zh-CN"/>
              </w:rPr>
              <w:t>（三）</w:t>
            </w:r>
            <w:r>
              <w:rPr>
                <w:b/>
                <w:bCs/>
                <w:color w:val="auto"/>
                <w:sz w:val="24"/>
              </w:rPr>
              <w:t>噪声</w:t>
            </w:r>
          </w:p>
          <w:p>
            <w:pPr>
              <w:tabs>
                <w:tab w:val="left" w:pos="5142"/>
              </w:tabs>
              <w:snapToGrid w:val="0"/>
              <w:spacing w:line="360" w:lineRule="auto"/>
              <w:ind w:firstLine="600" w:firstLineChars="250"/>
              <w:rPr>
                <w:color w:val="auto"/>
              </w:rPr>
            </w:pPr>
            <w:r>
              <w:rPr>
                <w:rFonts w:hint="eastAsia"/>
                <w:color w:val="auto"/>
                <w:sz w:val="24"/>
              </w:rPr>
              <w:t>本项目</w:t>
            </w:r>
            <w:r>
              <w:rPr>
                <w:color w:val="auto"/>
                <w:sz w:val="24"/>
                <w:lang w:val="ru-RU"/>
              </w:rPr>
              <w:t>施工期噪声</w:t>
            </w:r>
            <w:r>
              <w:rPr>
                <w:rFonts w:hint="eastAsia"/>
                <w:color w:val="auto"/>
                <w:sz w:val="24"/>
                <w:lang w:val="ru-RU"/>
              </w:rPr>
              <w:t>排放</w:t>
            </w:r>
            <w:r>
              <w:rPr>
                <w:color w:val="auto"/>
                <w:sz w:val="24"/>
                <w:lang w:val="ru-RU"/>
              </w:rPr>
              <w:t>执行《建筑施工场界环境噪声排放标准》（GB12523-2011）；营运期厂界噪声</w:t>
            </w:r>
            <w:r>
              <w:rPr>
                <w:rFonts w:hint="eastAsia"/>
                <w:color w:val="auto"/>
                <w:sz w:val="24"/>
                <w:lang w:val="ru-RU"/>
              </w:rPr>
              <w:t>排放</w:t>
            </w:r>
            <w:r>
              <w:rPr>
                <w:color w:val="auto"/>
                <w:sz w:val="24"/>
                <w:lang w:val="ru-RU"/>
              </w:rPr>
              <w:t>执行《工业企业厂界环境噪声排放标准》（GB12348-2008）中3类</w:t>
            </w:r>
            <w:r>
              <w:rPr>
                <w:rFonts w:hint="eastAsia"/>
                <w:color w:val="auto"/>
                <w:sz w:val="24"/>
                <w:lang w:val="ru-RU"/>
              </w:rPr>
              <w:t>区</w:t>
            </w:r>
            <w:r>
              <w:rPr>
                <w:color w:val="auto"/>
                <w:sz w:val="24"/>
                <w:lang w:val="ru-RU"/>
              </w:rPr>
              <w:t>标准</w:t>
            </w:r>
            <w:r>
              <w:rPr>
                <w:rFonts w:hint="eastAsia"/>
                <w:color w:val="auto"/>
                <w:sz w:val="24"/>
                <w:lang w:val="ru-RU"/>
              </w:rPr>
              <w:t>，具体标准限值见下表</w:t>
            </w:r>
            <w:r>
              <w:rPr>
                <w:color w:val="auto"/>
                <w:sz w:val="24"/>
                <w:lang w:val="ru-RU"/>
              </w:rPr>
              <w:t>。</w:t>
            </w:r>
          </w:p>
          <w:p>
            <w:pPr>
              <w:widowControl/>
              <w:numPr>
                <w:ilvl w:val="0"/>
                <w:numId w:val="2"/>
              </w:numPr>
              <w:jc w:val="center"/>
              <w:rPr>
                <w:b/>
                <w:color w:val="auto"/>
                <w:kern w:val="0"/>
                <w:szCs w:val="21"/>
              </w:rPr>
            </w:pPr>
            <w:r>
              <w:rPr>
                <w:b/>
                <w:color w:val="auto"/>
                <w:kern w:val="0"/>
                <w:szCs w:val="21"/>
              </w:rPr>
              <w:t>噪声排放标准值   单位：dB（A）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360"/>
              <w:gridCol w:w="1425"/>
              <w:gridCol w:w="36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525" w:type="dxa"/>
                  <w:noWrap w:val="0"/>
                  <w:vAlign w:val="center"/>
                </w:tcPr>
                <w:p>
                  <w:pPr>
                    <w:jc w:val="center"/>
                    <w:rPr>
                      <w:rFonts w:hint="eastAsia"/>
                      <w:b/>
                      <w:color w:val="auto"/>
                      <w:szCs w:val="21"/>
                    </w:rPr>
                  </w:pPr>
                  <w:r>
                    <w:rPr>
                      <w:rFonts w:hint="eastAsia"/>
                      <w:b/>
                      <w:color w:val="auto"/>
                      <w:szCs w:val="21"/>
                    </w:rPr>
                    <w:t>执行时段</w:t>
                  </w:r>
                </w:p>
              </w:tc>
              <w:tc>
                <w:tcPr>
                  <w:tcW w:w="1360" w:type="dxa"/>
                  <w:noWrap w:val="0"/>
                  <w:vAlign w:val="center"/>
                </w:tcPr>
                <w:p>
                  <w:pPr>
                    <w:jc w:val="center"/>
                    <w:rPr>
                      <w:b/>
                      <w:color w:val="auto"/>
                      <w:szCs w:val="21"/>
                    </w:rPr>
                  </w:pPr>
                  <w:r>
                    <w:rPr>
                      <w:b/>
                      <w:color w:val="auto"/>
                      <w:szCs w:val="21"/>
                    </w:rPr>
                    <w:t>昼间</w:t>
                  </w:r>
                </w:p>
              </w:tc>
              <w:tc>
                <w:tcPr>
                  <w:tcW w:w="1425" w:type="dxa"/>
                  <w:noWrap w:val="0"/>
                  <w:vAlign w:val="center"/>
                </w:tcPr>
                <w:p>
                  <w:pPr>
                    <w:jc w:val="center"/>
                    <w:rPr>
                      <w:b/>
                      <w:color w:val="auto"/>
                      <w:szCs w:val="21"/>
                    </w:rPr>
                  </w:pPr>
                  <w:r>
                    <w:rPr>
                      <w:b/>
                      <w:color w:val="auto"/>
                      <w:szCs w:val="21"/>
                    </w:rPr>
                    <w:t>夜间</w:t>
                  </w:r>
                </w:p>
              </w:tc>
              <w:tc>
                <w:tcPr>
                  <w:tcW w:w="3630" w:type="dxa"/>
                  <w:noWrap w:val="0"/>
                  <w:vAlign w:val="center"/>
                </w:tcPr>
                <w:p>
                  <w:pPr>
                    <w:jc w:val="center"/>
                    <w:rPr>
                      <w:rFonts w:hint="eastAsia"/>
                      <w:b/>
                      <w:color w:val="auto"/>
                      <w:szCs w:val="21"/>
                    </w:rPr>
                  </w:pPr>
                  <w:r>
                    <w:rPr>
                      <w:rFonts w:hint="eastAsia"/>
                      <w:b/>
                      <w:color w:val="auto"/>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1525" w:type="dxa"/>
                  <w:noWrap w:val="0"/>
                  <w:vAlign w:val="center"/>
                </w:tcPr>
                <w:p>
                  <w:pPr>
                    <w:jc w:val="center"/>
                    <w:rPr>
                      <w:rFonts w:hint="eastAsia"/>
                      <w:bCs/>
                      <w:color w:val="auto"/>
                      <w:szCs w:val="21"/>
                    </w:rPr>
                  </w:pPr>
                  <w:r>
                    <w:rPr>
                      <w:rFonts w:hint="eastAsia"/>
                      <w:bCs/>
                      <w:color w:val="auto"/>
                      <w:szCs w:val="21"/>
                    </w:rPr>
                    <w:t>施工期</w:t>
                  </w:r>
                </w:p>
              </w:tc>
              <w:tc>
                <w:tcPr>
                  <w:tcW w:w="1360" w:type="dxa"/>
                  <w:noWrap w:val="0"/>
                  <w:vAlign w:val="center"/>
                </w:tcPr>
                <w:p>
                  <w:pPr>
                    <w:jc w:val="center"/>
                    <w:rPr>
                      <w:bCs/>
                      <w:color w:val="auto"/>
                      <w:szCs w:val="21"/>
                    </w:rPr>
                  </w:pPr>
                  <w:r>
                    <w:rPr>
                      <w:bCs/>
                      <w:color w:val="auto"/>
                      <w:szCs w:val="21"/>
                    </w:rPr>
                    <w:t>70</w:t>
                  </w:r>
                </w:p>
              </w:tc>
              <w:tc>
                <w:tcPr>
                  <w:tcW w:w="1425" w:type="dxa"/>
                  <w:noWrap w:val="0"/>
                  <w:vAlign w:val="center"/>
                </w:tcPr>
                <w:p>
                  <w:pPr>
                    <w:jc w:val="center"/>
                    <w:rPr>
                      <w:bCs/>
                      <w:color w:val="auto"/>
                      <w:szCs w:val="21"/>
                    </w:rPr>
                  </w:pPr>
                  <w:r>
                    <w:rPr>
                      <w:bCs/>
                      <w:color w:val="auto"/>
                      <w:szCs w:val="21"/>
                    </w:rPr>
                    <w:t>55</w:t>
                  </w:r>
                </w:p>
              </w:tc>
              <w:tc>
                <w:tcPr>
                  <w:tcW w:w="3630" w:type="dxa"/>
                  <w:noWrap w:val="0"/>
                  <w:vAlign w:val="center"/>
                </w:tcPr>
                <w:p>
                  <w:pPr>
                    <w:jc w:val="center"/>
                    <w:rPr>
                      <w:bCs/>
                      <w:color w:val="auto"/>
                      <w:szCs w:val="21"/>
                    </w:rPr>
                  </w:pPr>
                  <w:r>
                    <w:rPr>
                      <w:bCs/>
                      <w:color w:val="auto"/>
                      <w:szCs w:val="21"/>
                    </w:rPr>
                    <w:t>《建筑施工场界环境噪声排放标准》</w:t>
                  </w:r>
                  <w:r>
                    <w:rPr>
                      <w:rFonts w:hint="eastAsia"/>
                      <w:bCs/>
                      <w:color w:val="auto"/>
                      <w:szCs w:val="21"/>
                    </w:rPr>
                    <w:t>（</w:t>
                  </w:r>
                  <w:r>
                    <w:rPr>
                      <w:bCs/>
                      <w:color w:val="auto"/>
                      <w:szCs w:val="21"/>
                    </w:rPr>
                    <w:t>GB12523-2011）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1" w:hRule="atLeast"/>
                <w:jc w:val="center"/>
              </w:trPr>
              <w:tc>
                <w:tcPr>
                  <w:tcW w:w="1525" w:type="dxa"/>
                  <w:noWrap w:val="0"/>
                  <w:vAlign w:val="center"/>
                </w:tcPr>
                <w:p>
                  <w:pPr>
                    <w:jc w:val="center"/>
                    <w:rPr>
                      <w:rFonts w:hint="eastAsia"/>
                      <w:bCs/>
                      <w:color w:val="auto"/>
                      <w:szCs w:val="21"/>
                    </w:rPr>
                  </w:pPr>
                  <w:r>
                    <w:rPr>
                      <w:rFonts w:hint="eastAsia"/>
                      <w:bCs/>
                      <w:color w:val="auto"/>
                      <w:szCs w:val="21"/>
                    </w:rPr>
                    <w:t>营运期</w:t>
                  </w:r>
                </w:p>
              </w:tc>
              <w:tc>
                <w:tcPr>
                  <w:tcW w:w="1360" w:type="dxa"/>
                  <w:noWrap w:val="0"/>
                  <w:vAlign w:val="center"/>
                </w:tcPr>
                <w:p>
                  <w:pPr>
                    <w:jc w:val="center"/>
                    <w:rPr>
                      <w:bCs/>
                      <w:color w:val="auto"/>
                      <w:szCs w:val="21"/>
                    </w:rPr>
                  </w:pPr>
                  <w:r>
                    <w:rPr>
                      <w:bCs/>
                      <w:color w:val="auto"/>
                      <w:szCs w:val="21"/>
                    </w:rPr>
                    <w:t>65</w:t>
                  </w:r>
                </w:p>
              </w:tc>
              <w:tc>
                <w:tcPr>
                  <w:tcW w:w="1425" w:type="dxa"/>
                  <w:noWrap w:val="0"/>
                  <w:vAlign w:val="center"/>
                </w:tcPr>
                <w:p>
                  <w:pPr>
                    <w:jc w:val="center"/>
                    <w:rPr>
                      <w:bCs/>
                      <w:color w:val="auto"/>
                      <w:szCs w:val="21"/>
                    </w:rPr>
                  </w:pPr>
                  <w:r>
                    <w:rPr>
                      <w:bCs/>
                      <w:color w:val="auto"/>
                      <w:szCs w:val="21"/>
                    </w:rPr>
                    <w:t>55</w:t>
                  </w:r>
                </w:p>
              </w:tc>
              <w:tc>
                <w:tcPr>
                  <w:tcW w:w="3630" w:type="dxa"/>
                  <w:noWrap w:val="0"/>
                  <w:vAlign w:val="center"/>
                </w:tcPr>
                <w:p>
                  <w:pPr>
                    <w:jc w:val="center"/>
                    <w:rPr>
                      <w:bCs/>
                      <w:color w:val="auto"/>
                      <w:szCs w:val="21"/>
                    </w:rPr>
                  </w:pPr>
                  <w:r>
                    <w:rPr>
                      <w:bCs/>
                      <w:color w:val="auto"/>
                      <w:szCs w:val="21"/>
                    </w:rPr>
                    <w:t>《工业企业厂界环境噪声排放标准》</w:t>
                  </w:r>
                  <w:r>
                    <w:rPr>
                      <w:rFonts w:hint="eastAsia"/>
                      <w:bCs/>
                      <w:color w:val="auto"/>
                      <w:szCs w:val="21"/>
                    </w:rPr>
                    <w:t>（</w:t>
                  </w:r>
                  <w:r>
                    <w:rPr>
                      <w:bCs/>
                      <w:color w:val="auto"/>
                      <w:szCs w:val="21"/>
                    </w:rPr>
                    <w:t>GB12348-2008）中3类</w:t>
                  </w:r>
                  <w:r>
                    <w:rPr>
                      <w:rFonts w:hint="eastAsia"/>
                      <w:bCs/>
                      <w:color w:val="auto"/>
                      <w:szCs w:val="21"/>
                    </w:rPr>
                    <w:t>区</w:t>
                  </w:r>
                  <w:r>
                    <w:rPr>
                      <w:bCs/>
                      <w:color w:val="auto"/>
                      <w:szCs w:val="21"/>
                    </w:rPr>
                    <w:t>标准</w:t>
                  </w:r>
                </w:p>
              </w:tc>
            </w:tr>
          </w:tbl>
          <w:p>
            <w:pPr>
              <w:spacing w:line="360" w:lineRule="auto"/>
              <w:ind w:firstLine="482" w:firstLineChars="200"/>
              <w:rPr>
                <w:b/>
                <w:bCs/>
                <w:color w:val="auto"/>
                <w:sz w:val="24"/>
              </w:rPr>
            </w:pPr>
            <w:r>
              <w:rPr>
                <w:rFonts w:hint="eastAsia"/>
                <w:b/>
                <w:bCs/>
                <w:color w:val="auto"/>
                <w:sz w:val="24"/>
                <w:lang w:eastAsia="zh-CN"/>
              </w:rPr>
              <w:t>（四）</w:t>
            </w:r>
            <w:r>
              <w:rPr>
                <w:b/>
                <w:bCs/>
                <w:color w:val="auto"/>
                <w:sz w:val="24"/>
              </w:rPr>
              <w:t>固体废物</w:t>
            </w:r>
          </w:p>
          <w:p>
            <w:pPr>
              <w:adjustRightInd w:val="0"/>
              <w:snapToGrid w:val="0"/>
              <w:spacing w:line="360" w:lineRule="auto"/>
              <w:ind w:firstLine="480" w:firstLineChars="200"/>
              <w:rPr>
                <w:rFonts w:hint="eastAsia" w:ascii="宋体" w:hAnsi="宋体" w:eastAsia="宋体" w:cs="宋体"/>
                <w:color w:val="auto"/>
                <w:kern w:val="0"/>
                <w:szCs w:val="21"/>
                <w:lang w:eastAsia="zh-CN"/>
              </w:rPr>
            </w:pPr>
            <w:r>
              <w:rPr>
                <w:color w:val="auto"/>
                <w:sz w:val="24"/>
              </w:rPr>
              <w:t>一般工业固体废物</w:t>
            </w:r>
            <w:r>
              <w:rPr>
                <w:rFonts w:hint="eastAsia"/>
                <w:color w:val="auto"/>
                <w:sz w:val="24"/>
              </w:rPr>
              <w:t>贮存及处置</w:t>
            </w:r>
            <w:r>
              <w:rPr>
                <w:color w:val="auto"/>
                <w:sz w:val="24"/>
              </w:rPr>
              <w:t>执行《中华人民共和国固体废物污染环境防治法》（中华人民共和国主席令第四十三号）要求；危险废物</w:t>
            </w:r>
            <w:r>
              <w:rPr>
                <w:rFonts w:hint="eastAsia"/>
                <w:color w:val="auto"/>
                <w:sz w:val="24"/>
              </w:rPr>
              <w:t>临时贮存</w:t>
            </w:r>
            <w:r>
              <w:rPr>
                <w:color w:val="auto"/>
                <w:sz w:val="24"/>
              </w:rPr>
              <w:t>执行《危险废物贮存污染控制标准》（GB18597-2001）及修改单（环保部2013年36号公告）</w:t>
            </w:r>
            <w:r>
              <w:rPr>
                <w:rFonts w:hint="eastAsia"/>
                <w:color w:val="auto"/>
                <w:sz w:val="24"/>
              </w:rPr>
              <w:t>要求</w:t>
            </w:r>
            <w:r>
              <w:rPr>
                <w:rFonts w:hint="eastAsia"/>
                <w:color w:val="auto"/>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总量</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b/>
                <w:color w:val="auto"/>
                <w:kern w:val="0"/>
                <w:szCs w:val="21"/>
              </w:rPr>
              <w:t>指标</w:t>
            </w:r>
          </w:p>
        </w:tc>
        <w:tc>
          <w:tcPr>
            <w:tcW w:w="8245" w:type="dxa"/>
            <w:noWrap w:val="0"/>
            <w:vAlign w:val="center"/>
          </w:tcPr>
          <w:p>
            <w:pPr>
              <w:spacing w:line="440" w:lineRule="exact"/>
              <w:ind w:firstLine="480" w:firstLineChars="200"/>
              <w:rPr>
                <w:bCs/>
                <w:color w:val="auto"/>
                <w:sz w:val="24"/>
                <w:lang w:bidi="ar"/>
              </w:rPr>
            </w:pPr>
            <w:r>
              <w:rPr>
                <w:bCs/>
                <w:color w:val="auto"/>
                <w:sz w:val="24"/>
                <w:lang w:bidi="ar"/>
              </w:rPr>
              <w:t>本项目为</w:t>
            </w:r>
            <w:r>
              <w:rPr>
                <w:rFonts w:hint="eastAsia"/>
                <w:bCs/>
                <w:color w:val="auto"/>
                <w:sz w:val="24"/>
                <w:lang w:bidi="ar"/>
              </w:rPr>
              <w:t>扩建</w:t>
            </w:r>
            <w:r>
              <w:rPr>
                <w:bCs/>
                <w:color w:val="auto"/>
                <w:sz w:val="24"/>
                <w:lang w:bidi="ar"/>
              </w:rPr>
              <w:t>项目，</w:t>
            </w:r>
            <w:r>
              <w:rPr>
                <w:color w:val="auto"/>
                <w:sz w:val="24"/>
                <w:lang w:bidi="ar"/>
              </w:rPr>
              <w:t>参照《“十三五”主要污染物总量控制规划编制技术指南》及安徽省环保厅</w:t>
            </w:r>
            <w:r>
              <w:rPr>
                <w:color w:val="auto"/>
                <w:sz w:val="24"/>
                <w:lang w:val="en-AU" w:bidi="ar"/>
              </w:rPr>
              <w:t>《关于进一步加强建设项目新增大气主要污染物总量指标管理工作的通知》（皖环发[201</w:t>
            </w:r>
            <w:r>
              <w:rPr>
                <w:color w:val="auto"/>
                <w:sz w:val="24"/>
                <w:lang w:bidi="ar"/>
              </w:rPr>
              <w:t>7</w:t>
            </w:r>
            <w:r>
              <w:rPr>
                <w:color w:val="auto"/>
                <w:sz w:val="24"/>
                <w:lang w:val="en-AU" w:bidi="ar"/>
              </w:rPr>
              <w:t>]</w:t>
            </w:r>
            <w:r>
              <w:rPr>
                <w:color w:val="auto"/>
                <w:sz w:val="24"/>
                <w:lang w:bidi="ar"/>
              </w:rPr>
              <w:t>19</w:t>
            </w:r>
            <w:r>
              <w:rPr>
                <w:color w:val="auto"/>
                <w:sz w:val="24"/>
                <w:lang w:val="en-AU" w:bidi="ar"/>
              </w:rPr>
              <w:t>号）要求</w:t>
            </w:r>
            <w:r>
              <w:rPr>
                <w:color w:val="auto"/>
                <w:sz w:val="24"/>
                <w:lang w:bidi="ar"/>
              </w:rPr>
              <w:t>，提出本项目总量控制指</w:t>
            </w:r>
            <w:r>
              <w:rPr>
                <w:bCs/>
                <w:color w:val="auto"/>
                <w:sz w:val="24"/>
                <w:lang w:bidi="ar"/>
              </w:rPr>
              <w:t>标为：COD和NH</w:t>
            </w:r>
            <w:r>
              <w:rPr>
                <w:bCs/>
                <w:color w:val="auto"/>
                <w:sz w:val="24"/>
                <w:vertAlign w:val="subscript"/>
                <w:lang w:bidi="ar"/>
              </w:rPr>
              <w:t>3</w:t>
            </w:r>
            <w:r>
              <w:rPr>
                <w:bCs/>
                <w:color w:val="auto"/>
                <w:sz w:val="24"/>
                <w:lang w:bidi="ar"/>
              </w:rPr>
              <w:t>-N、烟（粉）尘、VOCs。</w:t>
            </w:r>
          </w:p>
          <w:p>
            <w:pPr>
              <w:spacing w:line="440" w:lineRule="exact"/>
              <w:ind w:firstLine="480" w:firstLineChars="200"/>
              <w:rPr>
                <w:rFonts w:ascii="宋体" w:hAnsi="宋体" w:cs="宋体"/>
                <w:color w:val="auto"/>
                <w:kern w:val="0"/>
                <w:szCs w:val="21"/>
              </w:rPr>
            </w:pPr>
            <w:r>
              <w:rPr>
                <w:bCs/>
                <w:color w:val="auto"/>
                <w:sz w:val="24"/>
                <w:lang w:bidi="ar"/>
              </w:rPr>
              <w:t>本项目废水COD、NH</w:t>
            </w:r>
            <w:r>
              <w:rPr>
                <w:bCs/>
                <w:color w:val="auto"/>
                <w:sz w:val="24"/>
                <w:vertAlign w:val="subscript"/>
                <w:lang w:bidi="ar"/>
              </w:rPr>
              <w:t>3</w:t>
            </w:r>
            <w:r>
              <w:rPr>
                <w:bCs/>
                <w:color w:val="auto"/>
                <w:sz w:val="24"/>
                <w:lang w:bidi="ar"/>
              </w:rPr>
              <w:t>-N</w:t>
            </w:r>
            <w:r>
              <w:rPr>
                <w:rFonts w:hint="eastAsia"/>
                <w:bCs/>
                <w:color w:val="auto"/>
                <w:sz w:val="24"/>
                <w:lang w:bidi="ar"/>
              </w:rPr>
              <w:t>排放</w:t>
            </w:r>
            <w:r>
              <w:rPr>
                <w:bCs/>
                <w:color w:val="auto"/>
                <w:sz w:val="24"/>
                <w:lang w:bidi="ar"/>
              </w:rPr>
              <w:t>总量</w:t>
            </w:r>
            <w:r>
              <w:rPr>
                <w:rFonts w:hint="eastAsia"/>
                <w:color w:val="auto"/>
                <w:sz w:val="24"/>
              </w:rPr>
              <w:t>分别为</w:t>
            </w:r>
            <w:r>
              <w:rPr>
                <w:rFonts w:hint="eastAsia"/>
                <w:color w:val="auto"/>
                <w:sz w:val="24"/>
                <w:lang w:val="en-US" w:eastAsia="zh-CN"/>
              </w:rPr>
              <w:t>3.965</w:t>
            </w:r>
            <w:r>
              <w:rPr>
                <w:rFonts w:hint="eastAsia"/>
                <w:color w:val="auto"/>
                <w:sz w:val="24"/>
              </w:rPr>
              <w:t>t/a、</w:t>
            </w:r>
            <w:r>
              <w:rPr>
                <w:rFonts w:hint="eastAsia"/>
                <w:color w:val="auto"/>
                <w:sz w:val="24"/>
                <w:lang w:val="en-US" w:eastAsia="zh-CN"/>
              </w:rPr>
              <w:t>0.161</w:t>
            </w:r>
            <w:r>
              <w:rPr>
                <w:rFonts w:hint="eastAsia"/>
                <w:color w:val="auto"/>
                <w:sz w:val="24"/>
              </w:rPr>
              <w:t>t/a，</w:t>
            </w:r>
            <w:r>
              <w:rPr>
                <w:bCs/>
                <w:color w:val="auto"/>
                <w:sz w:val="24"/>
                <w:lang w:bidi="ar"/>
              </w:rPr>
              <w:t>纳入合肥市西部组团污水处理厂范畴</w:t>
            </w:r>
            <w:r>
              <w:rPr>
                <w:rFonts w:hint="eastAsia"/>
                <w:bCs/>
                <w:color w:val="auto"/>
                <w:sz w:val="24"/>
                <w:lang w:bidi="ar"/>
              </w:rPr>
              <w:t>；</w:t>
            </w:r>
            <w:r>
              <w:rPr>
                <w:bCs/>
                <w:color w:val="auto"/>
                <w:sz w:val="24"/>
                <w:lang w:bidi="ar"/>
              </w:rPr>
              <w:t xml:space="preserve">废气新增排放总量为：VOCs </w:t>
            </w:r>
            <w:r>
              <w:rPr>
                <w:rFonts w:hint="default"/>
                <w:bCs/>
                <w:color w:val="auto"/>
                <w:sz w:val="24"/>
                <w:lang w:val="zh-CN" w:eastAsia="zh-CN" w:bidi="ar"/>
              </w:rPr>
              <w:t>3.</w:t>
            </w:r>
            <w:r>
              <w:rPr>
                <w:rFonts w:hint="eastAsia"/>
                <w:bCs/>
                <w:color w:val="auto"/>
                <w:sz w:val="24"/>
                <w:lang w:val="en-US" w:eastAsia="zh-CN" w:bidi="ar"/>
              </w:rPr>
              <w:t>229</w:t>
            </w:r>
            <w:r>
              <w:rPr>
                <w:bCs/>
                <w:color w:val="auto"/>
                <w:sz w:val="24"/>
                <w:lang w:bidi="ar"/>
              </w:rPr>
              <w:t>t/a、烟（粉）尘：</w:t>
            </w:r>
            <w:r>
              <w:rPr>
                <w:rFonts w:hint="default"/>
                <w:bCs/>
                <w:color w:val="auto"/>
                <w:sz w:val="24"/>
                <w:lang w:val="zh-CN" w:eastAsia="zh-CN" w:bidi="ar"/>
              </w:rPr>
              <w:t>0.0</w:t>
            </w:r>
            <w:r>
              <w:rPr>
                <w:rFonts w:hint="eastAsia"/>
                <w:bCs/>
                <w:color w:val="auto"/>
                <w:sz w:val="24"/>
                <w:lang w:val="en-US" w:eastAsia="zh-CN" w:bidi="ar"/>
              </w:rPr>
              <w:t>2</w:t>
            </w:r>
            <w:r>
              <w:rPr>
                <w:rFonts w:hint="default"/>
                <w:bCs/>
                <w:color w:val="auto"/>
                <w:sz w:val="24"/>
                <w:lang w:val="zh-CN" w:eastAsia="zh-CN" w:bidi="ar"/>
              </w:rPr>
              <w:t>5</w:t>
            </w:r>
            <w:r>
              <w:rPr>
                <w:rFonts w:hint="eastAsia"/>
                <w:bCs/>
                <w:color w:val="auto"/>
                <w:sz w:val="24"/>
                <w:lang w:val="en-US" w:eastAsia="zh-CN" w:bidi="ar"/>
              </w:rPr>
              <w:t>5</w:t>
            </w:r>
            <w:r>
              <w:rPr>
                <w:bCs/>
                <w:color w:val="auto"/>
                <w:sz w:val="24"/>
                <w:lang w:bidi="ar"/>
              </w:rPr>
              <w:t>t/a。</w:t>
            </w:r>
          </w:p>
        </w:tc>
      </w:tr>
    </w:tbl>
    <w:p>
      <w:pPr>
        <w:pStyle w:val="18"/>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63" w:hRule="atLeast"/>
          <w:jc w:val="center"/>
        </w:trPr>
        <w:tc>
          <w:tcPr>
            <w:tcW w:w="750" w:type="dxa"/>
            <w:noWrap w:val="0"/>
            <w:tcMar>
              <w:left w:w="28" w:type="dxa"/>
              <w:right w:w="28" w:type="dxa"/>
            </w:tcMar>
            <w:vAlign w:val="center"/>
          </w:tcPr>
          <w:p>
            <w:pPr>
              <w:pStyle w:val="18"/>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施工</w:t>
            </w:r>
          </w:p>
          <w:p>
            <w:pPr>
              <w:pStyle w:val="18"/>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期环</w:t>
            </w:r>
          </w:p>
          <w:p>
            <w:pPr>
              <w:pStyle w:val="18"/>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境保</w:t>
            </w:r>
          </w:p>
          <w:p>
            <w:pPr>
              <w:pStyle w:val="18"/>
              <w:adjustRightInd w:val="0"/>
              <w:snapToGrid w:val="0"/>
              <w:spacing w:before="0" w:beforeAutospacing="0" w:after="0" w:afterAutospacing="0"/>
              <w:jc w:val="center"/>
              <w:rPr>
                <w:rFonts w:hint="eastAsia" w:cs="宋体"/>
                <w:b/>
                <w:color w:val="auto"/>
                <w:kern w:val="2"/>
                <w:sz w:val="21"/>
                <w:szCs w:val="21"/>
              </w:rPr>
            </w:pPr>
            <w:r>
              <w:rPr>
                <w:rFonts w:hint="eastAsia" w:cs="宋体"/>
                <w:b/>
                <w:color w:val="auto"/>
                <w:kern w:val="2"/>
                <w:sz w:val="21"/>
                <w:szCs w:val="21"/>
              </w:rPr>
              <w:t>护措</w:t>
            </w:r>
          </w:p>
          <w:p>
            <w:pPr>
              <w:pStyle w:val="18"/>
              <w:adjustRightInd w:val="0"/>
              <w:snapToGrid w:val="0"/>
              <w:spacing w:before="0" w:beforeAutospacing="0" w:after="0" w:afterAutospacing="0"/>
              <w:jc w:val="center"/>
              <w:rPr>
                <w:rFonts w:hint="eastAsia" w:cs="宋体"/>
                <w:bCs/>
                <w:color w:val="auto"/>
                <w:kern w:val="2"/>
                <w:sz w:val="21"/>
                <w:szCs w:val="21"/>
              </w:rPr>
            </w:pPr>
            <w:r>
              <w:rPr>
                <w:rFonts w:hint="eastAsia" w:cs="宋体"/>
                <w:b/>
                <w:color w:val="auto"/>
                <w:kern w:val="2"/>
                <w:sz w:val="21"/>
                <w:szCs w:val="21"/>
              </w:rPr>
              <w:t>施</w:t>
            </w:r>
          </w:p>
        </w:tc>
        <w:tc>
          <w:tcPr>
            <w:tcW w:w="8537" w:type="dxa"/>
            <w:noWrap w:val="0"/>
            <w:vAlign w:val="center"/>
          </w:tcPr>
          <w:p>
            <w:pPr>
              <w:spacing w:line="360" w:lineRule="auto"/>
              <w:ind w:firstLine="480" w:firstLineChars="200"/>
              <w:rPr>
                <w:rFonts w:ascii="宋体" w:hAnsi="宋体" w:cs="宋体"/>
                <w:bCs/>
                <w:color w:val="auto"/>
                <w:spacing w:val="-10"/>
                <w:szCs w:val="21"/>
              </w:rPr>
            </w:pPr>
            <w:r>
              <w:rPr>
                <w:rFonts w:hint="default" w:ascii="Times New Roman" w:hAnsi="Times New Roman" w:cs="Times New Roman"/>
                <w:bCs/>
                <w:color w:val="auto"/>
                <w:sz w:val="24"/>
              </w:rPr>
              <w:t>本项目</w:t>
            </w:r>
            <w:r>
              <w:rPr>
                <w:rFonts w:hint="default" w:ascii="Times New Roman" w:hAnsi="Times New Roman" w:cs="Times New Roman"/>
                <w:color w:val="auto"/>
                <w:sz w:val="24"/>
              </w:rPr>
              <w:t>位于安徽省合肥市高新技术产业开发区长宁大道999号，为合肥晶澳太阳能科技有限公司扩建项目，</w:t>
            </w:r>
            <w:r>
              <w:rPr>
                <w:rFonts w:hint="eastAsia"/>
                <w:color w:val="auto"/>
                <w:sz w:val="24"/>
              </w:rPr>
              <w:t>不新增建筑</w:t>
            </w:r>
            <w:r>
              <w:rPr>
                <w:rFonts w:hint="default" w:ascii="Times New Roman" w:hAnsi="Times New Roman" w:cs="Times New Roman"/>
                <w:bCs/>
                <w:color w:val="auto"/>
                <w:sz w:val="24"/>
              </w:rPr>
              <w:t>。施工期的主要工作是室内分割、装饰及设备安装调试。</w:t>
            </w:r>
            <w:r>
              <w:rPr>
                <w:rFonts w:hint="default" w:ascii="Times New Roman" w:hAnsi="Times New Roman" w:cs="Times New Roman"/>
                <w:color w:val="auto"/>
                <w:sz w:val="24"/>
              </w:rPr>
              <w:t>施工期产生的施工垃圾等固体废物委托物资公司处理，施工期施工人员生活污水依托</w:t>
            </w:r>
            <w:r>
              <w:rPr>
                <w:rFonts w:hint="eastAsia" w:ascii="Times New Roman" w:hAnsi="Times New Roman" w:cs="Times New Roman"/>
                <w:color w:val="auto"/>
                <w:sz w:val="24"/>
                <w:lang w:eastAsia="zh-CN"/>
              </w:rPr>
              <w:t>污水处理站</w:t>
            </w:r>
            <w:r>
              <w:rPr>
                <w:rFonts w:hint="default" w:ascii="Times New Roman" w:hAnsi="Times New Roman" w:cs="Times New Roman"/>
                <w:color w:val="auto"/>
                <w:sz w:val="24"/>
              </w:rPr>
              <w:t>预处理，</w:t>
            </w:r>
            <w:r>
              <w:rPr>
                <w:rFonts w:hint="default" w:ascii="Times New Roman" w:hAnsi="Times New Roman" w:cs="Times New Roman"/>
                <w:bCs/>
                <w:color w:val="auto"/>
                <w:sz w:val="24"/>
              </w:rPr>
              <w:t>设备安装、调试产生的噪声通过设备减振、厂房隔声等降噪措施。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3" w:hRule="atLeast"/>
          <w:jc w:val="center"/>
        </w:trPr>
        <w:tc>
          <w:tcPr>
            <w:tcW w:w="750" w:type="dxa"/>
            <w:noWrap w:val="0"/>
            <w:tcMar>
              <w:left w:w="28" w:type="dxa"/>
              <w:right w:w="28" w:type="dxa"/>
            </w:tcMar>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pPr>
              <w:adjustRightInd w:val="0"/>
              <w:snapToGrid w:val="0"/>
              <w:jc w:val="center"/>
              <w:rPr>
                <w:rFonts w:ascii="宋体" w:hAnsi="宋体" w:cs="宋体"/>
                <w:bCs/>
                <w:color w:val="auto"/>
                <w:szCs w:val="21"/>
              </w:rPr>
            </w:pPr>
            <w:r>
              <w:rPr>
                <w:rFonts w:hint="eastAsia" w:ascii="宋体" w:hAnsi="宋体" w:cs="宋体"/>
                <w:b/>
                <w:bCs/>
                <w:color w:val="auto"/>
                <w:szCs w:val="21"/>
              </w:rPr>
              <w:t>措施</w:t>
            </w:r>
          </w:p>
        </w:tc>
        <w:tc>
          <w:tcPr>
            <w:tcW w:w="8537" w:type="dxa"/>
            <w:noWrap w:val="0"/>
            <w:vAlign w:val="center"/>
          </w:tcPr>
          <w:p>
            <w:pPr>
              <w:widowControl/>
              <w:spacing w:line="360" w:lineRule="auto"/>
              <w:ind w:firstLine="482" w:firstLineChars="200"/>
              <w:rPr>
                <w:rFonts w:hint="eastAsia"/>
                <w:b/>
                <w:bCs/>
                <w:color w:val="auto"/>
                <w:kern w:val="0"/>
                <w:sz w:val="24"/>
                <w:lang w:bidi="ar"/>
              </w:rPr>
            </w:pPr>
            <w:r>
              <w:rPr>
                <w:rFonts w:hint="eastAsia"/>
                <w:b/>
                <w:bCs/>
                <w:color w:val="auto"/>
                <w:kern w:val="0"/>
                <w:sz w:val="24"/>
                <w:lang w:bidi="ar"/>
              </w:rPr>
              <w:t>（一）废气</w:t>
            </w:r>
          </w:p>
          <w:p>
            <w:pPr>
              <w:widowControl/>
              <w:spacing w:line="360" w:lineRule="auto"/>
              <w:ind w:firstLine="480" w:firstLineChars="200"/>
              <w:rPr>
                <w:color w:val="auto"/>
              </w:rPr>
            </w:pPr>
            <w:r>
              <w:rPr>
                <w:color w:val="auto"/>
                <w:kern w:val="0"/>
                <w:sz w:val="24"/>
                <w:lang w:bidi="ar"/>
              </w:rPr>
              <w:t>本项目废气污染物主要有</w:t>
            </w:r>
            <w:r>
              <w:rPr>
                <w:rFonts w:hint="eastAsia"/>
                <w:color w:val="auto"/>
                <w:kern w:val="0"/>
                <w:sz w:val="24"/>
                <w:lang w:eastAsia="zh-CN" w:bidi="ar"/>
              </w:rPr>
              <w:t>自动</w:t>
            </w:r>
            <w:r>
              <w:rPr>
                <w:rFonts w:hint="eastAsia"/>
                <w:color w:val="auto"/>
                <w:kern w:val="0"/>
                <w:sz w:val="24"/>
                <w:lang w:bidi="ar"/>
              </w:rPr>
              <w:t>划焊</w:t>
            </w:r>
            <w:r>
              <w:rPr>
                <w:color w:val="auto"/>
                <w:kern w:val="0"/>
                <w:sz w:val="24"/>
                <w:lang w:bidi="ar"/>
              </w:rPr>
              <w:t>废气、层压废气、</w:t>
            </w:r>
            <w:r>
              <w:rPr>
                <w:rFonts w:hint="eastAsia"/>
                <w:color w:val="auto"/>
                <w:kern w:val="0"/>
                <w:sz w:val="24"/>
                <w:lang w:bidi="ar"/>
              </w:rPr>
              <w:t>接线盒安装焊接废气、</w:t>
            </w:r>
            <w:r>
              <w:rPr>
                <w:color w:val="auto"/>
                <w:kern w:val="0"/>
                <w:sz w:val="24"/>
                <w:lang w:bidi="ar"/>
              </w:rPr>
              <w:t>固化废气、酒精擦拭</w:t>
            </w:r>
            <w:r>
              <w:rPr>
                <w:rFonts w:hint="eastAsia"/>
                <w:color w:val="auto"/>
                <w:kern w:val="0"/>
                <w:sz w:val="24"/>
                <w:lang w:bidi="ar"/>
              </w:rPr>
              <w:t>清洗</w:t>
            </w:r>
            <w:r>
              <w:rPr>
                <w:color w:val="auto"/>
                <w:kern w:val="0"/>
                <w:sz w:val="24"/>
                <w:lang w:bidi="ar"/>
              </w:rPr>
              <w:t>废气以及EVA检测废气。</w:t>
            </w:r>
          </w:p>
          <w:p>
            <w:pPr>
              <w:widowControl/>
              <w:spacing w:line="360" w:lineRule="auto"/>
              <w:ind w:firstLine="480" w:firstLineChars="200"/>
              <w:rPr>
                <w:color w:val="auto"/>
                <w:kern w:val="0"/>
                <w:sz w:val="24"/>
                <w:lang w:bidi="ar"/>
              </w:rPr>
            </w:pPr>
            <w:r>
              <w:rPr>
                <w:color w:val="auto"/>
                <w:kern w:val="0"/>
                <w:sz w:val="24"/>
                <w:lang w:bidi="ar"/>
              </w:rPr>
              <w:t>1、</w:t>
            </w:r>
            <w:r>
              <w:rPr>
                <w:rFonts w:hint="eastAsia"/>
                <w:color w:val="auto"/>
                <w:kern w:val="0"/>
                <w:sz w:val="24"/>
                <w:lang w:bidi="ar"/>
              </w:rPr>
              <w:t>自动划焊废气</w:t>
            </w:r>
          </w:p>
          <w:p>
            <w:pPr>
              <w:widowControl/>
              <w:spacing w:line="360" w:lineRule="auto"/>
              <w:ind w:firstLine="480" w:firstLineChars="200"/>
              <w:rPr>
                <w:rFonts w:ascii="Times New Roman" w:hAnsi="Times New Roman" w:eastAsia="宋体" w:cs="Times New Roman"/>
                <w:color w:val="auto"/>
                <w:kern w:val="0"/>
                <w:sz w:val="24"/>
                <w:lang w:bidi="ar"/>
              </w:rPr>
            </w:pPr>
            <w:r>
              <w:rPr>
                <w:rFonts w:ascii="Times New Roman" w:hAnsi="Times New Roman" w:eastAsia="宋体" w:cs="Times New Roman"/>
                <w:color w:val="auto"/>
                <w:kern w:val="0"/>
                <w:sz w:val="24"/>
                <w:lang w:bidi="ar"/>
              </w:rPr>
              <w:t>（1）焊接烟尘</w:t>
            </w:r>
          </w:p>
          <w:p>
            <w:pPr>
              <w:widowControl/>
              <w:spacing w:line="360" w:lineRule="auto"/>
              <w:ind w:firstLine="480" w:firstLineChars="200"/>
              <w:rPr>
                <w:rFonts w:ascii="Times New Roman" w:hAnsi="Times New Roman" w:eastAsia="宋体" w:cs="Times New Roman"/>
                <w:color w:val="auto"/>
                <w:kern w:val="0"/>
                <w:sz w:val="24"/>
                <w:lang w:bidi="ar"/>
              </w:rPr>
            </w:pPr>
            <w:r>
              <w:rPr>
                <w:rFonts w:ascii="Times New Roman" w:hAnsi="Times New Roman" w:eastAsia="宋体" w:cs="Times New Roman"/>
                <w:color w:val="auto"/>
                <w:kern w:val="0"/>
                <w:sz w:val="24"/>
                <w:lang w:bidi="ar"/>
              </w:rPr>
              <w:t>本项目焊接采用全自动加热焊接，将涂锡铜带连接点融化连接即可，焊接为电池板连接部分，起到收集和传导电流的作用，涂锡铜带的主要成分为锡、铜、银。</w:t>
            </w:r>
            <w:r>
              <w:rPr>
                <w:rFonts w:hint="eastAsia" w:ascii="Times New Roman" w:hAnsi="Times New Roman" w:eastAsia="宋体" w:cs="Times New Roman"/>
                <w:color w:val="auto"/>
                <w:kern w:val="0"/>
                <w:sz w:val="24"/>
                <w:lang w:bidi="ar"/>
              </w:rPr>
              <w:t>根据</w:t>
            </w:r>
            <w:r>
              <w:rPr>
                <w:rFonts w:ascii="Times New Roman" w:hAnsi="Times New Roman" w:eastAsia="宋体" w:cs="Times New Roman"/>
                <w:color w:val="auto"/>
                <w:kern w:val="0"/>
                <w:sz w:val="24"/>
                <w:lang w:bidi="ar"/>
              </w:rPr>
              <w:t>第</w:t>
            </w:r>
            <w:r>
              <w:rPr>
                <w:rFonts w:hint="eastAsia" w:ascii="Times New Roman" w:hAnsi="Times New Roman" w:eastAsia="宋体" w:cs="Times New Roman"/>
                <w:color w:val="auto"/>
                <w:kern w:val="0"/>
                <w:sz w:val="24"/>
                <w:lang w:bidi="ar"/>
              </w:rPr>
              <w:t>二</w:t>
            </w:r>
            <w:r>
              <w:rPr>
                <w:rFonts w:ascii="Times New Roman" w:hAnsi="Times New Roman" w:eastAsia="宋体" w:cs="Times New Roman"/>
                <w:color w:val="auto"/>
                <w:kern w:val="0"/>
                <w:sz w:val="24"/>
                <w:lang w:bidi="ar"/>
              </w:rPr>
              <w:t>次全国污染源普查工业污染源</w:t>
            </w:r>
            <w:r>
              <w:rPr>
                <w:rFonts w:hint="eastAsia" w:ascii="Times New Roman" w:hAnsi="Times New Roman" w:eastAsia="宋体" w:cs="Times New Roman"/>
                <w:color w:val="auto"/>
                <w:kern w:val="0"/>
                <w:sz w:val="24"/>
                <w:lang w:bidi="ar"/>
              </w:rPr>
              <w:t>排污系数手册-《</w:t>
            </w:r>
            <w:r>
              <w:rPr>
                <w:rFonts w:hint="eastAsia" w:ascii="Times New Roman" w:hAnsi="Times New Roman" w:eastAsia="宋体" w:cs="Times New Roman"/>
                <w:color w:val="auto"/>
                <w:kern w:val="0"/>
                <w:sz w:val="24"/>
                <w:lang w:val="en-US" w:eastAsia="zh-CN" w:bidi="ar"/>
              </w:rPr>
              <w:t>3825光伏设备与元器件制造行业系数手册</w:t>
            </w:r>
            <w:r>
              <w:rPr>
                <w:rFonts w:hint="eastAsia" w:ascii="Times New Roman" w:hAnsi="Times New Roman" w:eastAsia="宋体" w:cs="Times New Roman"/>
                <w:color w:val="auto"/>
                <w:kern w:val="0"/>
                <w:sz w:val="24"/>
                <w:lang w:bidi="ar"/>
              </w:rPr>
              <w:t>》（</w:t>
            </w:r>
            <w:r>
              <w:rPr>
                <w:rFonts w:ascii="Times New Roman" w:hAnsi="Times New Roman" w:eastAsia="宋体" w:cs="Times New Roman"/>
                <w:color w:val="auto"/>
                <w:kern w:val="0"/>
                <w:sz w:val="24"/>
                <w:lang w:bidi="ar"/>
              </w:rPr>
              <w:t>2021</w:t>
            </w:r>
            <w:r>
              <w:rPr>
                <w:rFonts w:hint="eastAsia" w:ascii="Times New Roman" w:hAnsi="Times New Roman" w:eastAsia="宋体" w:cs="Times New Roman"/>
                <w:color w:val="auto"/>
                <w:kern w:val="0"/>
                <w:sz w:val="24"/>
                <w:lang w:bidi="ar"/>
              </w:rPr>
              <w:t>年第2</w:t>
            </w:r>
            <w:r>
              <w:rPr>
                <w:rFonts w:ascii="Times New Roman" w:hAnsi="Times New Roman" w:eastAsia="宋体" w:cs="Times New Roman"/>
                <w:color w:val="auto"/>
                <w:kern w:val="0"/>
                <w:sz w:val="24"/>
                <w:lang w:bidi="ar"/>
              </w:rPr>
              <w:t>4</w:t>
            </w:r>
            <w:r>
              <w:rPr>
                <w:rFonts w:hint="eastAsia" w:ascii="Times New Roman" w:hAnsi="Times New Roman" w:eastAsia="宋体" w:cs="Times New Roman"/>
                <w:color w:val="auto"/>
                <w:kern w:val="0"/>
                <w:sz w:val="24"/>
                <w:lang w:bidi="ar"/>
              </w:rPr>
              <w:t>号，生态环境部）-</w:t>
            </w:r>
            <w:r>
              <w:rPr>
                <w:rFonts w:hint="eastAsia" w:ascii="Times New Roman" w:hAnsi="Times New Roman" w:eastAsia="宋体" w:cs="Times New Roman"/>
                <w:color w:val="auto"/>
                <w:kern w:val="0"/>
                <w:sz w:val="24"/>
                <w:lang w:eastAsia="zh-CN" w:bidi="ar"/>
              </w:rPr>
              <w:t>电池组件生产焊接层压装框</w:t>
            </w:r>
            <w:r>
              <w:rPr>
                <w:rFonts w:hint="eastAsia" w:ascii="Times New Roman" w:hAnsi="Times New Roman" w:eastAsia="宋体" w:cs="Times New Roman"/>
                <w:color w:val="auto"/>
                <w:kern w:val="0"/>
                <w:sz w:val="24"/>
                <w:lang w:val="en-US" w:eastAsia="zh-CN" w:bidi="ar"/>
              </w:rPr>
              <w:t>-不含铅焊料</w:t>
            </w:r>
            <w:r>
              <w:rPr>
                <w:rFonts w:hint="default" w:ascii="Times New Roman" w:hAnsi="Times New Roman" w:eastAsia="宋体"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助焊剂过程，</w:t>
            </w:r>
            <w:r>
              <w:rPr>
                <w:rFonts w:hint="eastAsia" w:ascii="Times New Roman" w:hAnsi="Times New Roman" w:eastAsia="宋体" w:cs="Times New Roman"/>
                <w:color w:val="auto"/>
                <w:kern w:val="0"/>
                <w:sz w:val="24"/>
                <w:lang w:bidi="ar"/>
              </w:rPr>
              <w:t>颗粒物</w:t>
            </w:r>
            <w:r>
              <w:rPr>
                <w:rFonts w:ascii="Times New Roman" w:hAnsi="Times New Roman" w:eastAsia="宋体" w:cs="Times New Roman"/>
                <w:color w:val="auto"/>
                <w:kern w:val="0"/>
                <w:sz w:val="24"/>
                <w:lang w:bidi="ar"/>
              </w:rPr>
              <w:t>产污系数为</w:t>
            </w:r>
            <w:r>
              <w:rPr>
                <w:rFonts w:hint="eastAsia" w:ascii="Times New Roman" w:hAnsi="Times New Roman" w:eastAsia="宋体" w:cs="Times New Roman"/>
                <w:color w:val="auto"/>
                <w:kern w:val="0"/>
                <w:sz w:val="24"/>
                <w:lang w:val="en-US" w:eastAsia="zh-CN" w:bidi="ar"/>
              </w:rPr>
              <w:t>0.40</w:t>
            </w:r>
            <w:r>
              <w:rPr>
                <w:rFonts w:ascii="Times New Roman" w:hAnsi="Times New Roman" w:eastAsia="宋体" w:cs="Times New Roman"/>
                <w:color w:val="auto"/>
                <w:kern w:val="0"/>
                <w:sz w:val="24"/>
                <w:lang w:bidi="ar"/>
              </w:rPr>
              <w:t>g/</w:t>
            </w:r>
            <w:r>
              <w:rPr>
                <w:rFonts w:hint="eastAsia" w:ascii="Times New Roman" w:hAnsi="Times New Roman" w:eastAsia="宋体" w:cs="Times New Roman"/>
                <w:color w:val="auto"/>
                <w:kern w:val="0"/>
                <w:sz w:val="24"/>
                <w:lang w:val="en-US" w:eastAsia="zh-CN" w:bidi="ar"/>
              </w:rPr>
              <w:t>kg</w:t>
            </w:r>
            <w:r>
              <w:rPr>
                <w:rFonts w:hint="eastAsia"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焊料，</w:t>
            </w:r>
            <w:r>
              <w:rPr>
                <w:rFonts w:ascii="Times New Roman" w:hAnsi="Times New Roman" w:eastAsia="宋体" w:cs="Times New Roman"/>
                <w:color w:val="auto"/>
                <w:kern w:val="0"/>
                <w:sz w:val="24"/>
                <w:lang w:bidi="ar"/>
              </w:rPr>
              <w:t>涂锡铜带锡及其化合物</w:t>
            </w:r>
            <w:r>
              <w:rPr>
                <w:rFonts w:hint="eastAsia" w:ascii="Times New Roman" w:hAnsi="Times New Roman" w:eastAsia="宋体" w:cs="Times New Roman"/>
                <w:color w:val="auto"/>
                <w:kern w:val="0"/>
                <w:sz w:val="24"/>
                <w:lang w:bidi="ar"/>
              </w:rPr>
              <w:t>含量为26</w:t>
            </w:r>
            <w:r>
              <w:rPr>
                <w:rFonts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bidi="ar"/>
              </w:rPr>
              <w:t>。</w:t>
            </w:r>
            <w:r>
              <w:rPr>
                <w:rFonts w:ascii="Times New Roman" w:hAnsi="Times New Roman" w:eastAsia="宋体" w:cs="Times New Roman"/>
                <w:color w:val="auto"/>
                <w:kern w:val="0"/>
                <w:sz w:val="24"/>
                <w:lang w:bidi="ar"/>
              </w:rPr>
              <w:t>本项目涂锡铜带用量为</w:t>
            </w:r>
            <w:r>
              <w:rPr>
                <w:rFonts w:hint="eastAsia" w:ascii="Times New Roman" w:hAnsi="Times New Roman" w:eastAsia="宋体" w:cs="Times New Roman"/>
                <w:color w:val="auto"/>
                <w:kern w:val="0"/>
                <w:sz w:val="24"/>
                <w:lang w:bidi="ar"/>
              </w:rPr>
              <w:t>1290</w:t>
            </w:r>
            <w:r>
              <w:rPr>
                <w:rFonts w:ascii="Times New Roman" w:hAnsi="Times New Roman" w:eastAsia="宋体" w:cs="Times New Roman"/>
                <w:color w:val="auto"/>
                <w:kern w:val="0"/>
                <w:sz w:val="24"/>
                <w:lang w:bidi="ar"/>
              </w:rPr>
              <w:t>t/a，则焊接烟尘产生量为</w:t>
            </w:r>
            <w:r>
              <w:rPr>
                <w:rFonts w:hint="eastAsia" w:ascii="Times New Roman" w:hAnsi="Times New Roman" w:eastAsia="宋体" w:cs="Times New Roman"/>
                <w:color w:val="auto"/>
                <w:kern w:val="0"/>
                <w:sz w:val="24"/>
                <w:lang w:val="en-US" w:eastAsia="zh-CN" w:bidi="ar"/>
              </w:rPr>
              <w:t>0.516</w:t>
            </w:r>
            <w:r>
              <w:rPr>
                <w:rFonts w:ascii="Times New Roman" w:hAnsi="Times New Roman" w:eastAsia="宋体" w:cs="Times New Roman"/>
                <w:color w:val="auto"/>
                <w:kern w:val="0"/>
                <w:sz w:val="24"/>
                <w:lang w:bidi="ar"/>
              </w:rPr>
              <w:t>t/a，锡及其化合物产生量为</w:t>
            </w:r>
            <w:r>
              <w:rPr>
                <w:rFonts w:hint="eastAsia" w:ascii="Times New Roman" w:hAnsi="Times New Roman" w:eastAsia="宋体" w:cs="Times New Roman"/>
                <w:color w:val="auto"/>
                <w:kern w:val="0"/>
                <w:sz w:val="24"/>
                <w:lang w:val="en-US" w:eastAsia="zh-CN" w:bidi="ar"/>
              </w:rPr>
              <w:t>0.134</w:t>
            </w:r>
            <w:r>
              <w:rPr>
                <w:rFonts w:ascii="Times New Roman" w:hAnsi="Times New Roman" w:eastAsia="宋体" w:cs="Times New Roman"/>
                <w:color w:val="auto"/>
                <w:kern w:val="0"/>
                <w:sz w:val="24"/>
                <w:lang w:bidi="ar"/>
              </w:rPr>
              <w:t>/a。</w:t>
            </w:r>
          </w:p>
          <w:p>
            <w:pPr>
              <w:widowControl/>
              <w:spacing w:line="360" w:lineRule="auto"/>
              <w:ind w:firstLine="480" w:firstLineChars="200"/>
              <w:rPr>
                <w:color w:val="auto"/>
                <w:kern w:val="0"/>
                <w:sz w:val="24"/>
                <w:lang w:bidi="ar"/>
              </w:rPr>
            </w:pPr>
            <w:r>
              <w:rPr>
                <w:color w:val="auto"/>
                <w:kern w:val="0"/>
                <w:sz w:val="24"/>
                <w:lang w:bidi="ar"/>
              </w:rPr>
              <w:t>（2）焊接有机废气</w:t>
            </w:r>
          </w:p>
          <w:p>
            <w:pPr>
              <w:widowControl/>
              <w:spacing w:line="360" w:lineRule="auto"/>
              <w:ind w:firstLine="480" w:firstLineChars="200"/>
            </w:pPr>
            <w:r>
              <w:rPr>
                <w:rFonts w:hint="eastAsia"/>
                <w:color w:val="auto"/>
                <w:kern w:val="0"/>
                <w:sz w:val="24"/>
                <w:lang w:bidi="ar"/>
              </w:rPr>
              <w:t>本</w:t>
            </w:r>
            <w:r>
              <w:rPr>
                <w:color w:val="auto"/>
                <w:kern w:val="0"/>
                <w:sz w:val="24"/>
                <w:lang w:bidi="ar"/>
              </w:rPr>
              <w:t>项目焊接过程采用的助焊剂主要成分为醇类溶剂，易挥发，根据本项目使用助焊剂MSDS，醇类溶剂最大含量约96%，本次助焊剂挥发性有机物按96%计。</w:t>
            </w:r>
            <w:r>
              <w:rPr>
                <w:rFonts w:hint="eastAsia"/>
                <w:color w:val="auto"/>
                <w:kern w:val="0"/>
                <w:sz w:val="24"/>
                <w:lang w:bidi="ar"/>
              </w:rPr>
              <w:t>根据本企业现有工程废助焊剂产生量，并结合本项目新增划焊一体机助焊剂使用方式，</w:t>
            </w:r>
            <w:r>
              <w:rPr>
                <w:color w:val="auto"/>
                <w:kern w:val="0"/>
                <w:sz w:val="24"/>
                <w:lang w:bidi="ar"/>
              </w:rPr>
              <w:t>项目助焊剂使用过程约有5%废液由设备自动回收作为危废处置，其他部分</w:t>
            </w:r>
            <w:r>
              <w:rPr>
                <w:rFonts w:hint="eastAsia"/>
                <w:color w:val="auto"/>
                <w:kern w:val="0"/>
                <w:sz w:val="24"/>
                <w:lang w:bidi="ar"/>
              </w:rPr>
              <w:t>挥发性有机物全部</w:t>
            </w:r>
            <w:r>
              <w:rPr>
                <w:color w:val="auto"/>
                <w:kern w:val="0"/>
                <w:sz w:val="24"/>
                <w:lang w:bidi="ar"/>
              </w:rPr>
              <w:t>挥发。本项目助焊剂使用量为</w:t>
            </w:r>
            <w:r>
              <w:rPr>
                <w:rFonts w:hint="eastAsia"/>
                <w:color w:val="auto"/>
                <w:kern w:val="0"/>
                <w:sz w:val="24"/>
                <w:lang w:val="en-US" w:eastAsia="zh-CN" w:bidi="ar"/>
              </w:rPr>
              <w:t>2</w:t>
            </w:r>
            <w:r>
              <w:rPr>
                <w:rFonts w:hint="eastAsia"/>
                <w:color w:val="auto"/>
                <w:kern w:val="0"/>
                <w:sz w:val="24"/>
                <w:lang w:bidi="ar"/>
              </w:rPr>
              <w:t>2.8</w:t>
            </w:r>
            <w:r>
              <w:rPr>
                <w:color w:val="auto"/>
                <w:kern w:val="0"/>
                <w:sz w:val="24"/>
                <w:lang w:bidi="ar"/>
              </w:rPr>
              <w:t>t/a，则非甲烷总烃产生量为</w:t>
            </w:r>
            <w:r>
              <w:rPr>
                <w:rFonts w:hint="eastAsia"/>
                <w:color w:val="auto"/>
                <w:kern w:val="0"/>
                <w:sz w:val="24"/>
                <w:lang w:val="en-US" w:eastAsia="zh-CN" w:bidi="ar"/>
              </w:rPr>
              <w:t>20.794</w:t>
            </w:r>
            <w:r>
              <w:rPr>
                <w:color w:val="auto"/>
                <w:kern w:val="0"/>
                <w:sz w:val="24"/>
                <w:lang w:bidi="ar"/>
              </w:rPr>
              <w:t>t/a。</w:t>
            </w:r>
          </w:p>
          <w:p>
            <w:pPr>
              <w:widowControl/>
              <w:spacing w:line="360" w:lineRule="auto"/>
              <w:ind w:firstLine="480" w:firstLineChars="200"/>
              <w:rPr>
                <w:color w:val="auto"/>
                <w:sz w:val="24"/>
              </w:rPr>
            </w:pPr>
            <w:r>
              <w:rPr>
                <w:rFonts w:hint="eastAsia"/>
                <w:color w:val="auto"/>
                <w:kern w:val="0"/>
                <w:sz w:val="24"/>
                <w:lang w:bidi="ar"/>
              </w:rPr>
              <w:t>自动划焊</w:t>
            </w:r>
            <w:r>
              <w:rPr>
                <w:color w:val="auto"/>
                <w:kern w:val="0"/>
                <w:sz w:val="24"/>
                <w:lang w:bidi="ar"/>
              </w:rPr>
              <w:t>工序于密闭划焊</w:t>
            </w:r>
            <w:r>
              <w:rPr>
                <w:rFonts w:hint="eastAsia"/>
                <w:color w:val="auto"/>
                <w:kern w:val="0"/>
                <w:sz w:val="24"/>
                <w:lang w:bidi="ar"/>
              </w:rPr>
              <w:t>一体</w:t>
            </w:r>
            <w:r>
              <w:rPr>
                <w:color w:val="auto"/>
                <w:kern w:val="0"/>
                <w:sz w:val="24"/>
                <w:lang w:bidi="ar"/>
              </w:rPr>
              <w:t>机</w:t>
            </w:r>
            <w:r>
              <w:rPr>
                <w:rFonts w:hint="eastAsia"/>
                <w:color w:val="auto"/>
                <w:kern w:val="0"/>
                <w:sz w:val="24"/>
                <w:lang w:bidi="ar"/>
              </w:rPr>
              <w:t>、汇流条焊接机</w:t>
            </w:r>
            <w:r>
              <w:rPr>
                <w:color w:val="auto"/>
                <w:kern w:val="0"/>
                <w:sz w:val="24"/>
                <w:lang w:bidi="ar"/>
              </w:rPr>
              <w:t>内进行，</w:t>
            </w:r>
            <w:r>
              <w:rPr>
                <w:rFonts w:hint="eastAsia"/>
                <w:color w:val="auto"/>
                <w:kern w:val="0"/>
                <w:sz w:val="24"/>
                <w:lang w:bidi="ar"/>
              </w:rPr>
              <w:t>项目设</w:t>
            </w:r>
            <w:r>
              <w:rPr>
                <w:rFonts w:hint="eastAsia"/>
                <w:color w:val="auto"/>
                <w:kern w:val="0"/>
                <w:sz w:val="24"/>
                <w:lang w:val="en-US" w:eastAsia="zh-CN" w:bidi="ar"/>
              </w:rPr>
              <w:t>20</w:t>
            </w:r>
            <w:r>
              <w:rPr>
                <w:rFonts w:hint="eastAsia"/>
                <w:color w:val="auto"/>
                <w:kern w:val="0"/>
                <w:sz w:val="24"/>
                <w:lang w:bidi="ar"/>
              </w:rPr>
              <w:t>台划焊一体机、4台汇流条焊接机，每</w:t>
            </w:r>
            <w:r>
              <w:rPr>
                <w:rFonts w:hint="eastAsia"/>
                <w:color w:val="auto"/>
                <w:kern w:val="0"/>
                <w:sz w:val="24"/>
                <w:lang w:val="en-US" w:eastAsia="zh-CN" w:bidi="ar"/>
              </w:rPr>
              <w:t>10</w:t>
            </w:r>
            <w:r>
              <w:rPr>
                <w:rFonts w:hint="eastAsia"/>
                <w:color w:val="auto"/>
                <w:kern w:val="0"/>
                <w:sz w:val="24"/>
                <w:lang w:bidi="ar"/>
              </w:rPr>
              <w:t>台划焊一体机、2台汇流条焊接机通过一套废气收集及处理措施进行处理，</w:t>
            </w:r>
            <w:r>
              <w:rPr>
                <w:color w:val="auto"/>
                <w:kern w:val="0"/>
                <w:sz w:val="24"/>
                <w:lang w:bidi="ar"/>
              </w:rPr>
              <w:t>焊接产生的焊接烟尘及有机废气由设备顶部风管进行收集</w:t>
            </w:r>
            <w:r>
              <w:rPr>
                <w:rFonts w:hint="eastAsia"/>
                <w:color w:val="auto"/>
                <w:kern w:val="0"/>
                <w:sz w:val="24"/>
                <w:lang w:bidi="ar"/>
              </w:rPr>
              <w:t>分别</w:t>
            </w:r>
            <w:r>
              <w:rPr>
                <w:color w:val="auto"/>
                <w:kern w:val="0"/>
                <w:sz w:val="24"/>
                <w:lang w:bidi="ar"/>
              </w:rPr>
              <w:t>通过</w:t>
            </w:r>
            <w:r>
              <w:rPr>
                <w:rFonts w:hint="eastAsia"/>
                <w:color w:val="auto"/>
                <w:kern w:val="0"/>
                <w:sz w:val="24"/>
                <w:lang w:bidi="ar"/>
              </w:rPr>
              <w:t>2</w:t>
            </w:r>
            <w:r>
              <w:rPr>
                <w:color w:val="auto"/>
                <w:kern w:val="0"/>
                <w:sz w:val="24"/>
                <w:lang w:bidi="ar"/>
              </w:rPr>
              <w:t>套</w:t>
            </w:r>
            <w:r>
              <w:rPr>
                <w:rFonts w:hint="eastAsia"/>
                <w:color w:val="auto"/>
                <w:kern w:val="0"/>
                <w:sz w:val="24"/>
                <w:lang w:bidi="ar"/>
              </w:rPr>
              <w:t>“</w:t>
            </w:r>
            <w:r>
              <w:rPr>
                <w:rFonts w:hint="eastAsia"/>
                <w:color w:val="auto"/>
                <w:kern w:val="0"/>
                <w:sz w:val="24"/>
                <w:lang w:eastAsia="zh-CN" w:bidi="ar"/>
              </w:rPr>
              <w:t>袋式除尘</w:t>
            </w:r>
            <w:r>
              <w:rPr>
                <w:rFonts w:hint="eastAsia"/>
                <w:color w:val="auto"/>
                <w:kern w:val="0"/>
                <w:sz w:val="24"/>
                <w:lang w:bidi="ar"/>
              </w:rPr>
              <w:t>+</w:t>
            </w:r>
            <w:r>
              <w:rPr>
                <w:color w:val="auto"/>
                <w:sz w:val="24"/>
              </w:rPr>
              <w:t>二级活性炭吸附</w:t>
            </w:r>
            <w:r>
              <w:rPr>
                <w:rFonts w:hint="eastAsia"/>
                <w:color w:val="auto"/>
                <w:sz w:val="24"/>
              </w:rPr>
              <w:t>”</w:t>
            </w:r>
            <w:r>
              <w:rPr>
                <w:color w:val="auto"/>
                <w:sz w:val="24"/>
              </w:rPr>
              <w:t>装置处理</w:t>
            </w:r>
            <w:r>
              <w:rPr>
                <w:rFonts w:hint="eastAsia"/>
                <w:color w:val="auto"/>
                <w:sz w:val="24"/>
              </w:rPr>
              <w:t>分别</w:t>
            </w:r>
            <w:r>
              <w:rPr>
                <w:color w:val="auto"/>
                <w:sz w:val="24"/>
              </w:rPr>
              <w:t>通过</w:t>
            </w:r>
            <w:r>
              <w:rPr>
                <w:rFonts w:hint="eastAsia"/>
                <w:color w:val="auto"/>
                <w:sz w:val="24"/>
              </w:rPr>
              <w:t>2</w:t>
            </w:r>
            <w:r>
              <w:rPr>
                <w:color w:val="auto"/>
                <w:sz w:val="24"/>
              </w:rPr>
              <w:t>根</w:t>
            </w:r>
            <w:r>
              <w:rPr>
                <w:rFonts w:hint="eastAsia"/>
                <w:color w:val="auto"/>
                <w:sz w:val="24"/>
              </w:rPr>
              <w:t>23</w:t>
            </w:r>
            <w:r>
              <w:rPr>
                <w:color w:val="auto"/>
                <w:sz w:val="24"/>
              </w:rPr>
              <w:t>m高排气筒排放（DA0</w:t>
            </w:r>
            <w:r>
              <w:rPr>
                <w:rFonts w:hint="eastAsia"/>
                <w:color w:val="auto"/>
                <w:sz w:val="24"/>
              </w:rPr>
              <w:t>1</w:t>
            </w:r>
            <w:r>
              <w:rPr>
                <w:rFonts w:hint="eastAsia"/>
                <w:color w:val="auto"/>
                <w:sz w:val="24"/>
                <w:lang w:val="en-US" w:eastAsia="zh-CN"/>
              </w:rPr>
              <w:t>7</w:t>
            </w:r>
            <w:r>
              <w:rPr>
                <w:rFonts w:hint="eastAsia"/>
                <w:color w:val="auto"/>
                <w:sz w:val="24"/>
              </w:rPr>
              <w:t>、DA01</w:t>
            </w:r>
            <w:r>
              <w:rPr>
                <w:rFonts w:hint="eastAsia"/>
                <w:color w:val="auto"/>
                <w:sz w:val="24"/>
                <w:lang w:val="en-US" w:eastAsia="zh-CN"/>
              </w:rPr>
              <w:t>8</w:t>
            </w:r>
            <w:r>
              <w:rPr>
                <w:color w:val="auto"/>
                <w:sz w:val="24"/>
              </w:rPr>
              <w:t>）</w:t>
            </w:r>
            <w:r>
              <w:rPr>
                <w:color w:val="auto"/>
                <w:kern w:val="0"/>
                <w:sz w:val="24"/>
                <w:lang w:bidi="ar"/>
              </w:rPr>
              <w:t>，收集效率为9</w:t>
            </w:r>
            <w:r>
              <w:rPr>
                <w:rFonts w:hint="eastAsia"/>
                <w:color w:val="auto"/>
                <w:kern w:val="0"/>
                <w:sz w:val="24"/>
                <w:lang w:bidi="ar"/>
              </w:rPr>
              <w:t>8</w:t>
            </w:r>
            <w:r>
              <w:rPr>
                <w:color w:val="auto"/>
                <w:kern w:val="0"/>
                <w:sz w:val="24"/>
                <w:lang w:bidi="ar"/>
              </w:rPr>
              <w:t>%，</w:t>
            </w:r>
            <w:r>
              <w:rPr>
                <w:rFonts w:hint="eastAsia"/>
                <w:color w:val="auto"/>
                <w:kern w:val="0"/>
                <w:sz w:val="24"/>
                <w:lang w:bidi="ar"/>
              </w:rPr>
              <w:t>粉尘</w:t>
            </w:r>
            <w:r>
              <w:rPr>
                <w:color w:val="auto"/>
                <w:kern w:val="0"/>
                <w:sz w:val="24"/>
                <w:lang w:bidi="ar"/>
              </w:rPr>
              <w:t>去除效率为95%，有机废气去除效率为90%，引风机风量为</w:t>
            </w:r>
            <w:r>
              <w:rPr>
                <w:rFonts w:hint="eastAsia"/>
                <w:color w:val="auto"/>
                <w:kern w:val="0"/>
                <w:sz w:val="24"/>
                <w:lang w:bidi="ar"/>
              </w:rPr>
              <w:t>5</w:t>
            </w:r>
            <w:r>
              <w:rPr>
                <w:color w:val="auto"/>
                <w:kern w:val="0"/>
                <w:sz w:val="24"/>
                <w:lang w:bidi="ar"/>
              </w:rPr>
              <w:t>000</w:t>
            </w:r>
            <w:r>
              <w:rPr>
                <w:rFonts w:hint="eastAsia"/>
                <w:color w:val="auto"/>
                <w:kern w:val="0"/>
                <w:sz w:val="24"/>
                <w:lang w:bidi="ar"/>
              </w:rPr>
              <w:t>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年工作时间为8400h</w:t>
            </w:r>
            <w:r>
              <w:rPr>
                <w:color w:val="auto"/>
                <w:kern w:val="0"/>
                <w:sz w:val="24"/>
                <w:lang w:bidi="ar"/>
              </w:rPr>
              <w:t>。</w:t>
            </w:r>
            <w:r>
              <w:rPr>
                <w:color w:val="auto"/>
                <w:sz w:val="24"/>
              </w:rPr>
              <w:t>经计算，</w:t>
            </w:r>
            <w:r>
              <w:rPr>
                <w:rFonts w:hint="eastAsia"/>
                <w:color w:val="auto"/>
                <w:sz w:val="24"/>
              </w:rPr>
              <w:t>自动划焊</w:t>
            </w:r>
            <w:r>
              <w:rPr>
                <w:color w:val="auto"/>
                <w:sz w:val="24"/>
              </w:rPr>
              <w:t>有组织</w:t>
            </w:r>
            <w:r>
              <w:rPr>
                <w:rFonts w:hint="eastAsia"/>
                <w:color w:val="auto"/>
                <w:sz w:val="24"/>
              </w:rPr>
              <w:t>颗粒物、锡及其化合物、非甲烷总烃产生量分别为</w:t>
            </w:r>
            <w:r>
              <w:rPr>
                <w:rFonts w:hint="eastAsia"/>
                <w:color w:val="auto"/>
                <w:sz w:val="24"/>
                <w:lang w:val="en-US" w:eastAsia="zh-CN"/>
              </w:rPr>
              <w:t>0.506</w:t>
            </w:r>
            <w:r>
              <w:rPr>
                <w:color w:val="auto"/>
                <w:sz w:val="24"/>
              </w:rPr>
              <w:t>t/a</w:t>
            </w:r>
            <w:r>
              <w:rPr>
                <w:rFonts w:hint="eastAsia"/>
                <w:color w:val="auto"/>
                <w:sz w:val="24"/>
              </w:rPr>
              <w:t>、</w:t>
            </w:r>
            <w:r>
              <w:rPr>
                <w:rFonts w:hint="eastAsia"/>
                <w:color w:val="auto"/>
                <w:sz w:val="24"/>
                <w:lang w:val="en-US" w:eastAsia="zh-CN"/>
              </w:rPr>
              <w:t>0.131</w:t>
            </w:r>
            <w:r>
              <w:rPr>
                <w:color w:val="auto"/>
                <w:sz w:val="24"/>
              </w:rPr>
              <w:t>t/a</w:t>
            </w:r>
            <w:r>
              <w:rPr>
                <w:rFonts w:hint="eastAsia"/>
                <w:color w:val="auto"/>
                <w:sz w:val="24"/>
              </w:rPr>
              <w:t>、</w:t>
            </w:r>
            <w:r>
              <w:rPr>
                <w:rFonts w:hint="eastAsia"/>
                <w:color w:val="auto"/>
                <w:sz w:val="24"/>
                <w:lang w:val="en-US" w:eastAsia="zh-CN"/>
              </w:rPr>
              <w:t>20.378</w:t>
            </w:r>
            <w:r>
              <w:rPr>
                <w:color w:val="auto"/>
                <w:sz w:val="24"/>
              </w:rPr>
              <w:t>t/a，</w:t>
            </w:r>
            <w:r>
              <w:rPr>
                <w:rFonts w:hint="eastAsia"/>
                <w:color w:val="auto"/>
                <w:sz w:val="24"/>
              </w:rPr>
              <w:t>无组织颗粒物、锡及其化合物、非甲烷总烃产生量分别为0.</w:t>
            </w:r>
            <w:r>
              <w:rPr>
                <w:rFonts w:hint="eastAsia"/>
                <w:color w:val="auto"/>
                <w:sz w:val="24"/>
                <w:lang w:val="en-US" w:eastAsia="zh-CN"/>
              </w:rPr>
              <w:t>01</w:t>
            </w:r>
            <w:r>
              <w:rPr>
                <w:color w:val="auto"/>
                <w:sz w:val="24"/>
              </w:rPr>
              <w:t>t/a</w:t>
            </w:r>
            <w:r>
              <w:rPr>
                <w:rFonts w:hint="eastAsia"/>
                <w:color w:val="auto"/>
                <w:sz w:val="24"/>
              </w:rPr>
              <w:t>、</w:t>
            </w:r>
            <w:r>
              <w:rPr>
                <w:rFonts w:hint="eastAsia"/>
                <w:color w:val="auto"/>
                <w:sz w:val="24"/>
                <w:lang w:val="en-US" w:eastAsia="zh-CN"/>
              </w:rPr>
              <w:t>0.003</w:t>
            </w:r>
            <w:r>
              <w:rPr>
                <w:color w:val="auto"/>
                <w:sz w:val="24"/>
              </w:rPr>
              <w:t>t/a</w:t>
            </w:r>
            <w:r>
              <w:rPr>
                <w:rFonts w:hint="eastAsia"/>
                <w:color w:val="auto"/>
                <w:sz w:val="24"/>
              </w:rPr>
              <w:t>、0.</w:t>
            </w:r>
            <w:r>
              <w:rPr>
                <w:rFonts w:hint="eastAsia"/>
                <w:color w:val="auto"/>
                <w:sz w:val="24"/>
                <w:lang w:val="en-US" w:eastAsia="zh-CN"/>
              </w:rPr>
              <w:t>416</w:t>
            </w:r>
            <w:r>
              <w:rPr>
                <w:color w:val="auto"/>
                <w:sz w:val="24"/>
              </w:rPr>
              <w:t>t/a。</w:t>
            </w:r>
          </w:p>
          <w:p>
            <w:pPr>
              <w:widowControl/>
              <w:spacing w:line="360" w:lineRule="auto"/>
              <w:ind w:firstLine="480" w:firstLineChars="200"/>
              <w:rPr>
                <w:color w:val="auto"/>
                <w:kern w:val="0"/>
                <w:sz w:val="24"/>
                <w:lang w:bidi="ar"/>
              </w:rPr>
            </w:pPr>
            <w:r>
              <w:rPr>
                <w:color w:val="auto"/>
                <w:kern w:val="0"/>
                <w:sz w:val="24"/>
                <w:lang w:bidi="ar"/>
              </w:rPr>
              <w:t>2、层压废气</w:t>
            </w:r>
          </w:p>
          <w:p>
            <w:pPr>
              <w:widowControl/>
              <w:spacing w:line="360" w:lineRule="auto"/>
              <w:ind w:firstLine="480" w:firstLineChars="200"/>
              <w:rPr>
                <w:color w:val="auto"/>
                <w:kern w:val="0"/>
                <w:sz w:val="24"/>
                <w:lang w:bidi="ar"/>
              </w:rPr>
            </w:pPr>
            <w:r>
              <w:rPr>
                <w:color w:val="auto"/>
                <w:kern w:val="0"/>
                <w:sz w:val="24"/>
                <w:lang w:bidi="ar"/>
              </w:rPr>
              <w:t>本项目层压工序在高温真空条件下进行，EVA分解温度约为230℃，本项目层压加热温度为120~150℃，因此，层压过程中EVA不会分解，但在加热过程中会有少量</w:t>
            </w:r>
            <w:r>
              <w:rPr>
                <w:rFonts w:hint="eastAsia"/>
                <w:color w:val="auto"/>
                <w:kern w:val="0"/>
                <w:sz w:val="24"/>
                <w:lang w:eastAsia="zh-CN" w:bidi="ar"/>
              </w:rPr>
              <w:t>有机废气</w:t>
            </w:r>
            <w:r>
              <w:rPr>
                <w:color w:val="auto"/>
                <w:kern w:val="0"/>
                <w:sz w:val="24"/>
                <w:lang w:bidi="ar"/>
              </w:rPr>
              <w:t>释放，主要成分以非甲烷总烃计，参照《空气污染物排放浓度和控制手册》（美国国家环保局），排放系数取0.35kg/t原料EVA膜，本项目EVA树脂膜用量约</w:t>
            </w:r>
            <w:r>
              <w:rPr>
                <w:rFonts w:hint="eastAsia"/>
                <w:color w:val="auto"/>
                <w:kern w:val="0"/>
                <w:sz w:val="24"/>
                <w:lang w:bidi="ar"/>
              </w:rPr>
              <w:t>2070</w:t>
            </w:r>
            <w:r>
              <w:rPr>
                <w:color w:val="auto"/>
                <w:kern w:val="0"/>
                <w:sz w:val="24"/>
                <w:lang w:bidi="ar"/>
              </w:rPr>
              <w:t>t/a，则非甲烷总烃产生量约</w:t>
            </w:r>
            <w:r>
              <w:rPr>
                <w:rFonts w:hint="eastAsia"/>
                <w:color w:val="auto"/>
                <w:kern w:val="0"/>
                <w:sz w:val="24"/>
                <w:lang w:bidi="ar"/>
              </w:rPr>
              <w:t>0.725</w:t>
            </w:r>
            <w:r>
              <w:rPr>
                <w:color w:val="auto"/>
                <w:kern w:val="0"/>
                <w:sz w:val="24"/>
                <w:lang w:bidi="ar"/>
              </w:rPr>
              <w:t>t/a。</w:t>
            </w:r>
          </w:p>
          <w:p>
            <w:pPr>
              <w:widowControl/>
              <w:spacing w:line="360" w:lineRule="auto"/>
              <w:ind w:firstLine="480" w:firstLineChars="200"/>
              <w:rPr>
                <w:color w:val="auto"/>
                <w:kern w:val="0"/>
                <w:sz w:val="24"/>
                <w:lang w:bidi="ar"/>
              </w:rPr>
            </w:pPr>
            <w:r>
              <w:rPr>
                <w:color w:val="auto"/>
                <w:kern w:val="0"/>
                <w:sz w:val="24"/>
                <w:lang w:bidi="ar"/>
              </w:rPr>
              <w:t>层压过程位于自动密闭层压机</w:t>
            </w:r>
            <w:r>
              <w:rPr>
                <w:rFonts w:hint="eastAsia"/>
                <w:color w:val="auto"/>
                <w:kern w:val="0"/>
                <w:sz w:val="24"/>
                <w:lang w:eastAsia="zh-CN" w:bidi="ar"/>
              </w:rPr>
              <w:t>内，</w:t>
            </w:r>
            <w:r>
              <w:rPr>
                <w:color w:val="auto"/>
                <w:kern w:val="0"/>
                <w:sz w:val="24"/>
                <w:lang w:bidi="ar"/>
              </w:rPr>
              <w:t>产生的有机废气经干式真空泵及风管进行收集，由于收集</w:t>
            </w:r>
            <w:r>
              <w:rPr>
                <w:rFonts w:hint="eastAsia"/>
                <w:color w:val="auto"/>
                <w:kern w:val="0"/>
                <w:sz w:val="24"/>
                <w:lang w:eastAsia="zh-CN" w:bidi="ar"/>
              </w:rPr>
              <w:t>的</w:t>
            </w:r>
            <w:r>
              <w:rPr>
                <w:color w:val="auto"/>
                <w:kern w:val="0"/>
                <w:sz w:val="24"/>
                <w:lang w:bidi="ar"/>
              </w:rPr>
              <w:t>层压废气中含有真空泵运行过程带有的润滑油，故废气先进行高压静电除油再经</w:t>
            </w:r>
            <w:r>
              <w:rPr>
                <w:rFonts w:hint="eastAsia"/>
                <w:color w:val="auto"/>
                <w:kern w:val="0"/>
                <w:sz w:val="24"/>
                <w:lang w:bidi="ar"/>
              </w:rPr>
              <w:t>一套</w:t>
            </w:r>
            <w:r>
              <w:rPr>
                <w:color w:val="auto"/>
                <w:sz w:val="24"/>
              </w:rPr>
              <w:t>二级活性炭吸附装置处理后通过一根</w:t>
            </w:r>
            <w:r>
              <w:rPr>
                <w:rFonts w:hint="eastAsia"/>
                <w:color w:val="auto"/>
                <w:sz w:val="24"/>
              </w:rPr>
              <w:t>23</w:t>
            </w:r>
            <w:r>
              <w:rPr>
                <w:color w:val="auto"/>
                <w:sz w:val="24"/>
              </w:rPr>
              <w:t>m高排气筒排放（</w:t>
            </w:r>
            <w:r>
              <w:rPr>
                <w:rFonts w:hint="eastAsia"/>
                <w:color w:val="auto"/>
                <w:sz w:val="24"/>
              </w:rPr>
              <w:t>DA0</w:t>
            </w:r>
            <w:r>
              <w:rPr>
                <w:rFonts w:hint="eastAsia"/>
                <w:color w:val="auto"/>
                <w:sz w:val="24"/>
                <w:lang w:val="en-US" w:eastAsia="zh-CN"/>
              </w:rPr>
              <w:t>19</w:t>
            </w:r>
            <w:r>
              <w:rPr>
                <w:color w:val="auto"/>
                <w:sz w:val="24"/>
              </w:rPr>
              <w:t>）</w:t>
            </w:r>
            <w:r>
              <w:rPr>
                <w:color w:val="auto"/>
                <w:kern w:val="0"/>
                <w:sz w:val="24"/>
                <w:lang w:bidi="ar"/>
              </w:rPr>
              <w:t>，收集效率为98%</w:t>
            </w:r>
            <w:r>
              <w:rPr>
                <w:rFonts w:hint="eastAsia"/>
                <w:color w:val="auto"/>
                <w:kern w:val="0"/>
                <w:sz w:val="24"/>
                <w:lang w:bidi="ar"/>
              </w:rPr>
              <w:t>，</w:t>
            </w:r>
            <w:r>
              <w:rPr>
                <w:color w:val="auto"/>
                <w:kern w:val="0"/>
                <w:sz w:val="24"/>
                <w:lang w:bidi="ar"/>
              </w:rPr>
              <w:t>有机废气去除效率为90%，引风机风量为</w:t>
            </w:r>
            <w:r>
              <w:rPr>
                <w:rFonts w:hint="eastAsia"/>
                <w:color w:val="auto"/>
                <w:kern w:val="0"/>
                <w:sz w:val="24"/>
                <w:lang w:bidi="ar"/>
              </w:rPr>
              <w:t>13</w:t>
            </w:r>
            <w:r>
              <w:rPr>
                <w:color w:val="auto"/>
                <w:kern w:val="0"/>
                <w:sz w:val="24"/>
                <w:lang w:bidi="ar"/>
              </w:rPr>
              <w:t>00</w:t>
            </w:r>
            <w:r>
              <w:rPr>
                <w:rFonts w:hint="eastAsia"/>
                <w:color w:val="auto"/>
                <w:kern w:val="0"/>
                <w:sz w:val="24"/>
                <w:lang w:bidi="ar"/>
              </w:rPr>
              <w:t>0</w:t>
            </w:r>
            <w:r>
              <w:rPr>
                <w:color w:val="auto"/>
                <w:kern w:val="0"/>
                <w:sz w:val="24"/>
                <w:lang w:bidi="ar"/>
              </w:rPr>
              <w:t>m</w:t>
            </w:r>
            <w:r>
              <w:rPr>
                <w:color w:val="auto"/>
                <w:kern w:val="0"/>
                <w:sz w:val="24"/>
                <w:vertAlign w:val="superscript"/>
                <w:lang w:bidi="ar"/>
              </w:rPr>
              <w:t>3</w:t>
            </w:r>
            <w:r>
              <w:rPr>
                <w:color w:val="auto"/>
                <w:kern w:val="0"/>
                <w:sz w:val="24"/>
                <w:lang w:bidi="ar"/>
              </w:rPr>
              <w:t>/h，</w:t>
            </w:r>
            <w:r>
              <w:rPr>
                <w:rFonts w:hint="eastAsia"/>
                <w:color w:val="auto"/>
                <w:kern w:val="0"/>
                <w:sz w:val="24"/>
                <w:lang w:bidi="ar"/>
              </w:rPr>
              <w:t>年工作时间为8400h</w:t>
            </w:r>
            <w:r>
              <w:rPr>
                <w:color w:val="auto"/>
                <w:kern w:val="0"/>
                <w:sz w:val="24"/>
                <w:lang w:bidi="ar"/>
              </w:rPr>
              <w:t>。则层压</w:t>
            </w:r>
            <w:r>
              <w:rPr>
                <w:rFonts w:hint="eastAsia"/>
                <w:color w:val="auto"/>
                <w:kern w:val="0"/>
                <w:sz w:val="24"/>
                <w:lang w:bidi="ar"/>
              </w:rPr>
              <w:t>有组织有机</w:t>
            </w:r>
            <w:r>
              <w:rPr>
                <w:color w:val="auto"/>
                <w:kern w:val="0"/>
                <w:sz w:val="24"/>
                <w:lang w:bidi="ar"/>
              </w:rPr>
              <w:t>废气</w:t>
            </w:r>
            <w:r>
              <w:rPr>
                <w:rFonts w:hint="eastAsia"/>
                <w:color w:val="auto"/>
                <w:kern w:val="0"/>
                <w:sz w:val="24"/>
                <w:lang w:bidi="ar"/>
              </w:rPr>
              <w:t>产生</w:t>
            </w:r>
            <w:r>
              <w:rPr>
                <w:color w:val="auto"/>
                <w:kern w:val="0"/>
                <w:sz w:val="24"/>
                <w:lang w:bidi="ar"/>
              </w:rPr>
              <w:t>量为0</w:t>
            </w:r>
            <w:r>
              <w:rPr>
                <w:rFonts w:hint="eastAsia"/>
                <w:color w:val="auto"/>
                <w:kern w:val="0"/>
                <w:sz w:val="24"/>
                <w:lang w:bidi="ar"/>
              </w:rPr>
              <w:t>.711</w:t>
            </w:r>
            <w:r>
              <w:rPr>
                <w:color w:val="auto"/>
                <w:kern w:val="0"/>
                <w:sz w:val="24"/>
                <w:lang w:bidi="ar"/>
              </w:rPr>
              <w:t>t/a，无组织</w:t>
            </w:r>
            <w:r>
              <w:rPr>
                <w:rFonts w:hint="eastAsia"/>
                <w:color w:val="auto"/>
                <w:kern w:val="0"/>
                <w:sz w:val="24"/>
                <w:lang w:bidi="ar"/>
              </w:rPr>
              <w:t>有机</w:t>
            </w:r>
            <w:r>
              <w:rPr>
                <w:color w:val="auto"/>
                <w:kern w:val="0"/>
                <w:sz w:val="24"/>
                <w:lang w:bidi="ar"/>
              </w:rPr>
              <w:t>废气</w:t>
            </w:r>
            <w:r>
              <w:rPr>
                <w:rFonts w:hint="eastAsia"/>
                <w:color w:val="auto"/>
                <w:kern w:val="0"/>
                <w:sz w:val="24"/>
                <w:lang w:bidi="ar"/>
              </w:rPr>
              <w:t>产生</w:t>
            </w:r>
            <w:r>
              <w:rPr>
                <w:color w:val="auto"/>
                <w:kern w:val="0"/>
                <w:sz w:val="24"/>
                <w:lang w:bidi="ar"/>
              </w:rPr>
              <w:t>量为</w:t>
            </w:r>
            <w:r>
              <w:rPr>
                <w:rFonts w:hint="eastAsia"/>
                <w:color w:val="auto"/>
                <w:kern w:val="0"/>
                <w:sz w:val="24"/>
                <w:lang w:bidi="ar"/>
              </w:rPr>
              <w:t>0.014</w:t>
            </w:r>
            <w:r>
              <w:rPr>
                <w:color w:val="auto"/>
                <w:kern w:val="0"/>
                <w:sz w:val="24"/>
                <w:lang w:bidi="ar"/>
              </w:rPr>
              <w:t>t/a。</w:t>
            </w:r>
          </w:p>
          <w:p>
            <w:pPr>
              <w:widowControl/>
              <w:spacing w:line="360" w:lineRule="auto"/>
              <w:ind w:firstLine="480" w:firstLineChars="200"/>
              <w:contextualSpacing/>
              <w:rPr>
                <w:rFonts w:hint="eastAsia"/>
                <w:color w:val="auto"/>
                <w:sz w:val="24"/>
              </w:rPr>
            </w:pPr>
            <w:r>
              <w:rPr>
                <w:rFonts w:hint="eastAsia"/>
                <w:color w:val="auto"/>
                <w:sz w:val="24"/>
              </w:rPr>
              <w:t>3、接线盒安装焊接废气</w:t>
            </w:r>
          </w:p>
          <w:p>
            <w:pPr>
              <w:widowControl/>
              <w:spacing w:line="360" w:lineRule="auto"/>
              <w:ind w:firstLine="480" w:firstLineChars="200"/>
              <w:contextualSpacing/>
              <w:rPr>
                <w:rFonts w:hint="eastAsia"/>
                <w:color w:val="auto"/>
                <w:kern w:val="0"/>
                <w:sz w:val="24"/>
                <w:lang w:bidi="ar"/>
              </w:rPr>
            </w:pPr>
            <w:r>
              <w:rPr>
                <w:color w:val="auto"/>
                <w:sz w:val="24"/>
              </w:rPr>
              <w:t>本项目</w:t>
            </w:r>
            <w:r>
              <w:rPr>
                <w:rFonts w:hint="eastAsia"/>
                <w:color w:val="auto"/>
                <w:sz w:val="24"/>
              </w:rPr>
              <w:t>接线盒安装</w:t>
            </w:r>
            <w:r>
              <w:rPr>
                <w:color w:val="auto"/>
                <w:sz w:val="24"/>
              </w:rPr>
              <w:t>焊接过程需要使用</w:t>
            </w:r>
            <w:r>
              <w:rPr>
                <w:rFonts w:hint="eastAsia"/>
                <w:color w:val="auto"/>
                <w:sz w:val="24"/>
                <w:lang w:val="en-US" w:eastAsia="zh-CN"/>
              </w:rPr>
              <w:t>无铅</w:t>
            </w:r>
            <w:r>
              <w:rPr>
                <w:color w:val="auto"/>
                <w:sz w:val="24"/>
              </w:rPr>
              <w:t>焊丝，</w:t>
            </w:r>
            <w:r>
              <w:rPr>
                <w:rFonts w:hint="eastAsia"/>
                <w:color w:val="auto"/>
                <w:sz w:val="24"/>
                <w:lang w:val="en-US" w:eastAsia="zh-CN"/>
              </w:rPr>
              <w:t>无铅</w:t>
            </w:r>
            <w:r>
              <w:rPr>
                <w:color w:val="auto"/>
                <w:sz w:val="24"/>
              </w:rPr>
              <w:t>锡丝年用量为2.5t，年工作时间为8400h</w:t>
            </w:r>
            <w:r>
              <w:rPr>
                <w:rFonts w:hint="eastAsia"/>
                <w:color w:val="auto"/>
                <w:sz w:val="24"/>
              </w:rPr>
              <w:t>。</w:t>
            </w:r>
            <w:r>
              <w:rPr>
                <w:rFonts w:hint="eastAsia" w:ascii="Times New Roman" w:hAnsi="Times New Roman" w:eastAsia="宋体" w:cs="Times New Roman"/>
                <w:color w:val="auto"/>
                <w:kern w:val="0"/>
                <w:sz w:val="24"/>
                <w:lang w:bidi="ar"/>
              </w:rPr>
              <w:t>根据</w:t>
            </w:r>
            <w:r>
              <w:rPr>
                <w:rFonts w:ascii="Times New Roman" w:hAnsi="Times New Roman" w:eastAsia="宋体" w:cs="Times New Roman"/>
                <w:color w:val="auto"/>
                <w:kern w:val="0"/>
                <w:sz w:val="24"/>
                <w:lang w:bidi="ar"/>
              </w:rPr>
              <w:t>第</w:t>
            </w:r>
            <w:r>
              <w:rPr>
                <w:rFonts w:hint="eastAsia" w:ascii="Times New Roman" w:hAnsi="Times New Roman" w:eastAsia="宋体" w:cs="Times New Roman"/>
                <w:color w:val="auto"/>
                <w:kern w:val="0"/>
                <w:sz w:val="24"/>
                <w:lang w:bidi="ar"/>
              </w:rPr>
              <w:t>二</w:t>
            </w:r>
            <w:r>
              <w:rPr>
                <w:rFonts w:ascii="Times New Roman" w:hAnsi="Times New Roman" w:eastAsia="宋体" w:cs="Times New Roman"/>
                <w:color w:val="auto"/>
                <w:kern w:val="0"/>
                <w:sz w:val="24"/>
                <w:lang w:bidi="ar"/>
              </w:rPr>
              <w:t>次全国污染源普查工业污染源</w:t>
            </w:r>
            <w:r>
              <w:rPr>
                <w:rFonts w:hint="eastAsia" w:ascii="Times New Roman" w:hAnsi="Times New Roman" w:eastAsia="宋体" w:cs="Times New Roman"/>
                <w:color w:val="auto"/>
                <w:kern w:val="0"/>
                <w:sz w:val="24"/>
                <w:lang w:bidi="ar"/>
              </w:rPr>
              <w:t>排污系数手册-《</w:t>
            </w:r>
            <w:r>
              <w:rPr>
                <w:rFonts w:hint="eastAsia" w:ascii="Times New Roman" w:hAnsi="Times New Roman" w:eastAsia="宋体" w:cs="Times New Roman"/>
                <w:color w:val="auto"/>
                <w:kern w:val="0"/>
                <w:sz w:val="24"/>
                <w:lang w:val="en-US" w:eastAsia="zh-CN" w:bidi="ar"/>
              </w:rPr>
              <w:t>3825光伏设备与元器件制造行业系数手册</w:t>
            </w:r>
            <w:r>
              <w:rPr>
                <w:rFonts w:hint="eastAsia" w:ascii="Times New Roman" w:hAnsi="Times New Roman" w:eastAsia="宋体" w:cs="Times New Roman"/>
                <w:color w:val="auto"/>
                <w:kern w:val="0"/>
                <w:sz w:val="24"/>
                <w:lang w:bidi="ar"/>
              </w:rPr>
              <w:t>》（</w:t>
            </w:r>
            <w:r>
              <w:rPr>
                <w:rFonts w:ascii="Times New Roman" w:hAnsi="Times New Roman" w:eastAsia="宋体" w:cs="Times New Roman"/>
                <w:color w:val="auto"/>
                <w:kern w:val="0"/>
                <w:sz w:val="24"/>
                <w:lang w:bidi="ar"/>
              </w:rPr>
              <w:t>2021</w:t>
            </w:r>
            <w:r>
              <w:rPr>
                <w:rFonts w:hint="eastAsia" w:ascii="Times New Roman" w:hAnsi="Times New Roman" w:eastAsia="宋体" w:cs="Times New Roman"/>
                <w:color w:val="auto"/>
                <w:kern w:val="0"/>
                <w:sz w:val="24"/>
                <w:lang w:bidi="ar"/>
              </w:rPr>
              <w:t>年第2</w:t>
            </w:r>
            <w:r>
              <w:rPr>
                <w:rFonts w:ascii="Times New Roman" w:hAnsi="Times New Roman" w:eastAsia="宋体" w:cs="Times New Roman"/>
                <w:color w:val="auto"/>
                <w:kern w:val="0"/>
                <w:sz w:val="24"/>
                <w:lang w:bidi="ar"/>
              </w:rPr>
              <w:t>4</w:t>
            </w:r>
            <w:r>
              <w:rPr>
                <w:rFonts w:hint="eastAsia" w:ascii="Times New Roman" w:hAnsi="Times New Roman" w:eastAsia="宋体" w:cs="Times New Roman"/>
                <w:color w:val="auto"/>
                <w:kern w:val="0"/>
                <w:sz w:val="24"/>
                <w:lang w:bidi="ar"/>
              </w:rPr>
              <w:t>号，生态环境部）-</w:t>
            </w:r>
            <w:r>
              <w:rPr>
                <w:rFonts w:hint="eastAsia" w:ascii="Times New Roman" w:hAnsi="Times New Roman" w:eastAsia="宋体" w:cs="Times New Roman"/>
                <w:color w:val="auto"/>
                <w:kern w:val="0"/>
                <w:sz w:val="24"/>
                <w:lang w:eastAsia="zh-CN" w:bidi="ar"/>
              </w:rPr>
              <w:t>电池组件生产焊接层压装框</w:t>
            </w:r>
            <w:r>
              <w:rPr>
                <w:rFonts w:hint="eastAsia" w:ascii="Times New Roman" w:hAnsi="Times New Roman" w:eastAsia="宋体" w:cs="Times New Roman"/>
                <w:color w:val="auto"/>
                <w:kern w:val="0"/>
                <w:sz w:val="24"/>
                <w:lang w:val="en-US" w:eastAsia="zh-CN" w:bidi="ar"/>
              </w:rPr>
              <w:t>-不含铅焊料</w:t>
            </w:r>
            <w:r>
              <w:rPr>
                <w:rFonts w:hint="default" w:ascii="Times New Roman" w:hAnsi="Times New Roman" w:eastAsia="宋体" w:cs="Times New Roman"/>
                <w:color w:val="auto"/>
                <w:kern w:val="0"/>
                <w:sz w:val="24"/>
                <w:lang w:val="en-US" w:eastAsia="zh-CN" w:bidi="ar"/>
              </w:rPr>
              <w:t>+</w:t>
            </w:r>
            <w:r>
              <w:rPr>
                <w:rFonts w:hint="eastAsia" w:ascii="Times New Roman" w:hAnsi="Times New Roman" w:eastAsia="宋体" w:cs="Times New Roman"/>
                <w:color w:val="auto"/>
                <w:kern w:val="0"/>
                <w:sz w:val="24"/>
                <w:lang w:val="en-US" w:eastAsia="zh-CN" w:bidi="ar"/>
              </w:rPr>
              <w:t>无助焊剂过程，</w:t>
            </w:r>
            <w:r>
              <w:rPr>
                <w:rFonts w:hint="eastAsia" w:ascii="Times New Roman" w:hAnsi="Times New Roman" w:eastAsia="宋体" w:cs="Times New Roman"/>
                <w:color w:val="auto"/>
                <w:kern w:val="0"/>
                <w:sz w:val="24"/>
                <w:lang w:bidi="ar"/>
              </w:rPr>
              <w:t>颗粒物</w:t>
            </w:r>
            <w:r>
              <w:rPr>
                <w:rFonts w:ascii="Times New Roman" w:hAnsi="Times New Roman" w:eastAsia="宋体" w:cs="Times New Roman"/>
                <w:color w:val="auto"/>
                <w:kern w:val="0"/>
                <w:sz w:val="24"/>
                <w:lang w:bidi="ar"/>
              </w:rPr>
              <w:t>产污系数为</w:t>
            </w:r>
            <w:r>
              <w:rPr>
                <w:rFonts w:hint="eastAsia" w:ascii="Times New Roman" w:hAnsi="Times New Roman" w:eastAsia="宋体" w:cs="Times New Roman"/>
                <w:color w:val="auto"/>
                <w:kern w:val="0"/>
                <w:sz w:val="24"/>
                <w:lang w:val="en-US" w:eastAsia="zh-CN" w:bidi="ar"/>
              </w:rPr>
              <w:t>0.41</w:t>
            </w:r>
            <w:r>
              <w:rPr>
                <w:rFonts w:ascii="Times New Roman" w:hAnsi="Times New Roman" w:eastAsia="宋体" w:cs="Times New Roman"/>
                <w:color w:val="auto"/>
                <w:kern w:val="0"/>
                <w:sz w:val="24"/>
                <w:lang w:bidi="ar"/>
              </w:rPr>
              <w:t>g/</w:t>
            </w:r>
            <w:r>
              <w:rPr>
                <w:rFonts w:hint="eastAsia" w:ascii="Times New Roman" w:hAnsi="Times New Roman" w:eastAsia="宋体" w:cs="Times New Roman"/>
                <w:color w:val="auto"/>
                <w:kern w:val="0"/>
                <w:sz w:val="24"/>
                <w:lang w:val="en-US" w:eastAsia="zh-CN" w:bidi="ar"/>
              </w:rPr>
              <w:t>kg</w:t>
            </w:r>
            <w:r>
              <w:rPr>
                <w:rFonts w:hint="eastAsia"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焊料，焊丝</w:t>
            </w:r>
            <w:r>
              <w:rPr>
                <w:color w:val="auto"/>
                <w:sz w:val="24"/>
                <w:highlight w:val="yellow"/>
              </w:rPr>
              <w:t>锡及其化合物</w:t>
            </w:r>
            <w:r>
              <w:rPr>
                <w:rFonts w:hint="eastAsia"/>
                <w:color w:val="auto"/>
                <w:sz w:val="24"/>
                <w:highlight w:val="yellow"/>
                <w:lang w:eastAsia="zh-CN"/>
              </w:rPr>
              <w:t>含量为原料的</w:t>
            </w:r>
            <w:r>
              <w:rPr>
                <w:rFonts w:hint="eastAsia"/>
                <w:color w:val="auto"/>
                <w:sz w:val="24"/>
                <w:highlight w:val="yellow"/>
                <w:lang w:val="en-US" w:eastAsia="zh-CN"/>
              </w:rPr>
              <w:t>99%</w:t>
            </w:r>
            <w:r>
              <w:rPr>
                <w:color w:val="auto"/>
                <w:sz w:val="24"/>
              </w:rPr>
              <w:t>；则焊接烟尘（颗粒物）产生量为</w:t>
            </w:r>
            <w:r>
              <w:rPr>
                <w:rFonts w:hint="eastAsia"/>
                <w:color w:val="auto"/>
                <w:sz w:val="24"/>
                <w:lang w:val="en-US" w:eastAsia="zh-CN"/>
              </w:rPr>
              <w:t>0.00103</w:t>
            </w:r>
            <w:r>
              <w:rPr>
                <w:color w:val="auto"/>
                <w:sz w:val="24"/>
              </w:rPr>
              <w:t>t/a、锡及其化合物产生量为</w:t>
            </w:r>
            <w:r>
              <w:rPr>
                <w:rFonts w:hint="eastAsia"/>
                <w:color w:val="auto"/>
                <w:sz w:val="24"/>
                <w:lang w:val="en-US" w:eastAsia="zh-CN"/>
              </w:rPr>
              <w:t>0.00101</w:t>
            </w:r>
            <w:r>
              <w:rPr>
                <w:rFonts w:hint="eastAsia"/>
                <w:color w:val="auto"/>
                <w:sz w:val="24"/>
              </w:rPr>
              <w:t>t</w:t>
            </w:r>
            <w:r>
              <w:rPr>
                <w:color w:val="auto"/>
                <w:sz w:val="24"/>
              </w:rPr>
              <w:t>/a。</w:t>
            </w:r>
            <w:r>
              <w:rPr>
                <w:rFonts w:hint="eastAsia"/>
                <w:color w:val="auto"/>
                <w:sz w:val="24"/>
              </w:rPr>
              <w:t>接线盒安装焊接废气经密闭设备风管</w:t>
            </w:r>
            <w:r>
              <w:rPr>
                <w:color w:val="auto"/>
                <w:sz w:val="24"/>
              </w:rPr>
              <w:t>收集后通过一套“</w:t>
            </w:r>
            <w:r>
              <w:rPr>
                <w:rFonts w:hint="eastAsia"/>
                <w:color w:val="auto"/>
                <w:sz w:val="24"/>
                <w:lang w:eastAsia="zh-CN"/>
              </w:rPr>
              <w:t>袋式除尘</w:t>
            </w:r>
            <w:r>
              <w:rPr>
                <w:rFonts w:hint="eastAsia"/>
                <w:color w:val="auto"/>
                <w:sz w:val="24"/>
              </w:rPr>
              <w:t>+</w:t>
            </w:r>
            <w:r>
              <w:rPr>
                <w:color w:val="auto"/>
                <w:sz w:val="24"/>
              </w:rPr>
              <w:t>二级活性炭吸附“装置(</w:t>
            </w:r>
            <w:r>
              <w:rPr>
                <w:rFonts w:hint="eastAsia"/>
                <w:color w:val="auto"/>
                <w:sz w:val="24"/>
              </w:rPr>
              <w:t>接线盒焊接、固化及酒精擦拭工序</w:t>
            </w:r>
            <w:r>
              <w:rPr>
                <w:color w:val="auto"/>
                <w:sz w:val="24"/>
              </w:rPr>
              <w:t>共用)处理后通过一根23m高排气筒排放（DA0</w:t>
            </w:r>
            <w:r>
              <w:rPr>
                <w:rFonts w:hint="eastAsia"/>
                <w:color w:val="auto"/>
                <w:sz w:val="24"/>
                <w:lang w:val="en-US" w:eastAsia="zh-CN"/>
              </w:rPr>
              <w:t>20</w:t>
            </w:r>
            <w:r>
              <w:rPr>
                <w:color w:val="auto"/>
                <w:sz w:val="24"/>
              </w:rPr>
              <w:t>），</w:t>
            </w:r>
            <w:r>
              <w:rPr>
                <w:color w:val="auto"/>
                <w:sz w:val="24"/>
                <w:highlight w:val="yellow"/>
              </w:rPr>
              <w:t>收集效率按9</w:t>
            </w:r>
            <w:r>
              <w:rPr>
                <w:rFonts w:hint="eastAsia"/>
                <w:color w:val="auto"/>
                <w:sz w:val="24"/>
                <w:highlight w:val="yellow"/>
                <w:lang w:val="en-US" w:eastAsia="zh-CN"/>
              </w:rPr>
              <w:t>8</w:t>
            </w:r>
            <w:r>
              <w:rPr>
                <w:color w:val="auto"/>
                <w:sz w:val="24"/>
                <w:highlight w:val="yellow"/>
              </w:rPr>
              <w:t>%计</w:t>
            </w:r>
            <w:r>
              <w:rPr>
                <w:color w:val="auto"/>
                <w:sz w:val="24"/>
              </w:rPr>
              <w:t>，颗粒物、锡及其化合物处理效率均按95%计</w:t>
            </w:r>
            <w:r>
              <w:rPr>
                <w:rFonts w:hint="eastAsia"/>
                <w:color w:val="auto"/>
                <w:sz w:val="24"/>
              </w:rPr>
              <w:t>，风机</w:t>
            </w:r>
            <w:r>
              <w:rPr>
                <w:color w:val="auto"/>
                <w:sz w:val="24"/>
              </w:rPr>
              <w:t>风量为</w:t>
            </w:r>
            <w:r>
              <w:rPr>
                <w:rFonts w:hint="eastAsia"/>
                <w:color w:val="auto"/>
                <w:sz w:val="24"/>
              </w:rPr>
              <w:t>13</w:t>
            </w:r>
            <w:r>
              <w:rPr>
                <w:color w:val="auto"/>
                <w:sz w:val="24"/>
              </w:rPr>
              <w:t>000m</w:t>
            </w:r>
            <w:r>
              <w:rPr>
                <w:color w:val="auto"/>
                <w:sz w:val="24"/>
                <w:vertAlign w:val="superscript"/>
              </w:rPr>
              <w:t>3</w:t>
            </w:r>
            <w:r>
              <w:rPr>
                <w:color w:val="auto"/>
                <w:sz w:val="24"/>
              </w:rPr>
              <w:t>/h，</w:t>
            </w:r>
            <w:r>
              <w:rPr>
                <w:rFonts w:hint="eastAsia"/>
                <w:color w:val="auto"/>
                <w:sz w:val="24"/>
              </w:rPr>
              <w:t>年工作时间为8400h</w:t>
            </w:r>
            <w:r>
              <w:rPr>
                <w:color w:val="auto"/>
                <w:sz w:val="24"/>
              </w:rPr>
              <w:t>。</w:t>
            </w:r>
            <w:r>
              <w:rPr>
                <w:rFonts w:hint="eastAsia"/>
                <w:color w:val="auto"/>
                <w:sz w:val="24"/>
              </w:rPr>
              <w:t>接线盒安装焊接</w:t>
            </w:r>
            <w:r>
              <w:rPr>
                <w:color w:val="auto"/>
                <w:sz w:val="24"/>
              </w:rPr>
              <w:t>有组织焊接烟尘、锡及其化合物产生量分别为</w:t>
            </w:r>
            <w:r>
              <w:rPr>
                <w:rFonts w:hint="eastAsia"/>
                <w:color w:val="auto"/>
                <w:sz w:val="24"/>
              </w:rPr>
              <w:t>0.0</w:t>
            </w:r>
            <w:r>
              <w:rPr>
                <w:rFonts w:hint="eastAsia"/>
                <w:color w:val="auto"/>
                <w:sz w:val="24"/>
                <w:lang w:val="en-US" w:eastAsia="zh-CN"/>
              </w:rPr>
              <w:t>01</w:t>
            </w:r>
            <w:r>
              <w:rPr>
                <w:color w:val="auto"/>
                <w:sz w:val="24"/>
              </w:rPr>
              <w:t>/a、</w:t>
            </w:r>
            <w:r>
              <w:rPr>
                <w:rFonts w:hint="eastAsia"/>
                <w:color w:val="auto"/>
                <w:sz w:val="24"/>
              </w:rPr>
              <w:t>0.00</w:t>
            </w:r>
            <w:r>
              <w:rPr>
                <w:rFonts w:hint="eastAsia"/>
                <w:color w:val="auto"/>
                <w:sz w:val="24"/>
                <w:lang w:val="en-US" w:eastAsia="zh-CN"/>
              </w:rPr>
              <w:t>099</w:t>
            </w:r>
            <w:r>
              <w:rPr>
                <w:color w:val="auto"/>
                <w:sz w:val="24"/>
              </w:rPr>
              <w:t>t/a，无组织焊接烟尘、锡及其化合物产生量分别为</w:t>
            </w:r>
            <w:r>
              <w:rPr>
                <w:rFonts w:hint="eastAsia"/>
                <w:color w:val="auto"/>
                <w:sz w:val="24"/>
              </w:rPr>
              <w:t>0.000</w:t>
            </w:r>
            <w:r>
              <w:rPr>
                <w:rFonts w:hint="eastAsia"/>
                <w:color w:val="auto"/>
                <w:sz w:val="24"/>
                <w:lang w:val="en-US" w:eastAsia="zh-CN"/>
              </w:rPr>
              <w:t>03</w:t>
            </w:r>
            <w:r>
              <w:rPr>
                <w:color w:val="auto"/>
                <w:sz w:val="24"/>
              </w:rPr>
              <w:t>t/a、0.000</w:t>
            </w:r>
            <w:r>
              <w:rPr>
                <w:rFonts w:hint="eastAsia"/>
                <w:color w:val="auto"/>
                <w:sz w:val="24"/>
                <w:lang w:val="en-US" w:eastAsia="zh-CN"/>
              </w:rPr>
              <w:t>02</w:t>
            </w:r>
            <w:r>
              <w:rPr>
                <w:color w:val="auto"/>
                <w:sz w:val="24"/>
              </w:rPr>
              <w:t>t/a。</w:t>
            </w:r>
          </w:p>
          <w:p>
            <w:pPr>
              <w:widowControl/>
              <w:spacing w:line="360" w:lineRule="auto"/>
              <w:ind w:firstLine="480" w:firstLineChars="200"/>
              <w:rPr>
                <w:color w:val="auto"/>
                <w:kern w:val="0"/>
                <w:sz w:val="24"/>
                <w:lang w:bidi="ar"/>
              </w:rPr>
            </w:pPr>
            <w:r>
              <w:rPr>
                <w:color w:val="auto"/>
                <w:kern w:val="0"/>
                <w:sz w:val="24"/>
                <w:lang w:bidi="ar"/>
              </w:rPr>
              <w:t>4、固化废气</w:t>
            </w:r>
          </w:p>
          <w:p>
            <w:pPr>
              <w:spacing w:line="360" w:lineRule="auto"/>
              <w:ind w:firstLine="480" w:firstLineChars="200"/>
              <w:rPr>
                <w:color w:val="auto"/>
                <w:sz w:val="24"/>
              </w:rPr>
            </w:pPr>
            <w:r>
              <w:rPr>
                <w:rFonts w:hint="eastAsia"/>
                <w:color w:val="auto"/>
                <w:kern w:val="0"/>
                <w:sz w:val="24"/>
                <w:lang w:bidi="ar"/>
              </w:rPr>
              <w:t>本项目组件</w:t>
            </w:r>
            <w:r>
              <w:rPr>
                <w:color w:val="auto"/>
                <w:kern w:val="0"/>
                <w:sz w:val="24"/>
                <w:lang w:bidi="ar"/>
              </w:rPr>
              <w:t>边框和玻璃组件的缝隙需要用密封胶进行填充后固化，</w:t>
            </w:r>
            <w:r>
              <w:rPr>
                <w:color w:val="auto"/>
                <w:sz w:val="24"/>
              </w:rPr>
              <w:t>固化环节对接线盒内灌封胶在恒温（23℃-27℃）、恒湿条件下进行3.5~4小时固化，</w:t>
            </w:r>
            <w:r>
              <w:rPr>
                <w:rFonts w:hint="eastAsia"/>
                <w:color w:val="auto"/>
                <w:sz w:val="24"/>
              </w:rPr>
              <w:t>根据企业提供的密封胶检测报告，密封胶VOC含量为4g/kg</w:t>
            </w:r>
            <w:r>
              <w:rPr>
                <w:color w:val="auto"/>
                <w:sz w:val="24"/>
              </w:rPr>
              <w:t>。</w:t>
            </w:r>
            <w:r>
              <w:rPr>
                <w:rFonts w:hint="eastAsia"/>
                <w:color w:val="auto"/>
                <w:sz w:val="24"/>
              </w:rPr>
              <w:t>本</w:t>
            </w:r>
            <w:r>
              <w:rPr>
                <w:color w:val="auto"/>
                <w:sz w:val="24"/>
              </w:rPr>
              <w:t>项目密封胶使用量为1800t/a，则有机废气产生量为</w:t>
            </w:r>
            <w:r>
              <w:rPr>
                <w:rFonts w:hint="eastAsia"/>
                <w:color w:val="auto"/>
                <w:sz w:val="24"/>
              </w:rPr>
              <w:t>7.2</w:t>
            </w:r>
            <w:r>
              <w:rPr>
                <w:color w:val="auto"/>
                <w:sz w:val="24"/>
              </w:rPr>
              <w:t>t/a。固化在单独密闭固化间进行，产生有机废气经密闭空间负压收集通过一套“</w:t>
            </w:r>
            <w:r>
              <w:rPr>
                <w:rFonts w:hint="eastAsia"/>
                <w:color w:val="auto"/>
                <w:sz w:val="24"/>
                <w:lang w:eastAsia="zh-CN"/>
              </w:rPr>
              <w:t>袋式除尘</w:t>
            </w:r>
            <w:r>
              <w:rPr>
                <w:rFonts w:hint="eastAsia"/>
                <w:color w:val="auto"/>
                <w:sz w:val="24"/>
              </w:rPr>
              <w:t>+</w:t>
            </w:r>
            <w:r>
              <w:rPr>
                <w:color w:val="auto"/>
                <w:sz w:val="24"/>
              </w:rPr>
              <w:t>二级活性炭吸附“装置(</w:t>
            </w:r>
            <w:r>
              <w:rPr>
                <w:rFonts w:hint="eastAsia"/>
                <w:color w:val="auto"/>
                <w:sz w:val="24"/>
              </w:rPr>
              <w:t>接线盒焊接、固化及酒精擦拭工序</w:t>
            </w:r>
            <w:r>
              <w:rPr>
                <w:color w:val="auto"/>
                <w:sz w:val="24"/>
              </w:rPr>
              <w:t>共用)处理后通过一根23m高排气筒排放（DA0</w:t>
            </w:r>
            <w:r>
              <w:rPr>
                <w:rFonts w:hint="eastAsia"/>
                <w:color w:val="auto"/>
                <w:sz w:val="24"/>
                <w:lang w:val="en-US" w:eastAsia="zh-CN"/>
              </w:rPr>
              <w:t>20</w:t>
            </w:r>
            <w:r>
              <w:rPr>
                <w:color w:val="auto"/>
                <w:sz w:val="24"/>
              </w:rPr>
              <w:t>），有机废气收集效率为98%，处理效率为90%，</w:t>
            </w:r>
            <w:r>
              <w:rPr>
                <w:rFonts w:hint="eastAsia"/>
                <w:color w:val="auto"/>
                <w:sz w:val="24"/>
              </w:rPr>
              <w:t>引风机</w:t>
            </w:r>
            <w:r>
              <w:rPr>
                <w:color w:val="auto"/>
                <w:sz w:val="24"/>
              </w:rPr>
              <w:t>风量为</w:t>
            </w:r>
            <w:r>
              <w:rPr>
                <w:rFonts w:hint="eastAsia"/>
                <w:color w:val="auto"/>
                <w:sz w:val="24"/>
              </w:rPr>
              <w:t>13</w:t>
            </w:r>
            <w:r>
              <w:rPr>
                <w:color w:val="auto"/>
                <w:sz w:val="24"/>
              </w:rPr>
              <w:t>000m</w:t>
            </w:r>
            <w:r>
              <w:rPr>
                <w:color w:val="auto"/>
                <w:sz w:val="24"/>
                <w:vertAlign w:val="superscript"/>
              </w:rPr>
              <w:t>3</w:t>
            </w:r>
            <w:r>
              <w:rPr>
                <w:color w:val="auto"/>
                <w:sz w:val="24"/>
              </w:rPr>
              <w:t>/h，</w:t>
            </w:r>
            <w:r>
              <w:rPr>
                <w:rFonts w:hint="eastAsia"/>
                <w:color w:val="auto"/>
                <w:sz w:val="24"/>
              </w:rPr>
              <w:t>年工作时间为8400h。</w:t>
            </w:r>
            <w:r>
              <w:rPr>
                <w:color w:val="auto"/>
                <w:sz w:val="24"/>
              </w:rPr>
              <w:t>则固化</w:t>
            </w:r>
            <w:r>
              <w:rPr>
                <w:rFonts w:hint="eastAsia"/>
                <w:color w:val="auto"/>
                <w:kern w:val="0"/>
                <w:sz w:val="24"/>
                <w:lang w:bidi="ar"/>
              </w:rPr>
              <w:t>有组织有机</w:t>
            </w:r>
            <w:r>
              <w:rPr>
                <w:color w:val="auto"/>
                <w:kern w:val="0"/>
                <w:sz w:val="24"/>
                <w:lang w:bidi="ar"/>
              </w:rPr>
              <w:t>废气</w:t>
            </w:r>
            <w:r>
              <w:rPr>
                <w:rFonts w:hint="eastAsia"/>
                <w:color w:val="auto"/>
                <w:kern w:val="0"/>
                <w:sz w:val="24"/>
                <w:lang w:bidi="ar"/>
              </w:rPr>
              <w:t>产生</w:t>
            </w:r>
            <w:r>
              <w:rPr>
                <w:color w:val="auto"/>
                <w:kern w:val="0"/>
                <w:sz w:val="24"/>
                <w:lang w:bidi="ar"/>
              </w:rPr>
              <w:t>量为7.056t/a，无组织</w:t>
            </w:r>
            <w:r>
              <w:rPr>
                <w:rFonts w:hint="eastAsia"/>
                <w:color w:val="auto"/>
                <w:kern w:val="0"/>
                <w:sz w:val="24"/>
                <w:lang w:bidi="ar"/>
              </w:rPr>
              <w:t>有机</w:t>
            </w:r>
            <w:r>
              <w:rPr>
                <w:color w:val="auto"/>
                <w:kern w:val="0"/>
                <w:sz w:val="24"/>
                <w:lang w:bidi="ar"/>
              </w:rPr>
              <w:t>废气</w:t>
            </w:r>
            <w:r>
              <w:rPr>
                <w:rFonts w:hint="eastAsia"/>
                <w:color w:val="auto"/>
                <w:kern w:val="0"/>
                <w:sz w:val="24"/>
                <w:lang w:bidi="ar"/>
              </w:rPr>
              <w:t>产生</w:t>
            </w:r>
            <w:r>
              <w:rPr>
                <w:color w:val="auto"/>
                <w:kern w:val="0"/>
                <w:sz w:val="24"/>
                <w:lang w:bidi="ar"/>
              </w:rPr>
              <w:t>量为</w:t>
            </w:r>
            <w:r>
              <w:rPr>
                <w:rFonts w:hint="eastAsia"/>
                <w:color w:val="auto"/>
                <w:kern w:val="0"/>
                <w:sz w:val="24"/>
                <w:lang w:bidi="ar"/>
              </w:rPr>
              <w:t>0.144</w:t>
            </w:r>
            <w:r>
              <w:rPr>
                <w:color w:val="auto"/>
                <w:kern w:val="0"/>
                <w:sz w:val="24"/>
                <w:lang w:bidi="ar"/>
              </w:rPr>
              <w:t>t/a</w:t>
            </w:r>
            <w:r>
              <w:rPr>
                <w:color w:val="auto"/>
                <w:sz w:val="24"/>
              </w:rPr>
              <w:t>。</w:t>
            </w:r>
          </w:p>
          <w:p>
            <w:pPr>
              <w:widowControl/>
              <w:spacing w:line="360" w:lineRule="auto"/>
              <w:ind w:firstLine="480" w:firstLineChars="200"/>
              <w:rPr>
                <w:color w:val="auto"/>
                <w:kern w:val="0"/>
                <w:sz w:val="24"/>
                <w:lang w:bidi="ar"/>
              </w:rPr>
            </w:pPr>
            <w:r>
              <w:rPr>
                <w:color w:val="auto"/>
                <w:kern w:val="0"/>
                <w:sz w:val="24"/>
                <w:lang w:bidi="ar"/>
              </w:rPr>
              <w:t>5、酒精擦拭废气</w:t>
            </w:r>
          </w:p>
          <w:p>
            <w:pPr>
              <w:spacing w:line="360" w:lineRule="auto"/>
              <w:ind w:firstLine="480" w:firstLineChars="200"/>
              <w:rPr>
                <w:color w:val="auto"/>
                <w:kern w:val="0"/>
                <w:sz w:val="24"/>
                <w:lang w:bidi="ar"/>
              </w:rPr>
            </w:pPr>
            <w:r>
              <w:rPr>
                <w:color w:val="auto"/>
                <w:sz w:val="24"/>
              </w:rPr>
              <w:t>本项目使用95%的乙醇喷在组件玻璃面和背板面后用无纺布擦拭污垢，乙醇使用量为4t/a，乙醇擦拭后全部挥发成乙醇废气，则该工序产生的乙醇废气（以非甲烷总烃计）量为3.8t/a，酒精擦拭在单独密闭房间进行，产生乙醇废气经密闭空间负压收集通过</w:t>
            </w:r>
            <w:r>
              <w:rPr>
                <w:rFonts w:hint="eastAsia"/>
                <w:color w:val="auto"/>
                <w:sz w:val="24"/>
              </w:rPr>
              <w:t>一套</w:t>
            </w:r>
            <w:r>
              <w:rPr>
                <w:color w:val="auto"/>
                <w:sz w:val="24"/>
              </w:rPr>
              <w:t>“</w:t>
            </w:r>
            <w:r>
              <w:rPr>
                <w:rFonts w:hint="eastAsia"/>
                <w:color w:val="auto"/>
                <w:sz w:val="24"/>
                <w:lang w:eastAsia="zh-CN"/>
              </w:rPr>
              <w:t>袋式除尘</w:t>
            </w:r>
            <w:r>
              <w:rPr>
                <w:rFonts w:hint="eastAsia"/>
                <w:color w:val="auto"/>
                <w:sz w:val="24"/>
              </w:rPr>
              <w:t>+</w:t>
            </w:r>
            <w:r>
              <w:rPr>
                <w:color w:val="auto"/>
                <w:sz w:val="24"/>
              </w:rPr>
              <w:t>二级活性炭吸附“装置(</w:t>
            </w:r>
            <w:r>
              <w:rPr>
                <w:rFonts w:hint="eastAsia"/>
                <w:color w:val="auto"/>
                <w:sz w:val="24"/>
              </w:rPr>
              <w:t>接线盒焊接、固化及酒精擦拭工序</w:t>
            </w:r>
            <w:r>
              <w:rPr>
                <w:color w:val="auto"/>
                <w:sz w:val="24"/>
              </w:rPr>
              <w:t>共用)处理后通过一根23m高排气筒排放（DA0</w:t>
            </w:r>
            <w:r>
              <w:rPr>
                <w:rFonts w:hint="eastAsia"/>
                <w:color w:val="auto"/>
                <w:sz w:val="24"/>
                <w:lang w:val="en-US" w:eastAsia="zh-CN"/>
              </w:rPr>
              <w:t>20）</w:t>
            </w:r>
            <w:r>
              <w:rPr>
                <w:color w:val="auto"/>
                <w:sz w:val="24"/>
              </w:rPr>
              <w:t>，有机废气收集效率为98%，处理效率为90%，</w:t>
            </w:r>
            <w:r>
              <w:rPr>
                <w:rFonts w:hint="eastAsia"/>
                <w:color w:val="auto"/>
                <w:sz w:val="24"/>
              </w:rPr>
              <w:t>引风机</w:t>
            </w:r>
            <w:r>
              <w:rPr>
                <w:color w:val="auto"/>
                <w:sz w:val="24"/>
              </w:rPr>
              <w:t>风量为</w:t>
            </w:r>
            <w:r>
              <w:rPr>
                <w:rFonts w:hint="eastAsia"/>
                <w:color w:val="auto"/>
                <w:sz w:val="24"/>
              </w:rPr>
              <w:t>13</w:t>
            </w:r>
            <w:r>
              <w:rPr>
                <w:color w:val="auto"/>
                <w:sz w:val="24"/>
              </w:rPr>
              <w:t>000m</w:t>
            </w:r>
            <w:r>
              <w:rPr>
                <w:color w:val="auto"/>
                <w:sz w:val="24"/>
                <w:vertAlign w:val="superscript"/>
              </w:rPr>
              <w:t>3</w:t>
            </w:r>
            <w:r>
              <w:rPr>
                <w:color w:val="auto"/>
                <w:sz w:val="24"/>
              </w:rPr>
              <w:t>/h，</w:t>
            </w:r>
            <w:r>
              <w:rPr>
                <w:rFonts w:hint="eastAsia"/>
                <w:color w:val="auto"/>
                <w:sz w:val="24"/>
              </w:rPr>
              <w:t>年工作时间为8400h。</w:t>
            </w:r>
            <w:r>
              <w:rPr>
                <w:color w:val="auto"/>
                <w:sz w:val="24"/>
              </w:rPr>
              <w:t>则擦拭有机废气收集量为3.724t/a，无组织排放量为</w:t>
            </w:r>
            <w:r>
              <w:rPr>
                <w:rFonts w:hint="eastAsia"/>
                <w:color w:val="auto"/>
                <w:sz w:val="24"/>
              </w:rPr>
              <w:t>0.076</w:t>
            </w:r>
            <w:r>
              <w:rPr>
                <w:color w:val="auto"/>
                <w:sz w:val="24"/>
              </w:rPr>
              <w:t>t/a。</w:t>
            </w:r>
          </w:p>
          <w:p>
            <w:pPr>
              <w:widowControl/>
              <w:spacing w:line="360" w:lineRule="auto"/>
              <w:ind w:firstLine="480" w:firstLineChars="200"/>
              <w:rPr>
                <w:color w:val="auto"/>
                <w:kern w:val="0"/>
                <w:sz w:val="24"/>
                <w:lang w:bidi="ar"/>
              </w:rPr>
            </w:pPr>
            <w:r>
              <w:rPr>
                <w:color w:val="auto"/>
                <w:kern w:val="0"/>
                <w:sz w:val="24"/>
                <w:lang w:bidi="ar"/>
              </w:rPr>
              <w:t>6、EVA检测废气</w:t>
            </w:r>
          </w:p>
          <w:p>
            <w:pPr>
              <w:spacing w:line="360" w:lineRule="auto"/>
              <w:ind w:firstLine="480" w:firstLineChars="200"/>
              <w:rPr>
                <w:color w:val="auto"/>
                <w:sz w:val="24"/>
              </w:rPr>
            </w:pPr>
            <w:r>
              <w:rPr>
                <w:color w:val="auto"/>
                <w:kern w:val="0"/>
                <w:sz w:val="24"/>
                <w:lang w:bidi="ar"/>
              </w:rPr>
              <w:t>本项目</w:t>
            </w:r>
            <w:r>
              <w:rPr>
                <w:rFonts w:hint="eastAsia"/>
                <w:color w:val="auto"/>
                <w:kern w:val="0"/>
                <w:sz w:val="24"/>
                <w:lang w:bidi="ar"/>
              </w:rPr>
              <w:t>EVA检测依托115组件仓库EVA实验室进行</w:t>
            </w:r>
            <w:r>
              <w:rPr>
                <w:color w:val="auto"/>
                <w:kern w:val="0"/>
                <w:sz w:val="24"/>
                <w:lang w:bidi="ar"/>
              </w:rPr>
              <w:t>内，</w:t>
            </w:r>
            <w:r>
              <w:rPr>
                <w:rFonts w:hint="eastAsia"/>
                <w:color w:val="auto"/>
                <w:kern w:val="0"/>
                <w:sz w:val="24"/>
                <w:lang w:bidi="ar"/>
              </w:rPr>
              <w:t>该实验室</w:t>
            </w:r>
            <w:r>
              <w:rPr>
                <w:color w:val="auto"/>
                <w:kern w:val="0"/>
                <w:sz w:val="24"/>
                <w:lang w:bidi="ar"/>
              </w:rPr>
              <w:t>主要进行全厂区产品的EVA交联度检测，检测过程使用</w:t>
            </w:r>
            <w:r>
              <w:rPr>
                <w:rFonts w:hint="eastAsia"/>
                <w:color w:val="auto"/>
                <w:kern w:val="0"/>
                <w:sz w:val="24"/>
                <w:lang w:bidi="ar"/>
              </w:rPr>
              <w:t>萃取</w:t>
            </w:r>
            <w:r>
              <w:rPr>
                <w:color w:val="auto"/>
                <w:kern w:val="0"/>
                <w:sz w:val="24"/>
                <w:lang w:bidi="ar"/>
              </w:rPr>
              <w:t>药剂为二甲苯</w:t>
            </w:r>
            <w:r>
              <w:rPr>
                <w:rFonts w:hint="eastAsia"/>
                <w:color w:val="auto"/>
                <w:kern w:val="0"/>
                <w:sz w:val="24"/>
                <w:lang w:bidi="ar"/>
              </w:rPr>
              <w:t>。本项目EVA测试二甲苯的使用量为0.35t/a，</w:t>
            </w:r>
            <w:r>
              <w:rPr>
                <w:color w:val="auto"/>
                <w:kern w:val="0"/>
                <w:sz w:val="24"/>
                <w:lang w:bidi="ar"/>
              </w:rPr>
              <w:t>测试过程通风橱为密闭状态，实验过程产生的二甲苯废液设备回收，回收率为80%</w:t>
            </w:r>
            <w:r>
              <w:rPr>
                <w:rFonts w:hint="eastAsia"/>
                <w:color w:val="auto"/>
                <w:kern w:val="0"/>
                <w:sz w:val="24"/>
                <w:lang w:eastAsia="zh-CN" w:bidi="ar"/>
              </w:rPr>
              <w:t>，则</w:t>
            </w:r>
            <w:r>
              <w:rPr>
                <w:color w:val="auto"/>
                <w:kern w:val="0"/>
                <w:sz w:val="24"/>
                <w:lang w:bidi="ar"/>
              </w:rPr>
              <w:t>实验过程挥发的二甲苯废气量为</w:t>
            </w:r>
            <w:r>
              <w:rPr>
                <w:rFonts w:hint="eastAsia"/>
                <w:color w:val="auto"/>
                <w:kern w:val="0"/>
                <w:sz w:val="24"/>
                <w:lang w:bidi="ar"/>
              </w:rPr>
              <w:t>0.07</w:t>
            </w:r>
            <w:r>
              <w:rPr>
                <w:color w:val="auto"/>
                <w:kern w:val="0"/>
                <w:sz w:val="24"/>
                <w:lang w:bidi="ar"/>
              </w:rPr>
              <w:t>t/a</w:t>
            </w:r>
            <w:r>
              <w:rPr>
                <w:rFonts w:hint="eastAsia"/>
                <w:color w:val="auto"/>
                <w:kern w:val="0"/>
                <w:sz w:val="24"/>
                <w:lang w:eastAsia="zh-CN" w:bidi="ar"/>
              </w:rPr>
              <w:t>。</w:t>
            </w:r>
            <w:r>
              <w:rPr>
                <w:color w:val="auto"/>
                <w:kern w:val="0"/>
                <w:sz w:val="24"/>
                <w:lang w:bidi="ar"/>
              </w:rPr>
              <w:t>实验室共设28台通风橱，废气分别经顶部风管收集后</w:t>
            </w:r>
            <w:r>
              <w:rPr>
                <w:rFonts w:hint="eastAsia"/>
                <w:color w:val="auto"/>
                <w:kern w:val="0"/>
                <w:sz w:val="24"/>
                <w:lang w:eastAsia="zh-CN" w:bidi="ar"/>
              </w:rPr>
              <w:t>依托现有</w:t>
            </w:r>
            <w:r>
              <w:rPr>
                <w:color w:val="auto"/>
                <w:kern w:val="0"/>
                <w:sz w:val="24"/>
                <w:lang w:bidi="ar"/>
              </w:rPr>
              <w:t>一套</w:t>
            </w:r>
            <w:r>
              <w:rPr>
                <w:rFonts w:hint="eastAsia"/>
                <w:color w:val="auto"/>
                <w:kern w:val="0"/>
                <w:sz w:val="24"/>
                <w:lang w:bidi="ar"/>
              </w:rPr>
              <w:t>二</w:t>
            </w:r>
            <w:r>
              <w:rPr>
                <w:color w:val="auto"/>
                <w:kern w:val="0"/>
                <w:sz w:val="24"/>
                <w:lang w:bidi="ar"/>
              </w:rPr>
              <w:t>级活性炭吸附装置处理后通过1根15m高排气筒（DA0</w:t>
            </w:r>
            <w:r>
              <w:rPr>
                <w:rFonts w:hint="eastAsia"/>
                <w:color w:val="auto"/>
                <w:kern w:val="0"/>
                <w:sz w:val="24"/>
                <w:lang w:val="en-US" w:eastAsia="zh-CN" w:bidi="ar"/>
              </w:rPr>
              <w:t>10</w:t>
            </w:r>
            <w:r>
              <w:rPr>
                <w:color w:val="auto"/>
                <w:kern w:val="0"/>
                <w:sz w:val="24"/>
                <w:lang w:bidi="ar"/>
              </w:rPr>
              <w:t>）排放，</w:t>
            </w:r>
            <w:r>
              <w:rPr>
                <w:color w:val="auto"/>
                <w:sz w:val="24"/>
              </w:rPr>
              <w:t>二甲苯废气收集效率为98%，处理效率为90%，则</w:t>
            </w:r>
            <w:r>
              <w:rPr>
                <w:rFonts w:hint="eastAsia"/>
                <w:color w:val="auto"/>
                <w:sz w:val="24"/>
                <w:lang w:eastAsia="zh-CN"/>
              </w:rPr>
              <w:t>本项目</w:t>
            </w:r>
            <w:r>
              <w:rPr>
                <w:color w:val="auto"/>
                <w:sz w:val="24"/>
              </w:rPr>
              <w:t>EVA检测二甲苯废气收集量为0.</w:t>
            </w:r>
            <w:r>
              <w:rPr>
                <w:rFonts w:hint="eastAsia"/>
                <w:color w:val="auto"/>
                <w:sz w:val="24"/>
              </w:rPr>
              <w:t>0686</w:t>
            </w:r>
            <w:r>
              <w:rPr>
                <w:color w:val="auto"/>
                <w:sz w:val="24"/>
              </w:rPr>
              <w:t>t/a，无组织排放量为0.0</w:t>
            </w:r>
            <w:r>
              <w:rPr>
                <w:rFonts w:hint="eastAsia"/>
                <w:color w:val="auto"/>
                <w:sz w:val="24"/>
              </w:rPr>
              <w:t>014</w:t>
            </w:r>
            <w:r>
              <w:rPr>
                <w:color w:val="auto"/>
                <w:sz w:val="24"/>
              </w:rPr>
              <w:t>t/a。</w:t>
            </w:r>
          </w:p>
          <w:p>
            <w:pPr>
              <w:pStyle w:val="3"/>
              <w:ind w:left="0" w:leftChars="0" w:firstLine="0" w:firstLineChars="0"/>
              <w:jc w:val="center"/>
              <w:rPr>
                <w:color w:val="auto"/>
              </w:rPr>
            </w:pPr>
            <w:r>
              <w:rPr>
                <w:color w:val="auto"/>
              </w:rPr>
              <w:object>
                <v:shape id="_x0000_i1030" o:spt="75" type="#_x0000_t75" style="height:156.35pt;width:413.85pt;" o:ole="t" filled="f" o:preferrelative="t" stroked="f" coordsize="21600,21600">
                  <v:path/>
                  <v:fill on="f" focussize="0,0"/>
                  <v:stroke on="f"/>
                  <v:imagedata r:id="rId19" o:title=""/>
                  <o:lock v:ext="edit" aspectratio="t"/>
                  <w10:wrap type="none"/>
                  <w10:anchorlock/>
                </v:shape>
                <o:OLEObject Type="Embed" ProgID="" ShapeID="_x0000_i1030" DrawAspect="Content" ObjectID="_1468075728" r:id="rId18">
                  <o:LockedField>false</o:LockedField>
                </o:OLEObject>
              </w:object>
            </w:r>
          </w:p>
          <w:p>
            <w:pPr>
              <w:pStyle w:val="3"/>
              <w:ind w:left="0" w:leftChars="0" w:firstLine="0" w:firstLineChars="0"/>
              <w:jc w:val="center"/>
              <w:rPr>
                <w:b/>
                <w:bCs/>
                <w:color w:val="auto"/>
              </w:rPr>
            </w:pPr>
            <w:r>
              <w:rPr>
                <w:b/>
                <w:bCs/>
                <w:color w:val="auto"/>
              </w:rPr>
              <w:t>图</w:t>
            </w:r>
            <w:r>
              <w:rPr>
                <w:rFonts w:hint="eastAsia"/>
                <w:b/>
                <w:bCs/>
                <w:color w:val="auto"/>
              </w:rPr>
              <w:t xml:space="preserve">7 </w:t>
            </w:r>
            <w:r>
              <w:rPr>
                <w:b/>
                <w:bCs/>
                <w:color w:val="auto"/>
              </w:rPr>
              <w:t>本项目二甲苯物料平衡图（t/a）</w:t>
            </w:r>
          </w:p>
          <w:p>
            <w:pPr>
              <w:widowControl/>
              <w:numPr>
                <w:ilvl w:val="0"/>
                <w:numId w:val="2"/>
              </w:numPr>
              <w:jc w:val="center"/>
              <w:rPr>
                <w:b/>
                <w:color w:val="auto"/>
                <w:kern w:val="0"/>
                <w:szCs w:val="21"/>
              </w:rPr>
            </w:pPr>
            <w:r>
              <w:rPr>
                <w:b/>
                <w:color w:val="auto"/>
                <w:kern w:val="0"/>
                <w:szCs w:val="21"/>
              </w:rPr>
              <w:t>项目</w:t>
            </w:r>
            <w:r>
              <w:rPr>
                <w:b/>
                <w:color w:val="auto"/>
                <w:kern w:val="0"/>
                <w:szCs w:val="21"/>
                <w:lang w:val="zh-TW"/>
              </w:rPr>
              <w:t>无组织</w:t>
            </w:r>
            <w:r>
              <w:rPr>
                <w:b/>
                <w:color w:val="auto"/>
                <w:kern w:val="0"/>
                <w:szCs w:val="21"/>
                <w:lang w:val="zh-TW" w:eastAsia="zh-TW"/>
              </w:rPr>
              <w:t>废气污染源汇总表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3"/>
              <w:gridCol w:w="1166"/>
              <w:gridCol w:w="1314"/>
              <w:gridCol w:w="939"/>
              <w:gridCol w:w="1070"/>
              <w:gridCol w:w="895"/>
              <w:gridCol w:w="1008"/>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val="zh-TW" w:eastAsia="zh-TW" w:bidi="ar"/>
                    </w:rPr>
                    <w:t>序号</w:t>
                  </w:r>
                </w:p>
              </w:tc>
              <w:tc>
                <w:tcPr>
                  <w:tcW w:w="1166" w:type="dxa"/>
                  <w:noWrap w:val="0"/>
                  <w:vAlign w:val="center"/>
                </w:tcPr>
                <w:p>
                  <w:pPr>
                    <w:widowControl/>
                    <w:jc w:val="center"/>
                    <w:textAlignment w:val="center"/>
                    <w:rPr>
                      <w:color w:val="auto"/>
                      <w:kern w:val="0"/>
                      <w:szCs w:val="21"/>
                      <w:lang w:bidi="ar"/>
                    </w:rPr>
                  </w:pPr>
                  <w:r>
                    <w:rPr>
                      <w:color w:val="auto"/>
                      <w:kern w:val="0"/>
                      <w:szCs w:val="21"/>
                      <w:lang w:val="zh-TW" w:eastAsia="zh-TW" w:bidi="ar"/>
                    </w:rPr>
                    <w:t>污染</w:t>
                  </w:r>
                  <w:r>
                    <w:rPr>
                      <w:color w:val="auto"/>
                      <w:kern w:val="0"/>
                      <w:szCs w:val="21"/>
                      <w:lang w:bidi="ar"/>
                    </w:rPr>
                    <w:t>源</w:t>
                  </w:r>
                </w:p>
              </w:tc>
              <w:tc>
                <w:tcPr>
                  <w:tcW w:w="1314" w:type="dxa"/>
                  <w:noWrap w:val="0"/>
                  <w:vAlign w:val="center"/>
                </w:tcPr>
                <w:p>
                  <w:pPr>
                    <w:widowControl/>
                    <w:jc w:val="center"/>
                    <w:textAlignment w:val="center"/>
                    <w:rPr>
                      <w:color w:val="auto"/>
                      <w:kern w:val="0"/>
                      <w:szCs w:val="21"/>
                      <w:lang w:bidi="ar"/>
                    </w:rPr>
                  </w:pPr>
                  <w:r>
                    <w:rPr>
                      <w:color w:val="auto"/>
                      <w:kern w:val="0"/>
                      <w:szCs w:val="21"/>
                      <w:lang w:bidi="ar"/>
                    </w:rPr>
                    <w:t>污染物</w:t>
                  </w:r>
                </w:p>
              </w:tc>
              <w:tc>
                <w:tcPr>
                  <w:tcW w:w="939" w:type="dxa"/>
                  <w:noWrap w:val="0"/>
                  <w:vAlign w:val="center"/>
                </w:tcPr>
                <w:p>
                  <w:pPr>
                    <w:widowControl/>
                    <w:jc w:val="center"/>
                    <w:textAlignment w:val="center"/>
                    <w:rPr>
                      <w:color w:val="auto"/>
                      <w:kern w:val="0"/>
                      <w:szCs w:val="21"/>
                      <w:lang w:val="zh-TW" w:bidi="ar"/>
                    </w:rPr>
                  </w:pPr>
                  <w:r>
                    <w:rPr>
                      <w:color w:val="auto"/>
                      <w:kern w:val="0"/>
                      <w:szCs w:val="21"/>
                      <w:lang w:val="zh-TW" w:bidi="ar"/>
                    </w:rPr>
                    <w:t>产生量</w:t>
                  </w:r>
                </w:p>
                <w:p>
                  <w:pPr>
                    <w:widowControl/>
                    <w:jc w:val="center"/>
                    <w:textAlignment w:val="center"/>
                    <w:rPr>
                      <w:color w:val="auto"/>
                      <w:kern w:val="0"/>
                      <w:szCs w:val="21"/>
                      <w:lang w:bidi="ar"/>
                    </w:rPr>
                  </w:pPr>
                  <w:r>
                    <w:rPr>
                      <w:color w:val="auto"/>
                      <w:kern w:val="0"/>
                      <w:szCs w:val="21"/>
                      <w:lang w:bidi="ar"/>
                    </w:rPr>
                    <w:t>(t/a)</w:t>
                  </w:r>
                </w:p>
              </w:tc>
              <w:tc>
                <w:tcPr>
                  <w:tcW w:w="1070" w:type="dxa"/>
                  <w:noWrap w:val="0"/>
                  <w:vAlign w:val="center"/>
                </w:tcPr>
                <w:p>
                  <w:pPr>
                    <w:widowControl/>
                    <w:jc w:val="center"/>
                    <w:textAlignment w:val="center"/>
                    <w:rPr>
                      <w:color w:val="auto"/>
                      <w:kern w:val="0"/>
                      <w:szCs w:val="21"/>
                      <w:lang w:bidi="ar"/>
                    </w:rPr>
                  </w:pPr>
                  <w:r>
                    <w:rPr>
                      <w:color w:val="auto"/>
                      <w:kern w:val="0"/>
                      <w:szCs w:val="21"/>
                      <w:lang w:val="zh-TW" w:bidi="ar"/>
                    </w:rPr>
                    <w:t>产生速率（</w:t>
                  </w:r>
                  <w:r>
                    <w:rPr>
                      <w:rFonts w:hint="eastAsia"/>
                      <w:color w:val="auto"/>
                      <w:kern w:val="0"/>
                      <w:szCs w:val="21"/>
                      <w:lang w:bidi="ar"/>
                    </w:rPr>
                    <w:t>kg/h</w:t>
                  </w:r>
                  <w:r>
                    <w:rPr>
                      <w:color w:val="auto"/>
                      <w:kern w:val="0"/>
                      <w:szCs w:val="21"/>
                      <w:lang w:val="zh-TW" w:bidi="ar"/>
                    </w:rPr>
                    <w:t>）</w:t>
                  </w:r>
                </w:p>
              </w:tc>
              <w:tc>
                <w:tcPr>
                  <w:tcW w:w="895" w:type="dxa"/>
                  <w:noWrap w:val="0"/>
                  <w:vAlign w:val="center"/>
                </w:tcPr>
                <w:p>
                  <w:pPr>
                    <w:widowControl/>
                    <w:jc w:val="center"/>
                    <w:textAlignment w:val="center"/>
                    <w:rPr>
                      <w:color w:val="auto"/>
                      <w:kern w:val="0"/>
                      <w:szCs w:val="21"/>
                      <w:lang w:val="zh-TW" w:bidi="ar"/>
                    </w:rPr>
                  </w:pPr>
                  <w:r>
                    <w:rPr>
                      <w:rFonts w:hint="eastAsia"/>
                      <w:color w:val="auto"/>
                      <w:kern w:val="0"/>
                      <w:szCs w:val="21"/>
                      <w:lang w:val="zh-TW" w:bidi="ar"/>
                    </w:rPr>
                    <w:t>排放</w:t>
                  </w:r>
                  <w:r>
                    <w:rPr>
                      <w:color w:val="auto"/>
                      <w:kern w:val="0"/>
                      <w:szCs w:val="21"/>
                      <w:lang w:val="zh-TW" w:bidi="ar"/>
                    </w:rPr>
                    <w:t>量</w:t>
                  </w:r>
                </w:p>
                <w:p>
                  <w:pPr>
                    <w:widowControl/>
                    <w:jc w:val="center"/>
                    <w:textAlignment w:val="center"/>
                    <w:rPr>
                      <w:color w:val="auto"/>
                      <w:kern w:val="0"/>
                      <w:szCs w:val="21"/>
                      <w:lang w:val="zh-TW" w:bidi="ar"/>
                    </w:rPr>
                  </w:pPr>
                  <w:r>
                    <w:rPr>
                      <w:color w:val="auto"/>
                      <w:kern w:val="0"/>
                      <w:szCs w:val="21"/>
                      <w:lang w:bidi="ar"/>
                    </w:rPr>
                    <w:t>(t/a)</w:t>
                  </w:r>
                </w:p>
              </w:tc>
              <w:tc>
                <w:tcPr>
                  <w:tcW w:w="1008" w:type="dxa"/>
                  <w:noWrap w:val="0"/>
                  <w:vAlign w:val="center"/>
                </w:tcPr>
                <w:p>
                  <w:pPr>
                    <w:widowControl/>
                    <w:jc w:val="center"/>
                    <w:textAlignment w:val="center"/>
                    <w:rPr>
                      <w:color w:val="auto"/>
                      <w:kern w:val="0"/>
                      <w:szCs w:val="21"/>
                      <w:lang w:val="zh-TW" w:bidi="ar"/>
                    </w:rPr>
                  </w:pPr>
                  <w:r>
                    <w:rPr>
                      <w:rFonts w:hint="eastAsia"/>
                      <w:color w:val="auto"/>
                      <w:kern w:val="0"/>
                      <w:szCs w:val="21"/>
                      <w:lang w:val="zh-TW" w:bidi="ar"/>
                    </w:rPr>
                    <w:t>排放</w:t>
                  </w:r>
                  <w:r>
                    <w:rPr>
                      <w:color w:val="auto"/>
                      <w:kern w:val="0"/>
                      <w:szCs w:val="21"/>
                      <w:lang w:val="zh-TW" w:bidi="ar"/>
                    </w:rPr>
                    <w:t>速率（</w:t>
                  </w:r>
                  <w:r>
                    <w:rPr>
                      <w:rFonts w:hint="eastAsia"/>
                      <w:color w:val="auto"/>
                      <w:kern w:val="0"/>
                      <w:szCs w:val="21"/>
                      <w:lang w:bidi="ar"/>
                    </w:rPr>
                    <w:t>kg/h</w:t>
                  </w:r>
                  <w:r>
                    <w:rPr>
                      <w:color w:val="auto"/>
                      <w:kern w:val="0"/>
                      <w:szCs w:val="21"/>
                      <w:lang w:val="zh-TW" w:bidi="ar"/>
                    </w:rPr>
                    <w:t>）</w:t>
                  </w:r>
                </w:p>
              </w:tc>
              <w:tc>
                <w:tcPr>
                  <w:tcW w:w="1271" w:type="dxa"/>
                  <w:noWrap w:val="0"/>
                  <w:vAlign w:val="center"/>
                </w:tcPr>
                <w:p>
                  <w:pPr>
                    <w:widowControl/>
                    <w:jc w:val="center"/>
                    <w:textAlignment w:val="center"/>
                    <w:rPr>
                      <w:color w:val="auto"/>
                      <w:kern w:val="0"/>
                      <w:szCs w:val="21"/>
                      <w:lang w:val="zh-TW" w:bidi="ar"/>
                    </w:rPr>
                  </w:pPr>
                  <w:r>
                    <w:rPr>
                      <w:color w:val="auto"/>
                      <w:kern w:val="0"/>
                      <w:szCs w:val="21"/>
                      <w:lang w:val="zh-TW" w:bidi="ar"/>
                    </w:rPr>
                    <w:t>排放源</w:t>
                  </w:r>
                </w:p>
                <w:p>
                  <w:pPr>
                    <w:widowControl/>
                    <w:jc w:val="center"/>
                    <w:textAlignment w:val="center"/>
                    <w:rPr>
                      <w:color w:val="auto"/>
                      <w:kern w:val="0"/>
                      <w:szCs w:val="21"/>
                      <w:lang w:val="zh-TW" w:bidi="ar"/>
                    </w:rPr>
                  </w:pPr>
                  <w:r>
                    <w:rPr>
                      <w:color w:val="auto"/>
                      <w:kern w:val="0"/>
                      <w:szCs w:val="21"/>
                      <w:lang w:val="zh-TW" w:bidi="ar"/>
                    </w:rPr>
                    <w:t>参数（</w:t>
                  </w:r>
                  <w:r>
                    <w:rPr>
                      <w:color w:val="auto"/>
                      <w:kern w:val="0"/>
                      <w:szCs w:val="21"/>
                      <w:lang w:bidi="ar"/>
                    </w:rPr>
                    <w:t>m</w:t>
                  </w:r>
                  <w:r>
                    <w:rPr>
                      <w:color w:val="auto"/>
                      <w:kern w:val="0"/>
                      <w:szCs w:val="21"/>
                      <w:lang w:val="zh-TW"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1</w:t>
                  </w:r>
                </w:p>
              </w:tc>
              <w:tc>
                <w:tcPr>
                  <w:tcW w:w="1166" w:type="dxa"/>
                  <w:vMerge w:val="restart"/>
                  <w:noWrap w:val="0"/>
                  <w:vAlign w:val="center"/>
                </w:tcPr>
                <w:p>
                  <w:pPr>
                    <w:spacing w:line="240" w:lineRule="atLeast"/>
                    <w:jc w:val="center"/>
                    <w:rPr>
                      <w:color w:val="auto"/>
                      <w:kern w:val="0"/>
                      <w:szCs w:val="21"/>
                      <w:lang w:bidi="ar"/>
                    </w:rPr>
                  </w:pPr>
                  <w:r>
                    <w:rPr>
                      <w:rFonts w:hint="eastAsia"/>
                      <w:color w:val="auto"/>
                    </w:rPr>
                    <w:t>自动划焊</w:t>
                  </w:r>
                </w:p>
              </w:tc>
              <w:tc>
                <w:tcPr>
                  <w:tcW w:w="1314" w:type="dxa"/>
                  <w:noWrap w:val="0"/>
                  <w:vAlign w:val="center"/>
                </w:tcPr>
                <w:p>
                  <w:pPr>
                    <w:spacing w:line="240" w:lineRule="atLeast"/>
                    <w:jc w:val="center"/>
                    <w:rPr>
                      <w:color w:val="auto"/>
                      <w:kern w:val="0"/>
                      <w:szCs w:val="21"/>
                      <w:lang w:bidi="ar"/>
                    </w:rPr>
                  </w:pPr>
                  <w:r>
                    <w:rPr>
                      <w:color w:val="auto"/>
                    </w:rPr>
                    <w:t>颗粒物</w:t>
                  </w:r>
                </w:p>
              </w:tc>
              <w:tc>
                <w:tcPr>
                  <w:tcW w:w="939" w:type="dxa"/>
                  <w:noWrap w:val="0"/>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0.00119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0.00119 </w:t>
                  </w:r>
                </w:p>
              </w:tc>
              <w:tc>
                <w:tcPr>
                  <w:tcW w:w="1271" w:type="dxa"/>
                  <w:vMerge w:val="restart"/>
                  <w:noWrap w:val="0"/>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550</w:t>
                  </w:r>
                  <w:r>
                    <w:rPr>
                      <w:color w:val="auto"/>
                      <w:kern w:val="0"/>
                      <w:szCs w:val="21"/>
                      <w:lang w:bidi="ar"/>
                    </w:rPr>
                    <w:t>×</w:t>
                  </w:r>
                  <w:r>
                    <w:rPr>
                      <w:rFonts w:hint="eastAsia"/>
                      <w:color w:val="auto"/>
                      <w:kern w:val="0"/>
                      <w:szCs w:val="21"/>
                      <w:lang w:val="en-US" w:eastAsia="zh-CN" w:bidi="ar"/>
                    </w:rPr>
                    <w:t>125</w:t>
                  </w:r>
                  <w:r>
                    <w:rPr>
                      <w:color w:val="auto"/>
                      <w:kern w:val="0"/>
                      <w:szCs w:val="21"/>
                      <w:lang w:bidi="ar"/>
                    </w:rPr>
                    <w:t>×</w:t>
                  </w:r>
                  <w:r>
                    <w:rPr>
                      <w:rFonts w:hint="eastAsia"/>
                      <w:color w:val="auto"/>
                      <w:kern w:val="0"/>
                      <w:szCs w:val="21"/>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2</w:t>
                  </w:r>
                </w:p>
              </w:tc>
              <w:tc>
                <w:tcPr>
                  <w:tcW w:w="1166" w:type="dxa"/>
                  <w:vMerge w:val="continue"/>
                  <w:noWrap w:val="0"/>
                  <w:vAlign w:val="center"/>
                </w:tcPr>
                <w:p>
                  <w:pPr>
                    <w:spacing w:line="240" w:lineRule="atLeast"/>
                    <w:rPr>
                      <w:color w:val="auto"/>
                      <w:kern w:val="0"/>
                      <w:szCs w:val="21"/>
                      <w:lang w:bidi="ar"/>
                    </w:rPr>
                  </w:pPr>
                </w:p>
              </w:tc>
              <w:tc>
                <w:tcPr>
                  <w:tcW w:w="1314" w:type="dxa"/>
                  <w:noWrap w:val="0"/>
                  <w:vAlign w:val="center"/>
                </w:tcPr>
                <w:p>
                  <w:pPr>
                    <w:spacing w:line="240" w:lineRule="atLeast"/>
                    <w:jc w:val="center"/>
                    <w:rPr>
                      <w:color w:val="auto"/>
                      <w:kern w:val="0"/>
                      <w:szCs w:val="21"/>
                      <w:lang w:bidi="ar"/>
                    </w:rPr>
                  </w:pPr>
                  <w:r>
                    <w:rPr>
                      <w:color w:val="auto"/>
                    </w:rPr>
                    <w:t>锡及其化合物</w:t>
                  </w:r>
                </w:p>
              </w:tc>
              <w:tc>
                <w:tcPr>
                  <w:tcW w:w="939" w:type="dxa"/>
                  <w:noWrap w:val="0"/>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0.000357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0.000357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3</w:t>
                  </w:r>
                </w:p>
              </w:tc>
              <w:tc>
                <w:tcPr>
                  <w:tcW w:w="1166" w:type="dxa"/>
                  <w:vMerge w:val="continue"/>
                  <w:noWrap w:val="0"/>
                  <w:vAlign w:val="center"/>
                </w:tcPr>
                <w:p>
                  <w:pPr>
                    <w:spacing w:line="240" w:lineRule="atLeast"/>
                    <w:rPr>
                      <w:color w:val="auto"/>
                      <w:kern w:val="0"/>
                      <w:szCs w:val="21"/>
                      <w:lang w:bidi="ar"/>
                    </w:rPr>
                  </w:pPr>
                </w:p>
              </w:tc>
              <w:tc>
                <w:tcPr>
                  <w:tcW w:w="1314" w:type="dxa"/>
                  <w:noWrap w:val="0"/>
                  <w:vAlign w:val="center"/>
                </w:tcPr>
                <w:p>
                  <w:pPr>
                    <w:spacing w:line="240" w:lineRule="atLeast"/>
                    <w:jc w:val="center"/>
                    <w:rPr>
                      <w:color w:val="auto"/>
                      <w:kern w:val="0"/>
                      <w:szCs w:val="21"/>
                      <w:lang w:bidi="ar"/>
                    </w:rPr>
                  </w:pPr>
                  <w:r>
                    <w:rPr>
                      <w:color w:val="auto"/>
                    </w:rPr>
                    <w:t>非甲烷总烃</w:t>
                  </w:r>
                </w:p>
              </w:tc>
              <w:tc>
                <w:tcPr>
                  <w:tcW w:w="939" w:type="dxa"/>
                  <w:noWrap w:val="0"/>
                  <w:vAlign w:val="center"/>
                </w:tcPr>
                <w:p>
                  <w:pPr>
                    <w:keepNext w:val="0"/>
                    <w:keepLines w:val="0"/>
                    <w:widowControl/>
                    <w:suppressLineNumbers w:val="0"/>
                    <w:jc w:val="center"/>
                    <w:textAlignment w:val="center"/>
                    <w:rPr>
                      <w:rFonts w:hint="default" w:eastAsia="宋体"/>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0.416</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0.0495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0.416</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0.0495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4</w:t>
                  </w:r>
                </w:p>
              </w:tc>
              <w:tc>
                <w:tcPr>
                  <w:tcW w:w="1166" w:type="dxa"/>
                  <w:noWrap w:val="0"/>
                  <w:vAlign w:val="center"/>
                </w:tcPr>
                <w:p>
                  <w:pPr>
                    <w:spacing w:line="240" w:lineRule="atLeast"/>
                    <w:jc w:val="center"/>
                    <w:rPr>
                      <w:color w:val="auto"/>
                      <w:kern w:val="0"/>
                      <w:szCs w:val="21"/>
                      <w:lang w:bidi="ar"/>
                    </w:rPr>
                  </w:pPr>
                  <w:r>
                    <w:rPr>
                      <w:color w:val="auto"/>
                    </w:rPr>
                    <w:t>层压</w:t>
                  </w:r>
                </w:p>
              </w:tc>
              <w:tc>
                <w:tcPr>
                  <w:tcW w:w="1314" w:type="dxa"/>
                  <w:noWrap w:val="0"/>
                  <w:vAlign w:val="center"/>
                </w:tcPr>
                <w:p>
                  <w:pPr>
                    <w:spacing w:line="240" w:lineRule="atLeast"/>
                    <w:jc w:val="center"/>
                    <w:rPr>
                      <w:color w:val="auto"/>
                      <w:kern w:val="0"/>
                      <w:szCs w:val="21"/>
                      <w:lang w:bidi="ar"/>
                    </w:rPr>
                  </w:pPr>
                  <w:r>
                    <w:rPr>
                      <w:color w:val="auto"/>
                    </w:rPr>
                    <w:t>非甲烷总烃</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0.00167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0.00167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5</w:t>
                  </w:r>
                </w:p>
              </w:tc>
              <w:tc>
                <w:tcPr>
                  <w:tcW w:w="1166" w:type="dxa"/>
                  <w:vMerge w:val="restart"/>
                  <w:noWrap w:val="0"/>
                  <w:vAlign w:val="center"/>
                </w:tcPr>
                <w:p>
                  <w:pPr>
                    <w:spacing w:line="240" w:lineRule="atLeast"/>
                    <w:jc w:val="center"/>
                    <w:rPr>
                      <w:color w:val="auto"/>
                      <w:highlight w:val="none"/>
                    </w:rPr>
                  </w:pPr>
                  <w:r>
                    <w:rPr>
                      <w:rFonts w:hint="eastAsia"/>
                      <w:color w:val="auto"/>
                      <w:highlight w:val="none"/>
                    </w:rPr>
                    <w:t>接线盒焊接</w:t>
                  </w:r>
                </w:p>
              </w:tc>
              <w:tc>
                <w:tcPr>
                  <w:tcW w:w="1314" w:type="dxa"/>
                  <w:noWrap w:val="0"/>
                  <w:vAlign w:val="center"/>
                </w:tcPr>
                <w:p>
                  <w:pPr>
                    <w:spacing w:line="240" w:lineRule="atLeast"/>
                    <w:jc w:val="center"/>
                    <w:rPr>
                      <w:color w:val="auto"/>
                      <w:kern w:val="0"/>
                      <w:szCs w:val="21"/>
                      <w:highlight w:val="none"/>
                      <w:lang w:bidi="ar"/>
                    </w:rPr>
                  </w:pPr>
                  <w:r>
                    <w:rPr>
                      <w:color w:val="auto"/>
                      <w:highlight w:val="none"/>
                    </w:rPr>
                    <w:t>颗粒物</w:t>
                  </w:r>
                </w:p>
              </w:tc>
              <w:tc>
                <w:tcPr>
                  <w:tcW w:w="939" w:type="dxa"/>
                  <w:noWrap w:val="0"/>
                  <w:vAlign w:val="center"/>
                </w:tcPr>
                <w:p>
                  <w:pPr>
                    <w:keepNext w:val="0"/>
                    <w:keepLines w:val="0"/>
                    <w:widowControl/>
                    <w:suppressLineNumbers w:val="0"/>
                    <w:jc w:val="center"/>
                    <w:textAlignment w:val="center"/>
                    <w:rPr>
                      <w:rFonts w:hint="default"/>
                      <w:color w:val="auto"/>
                      <w:szCs w:val="21"/>
                      <w:highlight w:val="yellow"/>
                      <w:lang w:val="en-US"/>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0.00000357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0.00003</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0.00000357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6</w:t>
                  </w:r>
                </w:p>
              </w:tc>
              <w:tc>
                <w:tcPr>
                  <w:tcW w:w="1166" w:type="dxa"/>
                  <w:vMerge w:val="continue"/>
                  <w:noWrap w:val="0"/>
                  <w:vAlign w:val="center"/>
                </w:tcPr>
                <w:p>
                  <w:pPr>
                    <w:spacing w:line="240" w:lineRule="atLeast"/>
                    <w:jc w:val="center"/>
                    <w:rPr>
                      <w:rFonts w:hint="eastAsia"/>
                      <w:color w:val="auto"/>
                    </w:rPr>
                  </w:pPr>
                </w:p>
              </w:tc>
              <w:tc>
                <w:tcPr>
                  <w:tcW w:w="1314" w:type="dxa"/>
                  <w:noWrap w:val="0"/>
                  <w:vAlign w:val="center"/>
                </w:tcPr>
                <w:p>
                  <w:pPr>
                    <w:spacing w:line="240" w:lineRule="atLeast"/>
                    <w:jc w:val="center"/>
                    <w:rPr>
                      <w:color w:val="auto"/>
                      <w:kern w:val="0"/>
                      <w:szCs w:val="21"/>
                      <w:highlight w:val="yellow"/>
                      <w:lang w:bidi="ar"/>
                    </w:rPr>
                  </w:pPr>
                  <w:r>
                    <w:rPr>
                      <w:color w:val="auto"/>
                      <w:highlight w:val="none"/>
                    </w:rPr>
                    <w:t>锡及其化合物</w:t>
                  </w:r>
                </w:p>
              </w:tc>
              <w:tc>
                <w:tcPr>
                  <w:tcW w:w="939" w:type="dxa"/>
                  <w:noWrap w:val="0"/>
                  <w:vAlign w:val="center"/>
                </w:tcPr>
                <w:p>
                  <w:pPr>
                    <w:keepNext w:val="0"/>
                    <w:keepLines w:val="0"/>
                    <w:widowControl/>
                    <w:suppressLineNumbers w:val="0"/>
                    <w:jc w:val="center"/>
                    <w:textAlignment w:val="center"/>
                    <w:rPr>
                      <w:rFonts w:hint="default"/>
                      <w:color w:val="auto"/>
                      <w:szCs w:val="21"/>
                      <w:highlight w:val="yellow"/>
                      <w:lang w:val="en-US"/>
                    </w:rPr>
                  </w:pPr>
                  <w:r>
                    <w:rPr>
                      <w:rFonts w:hint="default" w:ascii="Times New Roman" w:hAnsi="Times New Roman" w:eastAsia="宋体" w:cs="Times New Roman"/>
                      <w:i w:val="0"/>
                      <w:iCs w:val="0"/>
                      <w:color w:val="auto"/>
                      <w:kern w:val="0"/>
                      <w:sz w:val="21"/>
                      <w:szCs w:val="21"/>
                      <w:u w:val="none"/>
                      <w:lang w:val="en-US" w:eastAsia="zh-CN" w:bidi="ar"/>
                    </w:rPr>
                    <w:t>0.00002</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0.00000238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0.00002</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0.00000238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7</w:t>
                  </w:r>
                </w:p>
              </w:tc>
              <w:tc>
                <w:tcPr>
                  <w:tcW w:w="1166" w:type="dxa"/>
                  <w:noWrap w:val="0"/>
                  <w:vAlign w:val="center"/>
                </w:tcPr>
                <w:p>
                  <w:pPr>
                    <w:spacing w:line="240" w:lineRule="atLeast"/>
                    <w:jc w:val="center"/>
                    <w:rPr>
                      <w:color w:val="auto"/>
                      <w:kern w:val="0"/>
                      <w:szCs w:val="21"/>
                      <w:lang w:bidi="ar"/>
                    </w:rPr>
                  </w:pPr>
                  <w:r>
                    <w:rPr>
                      <w:color w:val="auto"/>
                    </w:rPr>
                    <w:t>固化</w:t>
                  </w:r>
                </w:p>
              </w:tc>
              <w:tc>
                <w:tcPr>
                  <w:tcW w:w="1314" w:type="dxa"/>
                  <w:noWrap w:val="0"/>
                  <w:vAlign w:val="center"/>
                </w:tcPr>
                <w:p>
                  <w:pPr>
                    <w:spacing w:line="240" w:lineRule="atLeast"/>
                    <w:jc w:val="center"/>
                    <w:rPr>
                      <w:color w:val="auto"/>
                      <w:kern w:val="0"/>
                      <w:szCs w:val="21"/>
                      <w:lang w:bidi="ar"/>
                    </w:rPr>
                  </w:pPr>
                  <w:r>
                    <w:rPr>
                      <w:color w:val="auto"/>
                    </w:rPr>
                    <w:t>非甲烷总烃</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0.144</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0.0171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0.144</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0.0171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8</w:t>
                  </w:r>
                </w:p>
              </w:tc>
              <w:tc>
                <w:tcPr>
                  <w:tcW w:w="1166" w:type="dxa"/>
                  <w:noWrap w:val="0"/>
                  <w:vAlign w:val="center"/>
                </w:tcPr>
                <w:p>
                  <w:pPr>
                    <w:spacing w:line="240" w:lineRule="atLeast"/>
                    <w:jc w:val="center"/>
                    <w:rPr>
                      <w:color w:val="auto"/>
                      <w:kern w:val="0"/>
                      <w:szCs w:val="21"/>
                      <w:lang w:bidi="ar"/>
                    </w:rPr>
                  </w:pPr>
                  <w:r>
                    <w:rPr>
                      <w:color w:val="auto"/>
                    </w:rPr>
                    <w:t>酒精擦拭</w:t>
                  </w:r>
                </w:p>
              </w:tc>
              <w:tc>
                <w:tcPr>
                  <w:tcW w:w="1314" w:type="dxa"/>
                  <w:noWrap w:val="0"/>
                  <w:vAlign w:val="center"/>
                </w:tcPr>
                <w:p>
                  <w:pPr>
                    <w:spacing w:line="240" w:lineRule="atLeast"/>
                    <w:jc w:val="center"/>
                    <w:rPr>
                      <w:color w:val="auto"/>
                      <w:kern w:val="0"/>
                      <w:szCs w:val="21"/>
                      <w:lang w:bidi="ar"/>
                    </w:rPr>
                  </w:pPr>
                  <w:r>
                    <w:rPr>
                      <w:color w:val="auto"/>
                    </w:rPr>
                    <w:t>非甲烷总烃</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0.076</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0.00905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0.076</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0.00905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9</w:t>
                  </w:r>
                </w:p>
              </w:tc>
              <w:tc>
                <w:tcPr>
                  <w:tcW w:w="1166" w:type="dxa"/>
                  <w:vMerge w:val="restart"/>
                  <w:noWrap w:val="0"/>
                  <w:vAlign w:val="center"/>
                </w:tcPr>
                <w:p>
                  <w:pPr>
                    <w:spacing w:line="240" w:lineRule="atLeast"/>
                    <w:jc w:val="center"/>
                    <w:rPr>
                      <w:color w:val="auto"/>
                    </w:rPr>
                  </w:pPr>
                  <w:r>
                    <w:rPr>
                      <w:rFonts w:hint="eastAsia"/>
                      <w:color w:val="auto"/>
                    </w:rPr>
                    <w:t>智慧厂房</w:t>
                  </w:r>
                </w:p>
                <w:p>
                  <w:pPr>
                    <w:spacing w:line="240" w:lineRule="atLeast"/>
                    <w:jc w:val="center"/>
                    <w:rPr>
                      <w:color w:val="auto"/>
                      <w:kern w:val="0"/>
                      <w:szCs w:val="21"/>
                      <w:lang w:bidi="ar"/>
                    </w:rPr>
                  </w:pPr>
                  <w:r>
                    <w:rPr>
                      <w:color w:val="auto"/>
                    </w:rPr>
                    <w:t>合计</w:t>
                  </w:r>
                </w:p>
              </w:tc>
              <w:tc>
                <w:tcPr>
                  <w:tcW w:w="1314" w:type="dxa"/>
                  <w:noWrap w:val="0"/>
                  <w:vAlign w:val="center"/>
                </w:tcPr>
                <w:p>
                  <w:pPr>
                    <w:spacing w:line="240" w:lineRule="atLeast"/>
                    <w:jc w:val="center"/>
                    <w:rPr>
                      <w:color w:val="auto"/>
                    </w:rPr>
                  </w:pPr>
                  <w:r>
                    <w:rPr>
                      <w:color w:val="auto"/>
                    </w:rPr>
                    <w:t>颗粒物</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0.01003</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0.0012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0.01003</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0.0012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5"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1</w:t>
                  </w:r>
                  <w:r>
                    <w:rPr>
                      <w:rFonts w:hint="eastAsia"/>
                      <w:color w:val="auto"/>
                      <w:kern w:val="0"/>
                      <w:szCs w:val="21"/>
                      <w:lang w:bidi="ar"/>
                    </w:rPr>
                    <w:t>0</w:t>
                  </w:r>
                </w:p>
              </w:tc>
              <w:tc>
                <w:tcPr>
                  <w:tcW w:w="1166" w:type="dxa"/>
                  <w:vMerge w:val="continue"/>
                  <w:noWrap w:val="0"/>
                  <w:vAlign w:val="center"/>
                </w:tcPr>
                <w:p>
                  <w:pPr>
                    <w:spacing w:line="240" w:lineRule="atLeast"/>
                    <w:jc w:val="center"/>
                    <w:rPr>
                      <w:color w:val="auto"/>
                    </w:rPr>
                  </w:pPr>
                </w:p>
              </w:tc>
              <w:tc>
                <w:tcPr>
                  <w:tcW w:w="1314" w:type="dxa"/>
                  <w:noWrap w:val="0"/>
                  <w:vAlign w:val="center"/>
                </w:tcPr>
                <w:p>
                  <w:pPr>
                    <w:spacing w:line="240" w:lineRule="atLeast"/>
                    <w:jc w:val="center"/>
                    <w:rPr>
                      <w:color w:val="auto"/>
                    </w:rPr>
                  </w:pPr>
                  <w:r>
                    <w:rPr>
                      <w:color w:val="auto"/>
                    </w:rPr>
                    <w:t>锡及其化合物</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0.00302</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0.00036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0.00302</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0.00036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7"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11</w:t>
                  </w:r>
                </w:p>
              </w:tc>
              <w:tc>
                <w:tcPr>
                  <w:tcW w:w="1166" w:type="dxa"/>
                  <w:vMerge w:val="continue"/>
                  <w:noWrap w:val="0"/>
                  <w:vAlign w:val="center"/>
                </w:tcPr>
                <w:p>
                  <w:pPr>
                    <w:spacing w:line="240" w:lineRule="atLeast"/>
                    <w:jc w:val="center"/>
                    <w:rPr>
                      <w:color w:val="auto"/>
                    </w:rPr>
                  </w:pPr>
                </w:p>
              </w:tc>
              <w:tc>
                <w:tcPr>
                  <w:tcW w:w="1314" w:type="dxa"/>
                  <w:noWrap w:val="0"/>
                  <w:vAlign w:val="center"/>
                </w:tcPr>
                <w:p>
                  <w:pPr>
                    <w:spacing w:line="240" w:lineRule="atLeast"/>
                    <w:jc w:val="center"/>
                    <w:rPr>
                      <w:color w:val="auto"/>
                    </w:rPr>
                  </w:pPr>
                  <w:r>
                    <w:rPr>
                      <w:color w:val="auto"/>
                    </w:rPr>
                    <w:t>非甲烷总烃</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0.65</w:t>
                  </w:r>
                </w:p>
              </w:tc>
              <w:tc>
                <w:tcPr>
                  <w:tcW w:w="1070" w:type="dxa"/>
                  <w:noWrap w:val="0"/>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0.0774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0.65</w:t>
                  </w:r>
                </w:p>
              </w:tc>
              <w:tc>
                <w:tcPr>
                  <w:tcW w:w="1008" w:type="dxa"/>
                  <w:noWrap w:val="0"/>
                  <w:vAlign w:val="center"/>
                </w:tcPr>
                <w:p>
                  <w:pPr>
                    <w:keepNext w:val="0"/>
                    <w:keepLines w:val="0"/>
                    <w:widowControl/>
                    <w:suppressLineNumbers w:val="0"/>
                    <w:jc w:val="center"/>
                    <w:textAlignment w:val="center"/>
                    <w:rPr>
                      <w:rFonts w:hint="default"/>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 xml:space="preserve">0.0774 </w:t>
                  </w:r>
                </w:p>
              </w:tc>
              <w:tc>
                <w:tcPr>
                  <w:tcW w:w="1271" w:type="dxa"/>
                  <w:vMerge w:val="continue"/>
                  <w:noWrap w:val="0"/>
                  <w:vAlign w:val="center"/>
                </w:tcPr>
                <w:p>
                  <w:pPr>
                    <w:widowControl/>
                    <w:jc w:val="center"/>
                    <w:textAlignment w:val="center"/>
                    <w:rPr>
                      <w:color w:val="auto"/>
                      <w:kern w:val="0"/>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3" w:hRule="atLeast"/>
                <w:jc w:val="center"/>
              </w:trPr>
              <w:tc>
                <w:tcPr>
                  <w:tcW w:w="643" w:type="dxa"/>
                  <w:noWrap w:val="0"/>
                  <w:vAlign w:val="center"/>
                </w:tcPr>
                <w:p>
                  <w:pPr>
                    <w:widowControl/>
                    <w:jc w:val="center"/>
                    <w:textAlignment w:val="center"/>
                    <w:rPr>
                      <w:color w:val="auto"/>
                      <w:kern w:val="0"/>
                      <w:szCs w:val="21"/>
                      <w:lang w:bidi="ar"/>
                    </w:rPr>
                  </w:pPr>
                  <w:r>
                    <w:rPr>
                      <w:color w:val="auto"/>
                      <w:kern w:val="0"/>
                      <w:szCs w:val="21"/>
                      <w:lang w:bidi="ar"/>
                    </w:rPr>
                    <w:t>12</w:t>
                  </w:r>
                </w:p>
              </w:tc>
              <w:tc>
                <w:tcPr>
                  <w:tcW w:w="1166" w:type="dxa"/>
                  <w:noWrap w:val="0"/>
                  <w:vAlign w:val="center"/>
                </w:tcPr>
                <w:p>
                  <w:pPr>
                    <w:spacing w:line="240" w:lineRule="atLeast"/>
                    <w:rPr>
                      <w:color w:val="auto"/>
                    </w:rPr>
                  </w:pPr>
                  <w:r>
                    <w:rPr>
                      <w:color w:val="auto"/>
                    </w:rPr>
                    <w:t>实验室合计</w:t>
                  </w:r>
                </w:p>
              </w:tc>
              <w:tc>
                <w:tcPr>
                  <w:tcW w:w="1314" w:type="dxa"/>
                  <w:noWrap w:val="0"/>
                  <w:vAlign w:val="center"/>
                </w:tcPr>
                <w:p>
                  <w:pPr>
                    <w:spacing w:line="240" w:lineRule="atLeast"/>
                    <w:jc w:val="center"/>
                    <w:rPr>
                      <w:color w:val="auto"/>
                    </w:rPr>
                  </w:pPr>
                  <w:r>
                    <w:rPr>
                      <w:color w:val="auto"/>
                    </w:rPr>
                    <w:t>二甲苯</w:t>
                  </w:r>
                </w:p>
              </w:tc>
              <w:tc>
                <w:tcPr>
                  <w:tcW w:w="939"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1070"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0.000167 </w:t>
                  </w:r>
                </w:p>
              </w:tc>
              <w:tc>
                <w:tcPr>
                  <w:tcW w:w="895"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1008" w:type="dxa"/>
                  <w:noWrap w:val="0"/>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0.000167 </w:t>
                  </w:r>
                </w:p>
              </w:tc>
              <w:tc>
                <w:tcPr>
                  <w:tcW w:w="1271" w:type="dxa"/>
                  <w:noWrap w:val="0"/>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100</w:t>
                  </w:r>
                  <w:r>
                    <w:rPr>
                      <w:color w:val="auto"/>
                      <w:kern w:val="0"/>
                      <w:szCs w:val="21"/>
                      <w:lang w:bidi="ar"/>
                    </w:rPr>
                    <w:t>×</w:t>
                  </w:r>
                  <w:r>
                    <w:rPr>
                      <w:rFonts w:hint="eastAsia"/>
                      <w:color w:val="auto"/>
                      <w:kern w:val="0"/>
                      <w:szCs w:val="21"/>
                      <w:lang w:val="en-US" w:eastAsia="zh-CN" w:bidi="ar"/>
                    </w:rPr>
                    <w:t>90</w:t>
                  </w:r>
                  <w:r>
                    <w:rPr>
                      <w:color w:val="auto"/>
                      <w:kern w:val="0"/>
                      <w:szCs w:val="21"/>
                      <w:lang w:bidi="ar"/>
                    </w:rPr>
                    <w:t>×</w:t>
                  </w:r>
                  <w:r>
                    <w:rPr>
                      <w:rFonts w:hint="eastAsia"/>
                      <w:color w:val="auto"/>
                      <w:kern w:val="0"/>
                      <w:szCs w:val="21"/>
                      <w:lang w:val="en-US" w:eastAsia="zh-CN" w:bidi="ar"/>
                    </w:rPr>
                    <w:t>8</w:t>
                  </w:r>
                </w:p>
              </w:tc>
            </w:tr>
          </w:tbl>
          <w:p>
            <w:pPr>
              <w:pStyle w:val="3"/>
              <w:ind w:left="0" w:leftChars="0" w:firstLine="0" w:firstLineChars="0"/>
              <w:rPr>
                <w:color w:val="auto"/>
              </w:rPr>
            </w:pPr>
          </w:p>
        </w:tc>
      </w:tr>
    </w:tbl>
    <w:p>
      <w:pPr>
        <w:adjustRightInd w:val="0"/>
        <w:snapToGrid w:val="0"/>
        <w:spacing w:line="360" w:lineRule="auto"/>
        <w:rPr>
          <w:rFonts w:hint="eastAsia" w:ascii="宋体" w:cs="宋体"/>
          <w:b/>
          <w:color w:val="auto"/>
          <w:kern w:val="0"/>
          <w:sz w:val="28"/>
          <w:szCs w:val="28"/>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5231"/>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918" w:hRule="atLeast"/>
        </w:trPr>
        <w:tc>
          <w:tcPr>
            <w:tcW w:w="15231" w:type="dxa"/>
            <w:noWrap w:val="0"/>
            <w:vAlign w:val="top"/>
          </w:tcPr>
          <w:p>
            <w:pPr>
              <w:widowControl/>
              <w:numPr>
                <w:ilvl w:val="0"/>
                <w:numId w:val="2"/>
              </w:numPr>
              <w:jc w:val="center"/>
              <w:rPr>
                <w:b/>
                <w:color w:val="auto"/>
                <w:kern w:val="0"/>
                <w:szCs w:val="21"/>
              </w:rPr>
            </w:pPr>
            <w:r>
              <w:rPr>
                <w:rFonts w:hint="eastAsia"/>
                <w:b/>
                <w:color w:val="auto"/>
                <w:kern w:val="0"/>
                <w:szCs w:val="21"/>
              </w:rPr>
              <w:t>本</w:t>
            </w:r>
            <w:r>
              <w:rPr>
                <w:b/>
                <w:color w:val="auto"/>
                <w:kern w:val="0"/>
                <w:szCs w:val="21"/>
              </w:rPr>
              <w:t>项目有组织大气污染物排放情况一览表</w:t>
            </w:r>
          </w:p>
          <w:tbl>
            <w:tblPr>
              <w:tblStyle w:val="2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1"/>
              <w:gridCol w:w="537"/>
              <w:gridCol w:w="537"/>
              <w:gridCol w:w="707"/>
              <w:gridCol w:w="812"/>
              <w:gridCol w:w="746"/>
              <w:gridCol w:w="534"/>
              <w:gridCol w:w="2214"/>
              <w:gridCol w:w="723"/>
              <w:gridCol w:w="504"/>
              <w:gridCol w:w="627"/>
              <w:gridCol w:w="765"/>
              <w:gridCol w:w="917"/>
              <w:gridCol w:w="1023"/>
              <w:gridCol w:w="861"/>
              <w:gridCol w:w="795"/>
              <w:gridCol w:w="799"/>
              <w:gridCol w:w="658"/>
              <w:gridCol w:w="6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591" w:type="dxa"/>
                  <w:vMerge w:val="restart"/>
                  <w:noWrap w:val="0"/>
                  <w:tcMar>
                    <w:top w:w="12" w:type="dxa"/>
                    <w:left w:w="12" w:type="dxa"/>
                    <w:right w:w="12" w:type="dxa"/>
                  </w:tcMar>
                  <w:vAlign w:val="center"/>
                </w:tcPr>
                <w:p>
                  <w:pPr>
                    <w:widowControl/>
                    <w:jc w:val="center"/>
                    <w:textAlignment w:val="center"/>
                    <w:rPr>
                      <w:b/>
                      <w:bCs/>
                      <w:color w:val="auto"/>
                    </w:rPr>
                  </w:pPr>
                  <w:r>
                    <w:rPr>
                      <w:b/>
                      <w:bCs/>
                      <w:color w:val="auto"/>
                    </w:rPr>
                    <w:t>产污</w:t>
                  </w:r>
                </w:p>
                <w:p>
                  <w:pPr>
                    <w:widowControl/>
                    <w:jc w:val="center"/>
                    <w:textAlignment w:val="center"/>
                    <w:rPr>
                      <w:b/>
                      <w:bCs/>
                      <w:color w:val="auto"/>
                    </w:rPr>
                  </w:pPr>
                  <w:r>
                    <w:rPr>
                      <w:b/>
                      <w:bCs/>
                      <w:color w:val="auto"/>
                    </w:rPr>
                    <w:t>环节</w:t>
                  </w:r>
                </w:p>
              </w:tc>
              <w:tc>
                <w:tcPr>
                  <w:tcW w:w="1074" w:type="dxa"/>
                  <w:gridSpan w:val="2"/>
                  <w:vMerge w:val="restart"/>
                  <w:noWrap w:val="0"/>
                  <w:tcMar>
                    <w:top w:w="12" w:type="dxa"/>
                    <w:left w:w="12" w:type="dxa"/>
                    <w:right w:w="12" w:type="dxa"/>
                  </w:tcMar>
                  <w:vAlign w:val="center"/>
                </w:tcPr>
                <w:p>
                  <w:pPr>
                    <w:widowControl/>
                    <w:jc w:val="center"/>
                    <w:textAlignment w:val="center"/>
                    <w:rPr>
                      <w:b/>
                      <w:bCs/>
                      <w:color w:val="auto"/>
                    </w:rPr>
                  </w:pPr>
                  <w:r>
                    <w:rPr>
                      <w:b/>
                      <w:bCs/>
                      <w:color w:val="auto"/>
                    </w:rPr>
                    <w:t>污染物种类</w:t>
                  </w:r>
                </w:p>
              </w:tc>
              <w:tc>
                <w:tcPr>
                  <w:tcW w:w="2265" w:type="dxa"/>
                  <w:gridSpan w:val="3"/>
                  <w:noWrap w:val="0"/>
                  <w:tcMar>
                    <w:top w:w="12" w:type="dxa"/>
                    <w:left w:w="12" w:type="dxa"/>
                    <w:right w:w="12" w:type="dxa"/>
                  </w:tcMar>
                  <w:vAlign w:val="center"/>
                </w:tcPr>
                <w:p>
                  <w:pPr>
                    <w:widowControl/>
                    <w:jc w:val="center"/>
                    <w:textAlignment w:val="center"/>
                    <w:rPr>
                      <w:b/>
                      <w:bCs/>
                      <w:color w:val="auto"/>
                    </w:rPr>
                  </w:pPr>
                  <w:r>
                    <w:rPr>
                      <w:b/>
                      <w:bCs/>
                      <w:color w:val="auto"/>
                    </w:rPr>
                    <w:t>产生情况</w:t>
                  </w:r>
                </w:p>
              </w:tc>
              <w:tc>
                <w:tcPr>
                  <w:tcW w:w="534" w:type="dxa"/>
                  <w:vMerge w:val="restart"/>
                  <w:noWrap w:val="0"/>
                  <w:tcMar>
                    <w:top w:w="12" w:type="dxa"/>
                    <w:left w:w="12" w:type="dxa"/>
                    <w:right w:w="12" w:type="dxa"/>
                  </w:tcMar>
                  <w:vAlign w:val="center"/>
                </w:tcPr>
                <w:p>
                  <w:pPr>
                    <w:widowControl/>
                    <w:jc w:val="center"/>
                    <w:textAlignment w:val="center"/>
                    <w:rPr>
                      <w:b/>
                      <w:bCs/>
                      <w:color w:val="auto"/>
                    </w:rPr>
                  </w:pPr>
                  <w:r>
                    <w:rPr>
                      <w:b/>
                      <w:bCs/>
                      <w:color w:val="auto"/>
                    </w:rPr>
                    <w:t>排放</w:t>
                  </w:r>
                </w:p>
                <w:p>
                  <w:pPr>
                    <w:widowControl/>
                    <w:jc w:val="center"/>
                    <w:textAlignment w:val="center"/>
                    <w:rPr>
                      <w:b/>
                      <w:bCs/>
                      <w:color w:val="auto"/>
                    </w:rPr>
                  </w:pPr>
                  <w:r>
                    <w:rPr>
                      <w:b/>
                      <w:bCs/>
                      <w:color w:val="auto"/>
                    </w:rPr>
                    <w:t>形式</w:t>
                  </w:r>
                </w:p>
              </w:tc>
              <w:tc>
                <w:tcPr>
                  <w:tcW w:w="4833" w:type="dxa"/>
                  <w:gridSpan w:val="5"/>
                  <w:noWrap w:val="0"/>
                  <w:tcMar>
                    <w:top w:w="12" w:type="dxa"/>
                    <w:left w:w="12" w:type="dxa"/>
                    <w:right w:w="12" w:type="dxa"/>
                  </w:tcMar>
                  <w:vAlign w:val="center"/>
                </w:tcPr>
                <w:p>
                  <w:pPr>
                    <w:widowControl/>
                    <w:jc w:val="center"/>
                    <w:textAlignment w:val="center"/>
                    <w:rPr>
                      <w:b/>
                      <w:bCs/>
                      <w:color w:val="auto"/>
                    </w:rPr>
                  </w:pPr>
                  <w:r>
                    <w:rPr>
                      <w:b/>
                      <w:bCs/>
                      <w:color w:val="auto"/>
                    </w:rPr>
                    <w:t>治理设施</w:t>
                  </w:r>
                </w:p>
              </w:tc>
              <w:tc>
                <w:tcPr>
                  <w:tcW w:w="3596" w:type="dxa"/>
                  <w:gridSpan w:val="4"/>
                  <w:noWrap w:val="0"/>
                  <w:tcMar>
                    <w:top w:w="12" w:type="dxa"/>
                    <w:left w:w="12" w:type="dxa"/>
                    <w:right w:w="12" w:type="dxa"/>
                  </w:tcMar>
                  <w:vAlign w:val="center"/>
                </w:tcPr>
                <w:p>
                  <w:pPr>
                    <w:widowControl/>
                    <w:jc w:val="center"/>
                    <w:textAlignment w:val="center"/>
                    <w:rPr>
                      <w:b/>
                      <w:bCs/>
                      <w:color w:val="auto"/>
                    </w:rPr>
                  </w:pPr>
                  <w:r>
                    <w:rPr>
                      <w:b/>
                      <w:bCs/>
                      <w:color w:val="auto"/>
                    </w:rPr>
                    <w:t>排放情况</w:t>
                  </w:r>
                </w:p>
              </w:tc>
              <w:tc>
                <w:tcPr>
                  <w:tcW w:w="1457" w:type="dxa"/>
                  <w:gridSpan w:val="2"/>
                  <w:noWrap w:val="0"/>
                  <w:tcMar>
                    <w:top w:w="12" w:type="dxa"/>
                    <w:left w:w="12" w:type="dxa"/>
                    <w:right w:w="12" w:type="dxa"/>
                  </w:tcMar>
                  <w:vAlign w:val="center"/>
                </w:tcPr>
                <w:p>
                  <w:pPr>
                    <w:widowControl/>
                    <w:jc w:val="center"/>
                    <w:textAlignment w:val="center"/>
                    <w:rPr>
                      <w:b/>
                      <w:bCs/>
                      <w:color w:val="auto"/>
                    </w:rPr>
                  </w:pPr>
                  <w:r>
                    <w:rPr>
                      <w:rFonts w:hint="eastAsia"/>
                      <w:b/>
                      <w:bCs/>
                      <w:color w:val="auto"/>
                      <w:lang w:eastAsia="zh-CN"/>
                    </w:rPr>
                    <w:t>排放标准</w:t>
                  </w:r>
                </w:p>
              </w:tc>
              <w:tc>
                <w:tcPr>
                  <w:tcW w:w="649" w:type="dxa"/>
                  <w:vMerge w:val="restart"/>
                  <w:noWrap w:val="0"/>
                  <w:tcMar>
                    <w:top w:w="12" w:type="dxa"/>
                    <w:left w:w="12" w:type="dxa"/>
                    <w:right w:w="12" w:type="dxa"/>
                  </w:tcMar>
                  <w:vAlign w:val="center"/>
                </w:tcPr>
                <w:p>
                  <w:pPr>
                    <w:widowControl/>
                    <w:jc w:val="center"/>
                    <w:textAlignment w:val="center"/>
                    <w:rPr>
                      <w:rFonts w:hint="eastAsia"/>
                      <w:b/>
                      <w:bCs/>
                      <w:color w:val="auto"/>
                      <w:lang w:eastAsia="zh-CN"/>
                    </w:rPr>
                  </w:pPr>
                  <w:r>
                    <w:rPr>
                      <w:rFonts w:hint="eastAsia"/>
                      <w:b/>
                      <w:bCs/>
                      <w:color w:val="auto"/>
                      <w:lang w:eastAsia="zh-CN"/>
                    </w:rPr>
                    <w:t>是否</w:t>
                  </w:r>
                </w:p>
                <w:p>
                  <w:pPr>
                    <w:widowControl/>
                    <w:jc w:val="center"/>
                    <w:textAlignment w:val="center"/>
                    <w:rPr>
                      <w:rFonts w:hint="eastAsia" w:eastAsia="宋体"/>
                      <w:color w:val="auto"/>
                      <w:lang w:eastAsia="zh-CN"/>
                    </w:rPr>
                  </w:pPr>
                  <w:r>
                    <w:rPr>
                      <w:rFonts w:hint="eastAsia"/>
                      <w:b/>
                      <w:bCs/>
                      <w:color w:val="auto"/>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91" w:type="dxa"/>
                  <w:vMerge w:val="continue"/>
                  <w:noWrap w:val="0"/>
                  <w:tcMar>
                    <w:top w:w="12" w:type="dxa"/>
                    <w:left w:w="12" w:type="dxa"/>
                    <w:right w:w="12" w:type="dxa"/>
                  </w:tcMar>
                  <w:vAlign w:val="center"/>
                </w:tcPr>
                <w:p>
                  <w:pPr>
                    <w:jc w:val="center"/>
                    <w:rPr>
                      <w:b/>
                      <w:bCs/>
                      <w:color w:val="auto"/>
                    </w:rPr>
                  </w:pPr>
                </w:p>
              </w:tc>
              <w:tc>
                <w:tcPr>
                  <w:tcW w:w="1074" w:type="dxa"/>
                  <w:gridSpan w:val="2"/>
                  <w:vMerge w:val="continue"/>
                  <w:noWrap w:val="0"/>
                  <w:tcMar>
                    <w:top w:w="12" w:type="dxa"/>
                    <w:left w:w="12" w:type="dxa"/>
                    <w:right w:w="12" w:type="dxa"/>
                  </w:tcMar>
                  <w:vAlign w:val="center"/>
                </w:tcPr>
                <w:p>
                  <w:pPr>
                    <w:jc w:val="center"/>
                    <w:rPr>
                      <w:b/>
                      <w:bCs/>
                      <w:color w:val="auto"/>
                    </w:rPr>
                  </w:pPr>
                </w:p>
              </w:tc>
              <w:tc>
                <w:tcPr>
                  <w:tcW w:w="707" w:type="dxa"/>
                  <w:noWrap w:val="0"/>
                  <w:tcMar>
                    <w:top w:w="12" w:type="dxa"/>
                    <w:left w:w="12" w:type="dxa"/>
                    <w:right w:w="12" w:type="dxa"/>
                  </w:tcMar>
                  <w:vAlign w:val="center"/>
                </w:tcPr>
                <w:p>
                  <w:pPr>
                    <w:widowControl/>
                    <w:jc w:val="center"/>
                    <w:textAlignment w:val="center"/>
                    <w:rPr>
                      <w:b/>
                      <w:bCs/>
                      <w:color w:val="auto"/>
                    </w:rPr>
                  </w:pPr>
                  <w:r>
                    <w:rPr>
                      <w:b/>
                      <w:bCs/>
                      <w:color w:val="auto"/>
                    </w:rPr>
                    <w:t>产生量</w:t>
                  </w:r>
                </w:p>
                <w:p>
                  <w:pPr>
                    <w:widowControl/>
                    <w:jc w:val="center"/>
                    <w:textAlignment w:val="center"/>
                    <w:rPr>
                      <w:b/>
                      <w:bCs/>
                      <w:color w:val="auto"/>
                    </w:rPr>
                  </w:pPr>
                  <w:r>
                    <w:rPr>
                      <w:b/>
                      <w:bCs/>
                      <w:color w:val="auto"/>
                    </w:rPr>
                    <w:t>(t/a)</w:t>
                  </w:r>
                </w:p>
              </w:tc>
              <w:tc>
                <w:tcPr>
                  <w:tcW w:w="812" w:type="dxa"/>
                  <w:noWrap w:val="0"/>
                  <w:tcMar>
                    <w:top w:w="12" w:type="dxa"/>
                    <w:left w:w="12" w:type="dxa"/>
                    <w:right w:w="12" w:type="dxa"/>
                  </w:tcMar>
                  <w:vAlign w:val="center"/>
                </w:tcPr>
                <w:p>
                  <w:pPr>
                    <w:widowControl/>
                    <w:jc w:val="center"/>
                    <w:textAlignment w:val="center"/>
                    <w:rPr>
                      <w:b/>
                      <w:bCs/>
                      <w:color w:val="auto"/>
                    </w:rPr>
                  </w:pPr>
                  <w:r>
                    <w:rPr>
                      <w:b/>
                      <w:bCs/>
                      <w:color w:val="auto"/>
                    </w:rPr>
                    <w:t>速率</w:t>
                  </w:r>
                </w:p>
                <w:p>
                  <w:pPr>
                    <w:widowControl/>
                    <w:jc w:val="center"/>
                    <w:textAlignment w:val="center"/>
                    <w:rPr>
                      <w:b/>
                      <w:bCs/>
                      <w:color w:val="auto"/>
                    </w:rPr>
                  </w:pPr>
                  <w:r>
                    <w:rPr>
                      <w:b/>
                      <w:bCs/>
                      <w:color w:val="auto"/>
                    </w:rPr>
                    <w:t>(kg/h)</w:t>
                  </w:r>
                </w:p>
              </w:tc>
              <w:tc>
                <w:tcPr>
                  <w:tcW w:w="746" w:type="dxa"/>
                  <w:noWrap w:val="0"/>
                  <w:tcMar>
                    <w:top w:w="12" w:type="dxa"/>
                    <w:left w:w="12" w:type="dxa"/>
                    <w:right w:w="12" w:type="dxa"/>
                  </w:tcMar>
                  <w:vAlign w:val="center"/>
                </w:tcPr>
                <w:p>
                  <w:pPr>
                    <w:widowControl/>
                    <w:jc w:val="center"/>
                    <w:textAlignment w:val="center"/>
                    <w:rPr>
                      <w:b/>
                      <w:bCs/>
                      <w:color w:val="auto"/>
                    </w:rPr>
                  </w:pPr>
                  <w:r>
                    <w:rPr>
                      <w:b/>
                      <w:bCs/>
                      <w:color w:val="auto"/>
                    </w:rPr>
                    <w:t>浓度</w:t>
                  </w:r>
                </w:p>
                <w:p>
                  <w:pPr>
                    <w:widowControl/>
                    <w:jc w:val="center"/>
                    <w:textAlignment w:val="center"/>
                    <w:rPr>
                      <w:b/>
                      <w:bCs/>
                      <w:color w:val="auto"/>
                    </w:rPr>
                  </w:pPr>
                  <w:r>
                    <w:rPr>
                      <w:b/>
                      <w:bCs/>
                      <w:color w:val="auto"/>
                    </w:rPr>
                    <w:t>(mg/m</w:t>
                  </w:r>
                  <w:r>
                    <w:rPr>
                      <w:b/>
                      <w:bCs/>
                      <w:color w:val="auto"/>
                      <w:vertAlign w:val="superscript"/>
                    </w:rPr>
                    <w:t>3</w:t>
                  </w:r>
                  <w:r>
                    <w:rPr>
                      <w:b/>
                      <w:bCs/>
                      <w:color w:val="auto"/>
                    </w:rPr>
                    <w:t>)</w:t>
                  </w:r>
                </w:p>
              </w:tc>
              <w:tc>
                <w:tcPr>
                  <w:tcW w:w="534" w:type="dxa"/>
                  <w:vMerge w:val="continue"/>
                  <w:noWrap w:val="0"/>
                  <w:tcMar>
                    <w:top w:w="12" w:type="dxa"/>
                    <w:left w:w="12" w:type="dxa"/>
                    <w:right w:w="12" w:type="dxa"/>
                  </w:tcMar>
                  <w:vAlign w:val="center"/>
                </w:tcPr>
                <w:p>
                  <w:pPr>
                    <w:widowControl/>
                    <w:jc w:val="center"/>
                    <w:textAlignment w:val="center"/>
                    <w:rPr>
                      <w:b/>
                      <w:bCs/>
                      <w:color w:val="auto"/>
                    </w:rPr>
                  </w:pPr>
                </w:p>
              </w:tc>
              <w:tc>
                <w:tcPr>
                  <w:tcW w:w="2214" w:type="dxa"/>
                  <w:noWrap w:val="0"/>
                  <w:tcMar>
                    <w:top w:w="12" w:type="dxa"/>
                    <w:left w:w="12" w:type="dxa"/>
                    <w:right w:w="12" w:type="dxa"/>
                  </w:tcMar>
                  <w:vAlign w:val="center"/>
                </w:tcPr>
                <w:p>
                  <w:pPr>
                    <w:widowControl/>
                    <w:jc w:val="center"/>
                    <w:textAlignment w:val="center"/>
                    <w:rPr>
                      <w:b/>
                      <w:bCs/>
                      <w:color w:val="auto"/>
                    </w:rPr>
                  </w:pPr>
                  <w:r>
                    <w:rPr>
                      <w:b/>
                      <w:bCs/>
                      <w:color w:val="auto"/>
                    </w:rPr>
                    <w:t>处理措施</w:t>
                  </w:r>
                </w:p>
              </w:tc>
              <w:tc>
                <w:tcPr>
                  <w:tcW w:w="723" w:type="dxa"/>
                  <w:noWrap w:val="0"/>
                  <w:tcMar>
                    <w:top w:w="12" w:type="dxa"/>
                    <w:left w:w="12" w:type="dxa"/>
                    <w:right w:w="12" w:type="dxa"/>
                  </w:tcMar>
                  <w:vAlign w:val="center"/>
                </w:tcPr>
                <w:p>
                  <w:pPr>
                    <w:widowControl/>
                    <w:jc w:val="center"/>
                    <w:textAlignment w:val="center"/>
                    <w:rPr>
                      <w:b/>
                      <w:bCs/>
                      <w:color w:val="auto"/>
                    </w:rPr>
                  </w:pPr>
                  <w:r>
                    <w:rPr>
                      <w:b/>
                      <w:bCs/>
                      <w:color w:val="auto"/>
                    </w:rPr>
                    <w:t>处理能力(m</w:t>
                  </w:r>
                  <w:r>
                    <w:rPr>
                      <w:b/>
                      <w:bCs/>
                      <w:color w:val="auto"/>
                      <w:vertAlign w:val="superscript"/>
                    </w:rPr>
                    <w:t>3</w:t>
                  </w:r>
                  <w:r>
                    <w:rPr>
                      <w:b/>
                      <w:bCs/>
                      <w:color w:val="auto"/>
                    </w:rPr>
                    <w:t>/h)</w:t>
                  </w:r>
                </w:p>
              </w:tc>
              <w:tc>
                <w:tcPr>
                  <w:tcW w:w="504" w:type="dxa"/>
                  <w:noWrap w:val="0"/>
                  <w:tcMar>
                    <w:top w:w="12" w:type="dxa"/>
                    <w:left w:w="12" w:type="dxa"/>
                    <w:right w:w="12" w:type="dxa"/>
                  </w:tcMar>
                  <w:vAlign w:val="center"/>
                </w:tcPr>
                <w:p>
                  <w:pPr>
                    <w:widowControl/>
                    <w:jc w:val="center"/>
                    <w:textAlignment w:val="center"/>
                    <w:rPr>
                      <w:b/>
                      <w:bCs/>
                      <w:color w:val="auto"/>
                    </w:rPr>
                  </w:pPr>
                  <w:r>
                    <w:rPr>
                      <w:b/>
                      <w:bCs/>
                      <w:color w:val="auto"/>
                    </w:rPr>
                    <w:t>收集</w:t>
                  </w:r>
                </w:p>
                <w:p>
                  <w:pPr>
                    <w:widowControl/>
                    <w:jc w:val="center"/>
                    <w:textAlignment w:val="center"/>
                    <w:rPr>
                      <w:b/>
                      <w:bCs/>
                      <w:color w:val="auto"/>
                    </w:rPr>
                  </w:pPr>
                  <w:r>
                    <w:rPr>
                      <w:b/>
                      <w:bCs/>
                      <w:color w:val="auto"/>
                    </w:rPr>
                    <w:t>效率</w:t>
                  </w:r>
                </w:p>
              </w:tc>
              <w:tc>
                <w:tcPr>
                  <w:tcW w:w="627" w:type="dxa"/>
                  <w:noWrap w:val="0"/>
                  <w:tcMar>
                    <w:top w:w="12" w:type="dxa"/>
                    <w:left w:w="12" w:type="dxa"/>
                    <w:right w:w="12" w:type="dxa"/>
                  </w:tcMar>
                  <w:vAlign w:val="center"/>
                </w:tcPr>
                <w:p>
                  <w:pPr>
                    <w:widowControl/>
                    <w:jc w:val="center"/>
                    <w:textAlignment w:val="center"/>
                    <w:rPr>
                      <w:b/>
                      <w:bCs/>
                      <w:color w:val="auto"/>
                    </w:rPr>
                  </w:pPr>
                  <w:r>
                    <w:rPr>
                      <w:b/>
                      <w:bCs/>
                      <w:color w:val="auto"/>
                    </w:rPr>
                    <w:t>去除</w:t>
                  </w:r>
                </w:p>
                <w:p>
                  <w:pPr>
                    <w:widowControl/>
                    <w:jc w:val="center"/>
                    <w:textAlignment w:val="center"/>
                    <w:rPr>
                      <w:b/>
                      <w:bCs/>
                      <w:color w:val="auto"/>
                    </w:rPr>
                  </w:pPr>
                  <w:r>
                    <w:rPr>
                      <w:b/>
                      <w:bCs/>
                      <w:color w:val="auto"/>
                    </w:rPr>
                    <w:t>率</w:t>
                  </w:r>
                </w:p>
              </w:tc>
              <w:tc>
                <w:tcPr>
                  <w:tcW w:w="765" w:type="dxa"/>
                  <w:noWrap w:val="0"/>
                  <w:tcMar>
                    <w:top w:w="12" w:type="dxa"/>
                    <w:left w:w="12" w:type="dxa"/>
                    <w:right w:w="12" w:type="dxa"/>
                  </w:tcMar>
                  <w:vAlign w:val="center"/>
                </w:tcPr>
                <w:p>
                  <w:pPr>
                    <w:widowControl/>
                    <w:jc w:val="center"/>
                    <w:textAlignment w:val="center"/>
                    <w:rPr>
                      <w:b/>
                      <w:bCs/>
                      <w:color w:val="auto"/>
                    </w:rPr>
                  </w:pPr>
                  <w:r>
                    <w:rPr>
                      <w:b/>
                      <w:bCs/>
                      <w:color w:val="auto"/>
                    </w:rPr>
                    <w:t>是否可</w:t>
                  </w:r>
                </w:p>
                <w:p>
                  <w:pPr>
                    <w:widowControl/>
                    <w:jc w:val="center"/>
                    <w:textAlignment w:val="center"/>
                    <w:rPr>
                      <w:b/>
                      <w:bCs/>
                      <w:color w:val="auto"/>
                    </w:rPr>
                  </w:pPr>
                  <w:r>
                    <w:rPr>
                      <w:b/>
                      <w:bCs/>
                      <w:color w:val="auto"/>
                    </w:rPr>
                    <w:t>行技术</w:t>
                  </w:r>
                </w:p>
              </w:tc>
              <w:tc>
                <w:tcPr>
                  <w:tcW w:w="917" w:type="dxa"/>
                  <w:noWrap w:val="0"/>
                  <w:tcMar>
                    <w:top w:w="12" w:type="dxa"/>
                    <w:left w:w="12" w:type="dxa"/>
                    <w:right w:w="12" w:type="dxa"/>
                  </w:tcMar>
                  <w:vAlign w:val="center"/>
                </w:tcPr>
                <w:p>
                  <w:pPr>
                    <w:widowControl/>
                    <w:jc w:val="center"/>
                    <w:textAlignment w:val="center"/>
                    <w:rPr>
                      <w:b/>
                      <w:bCs/>
                      <w:color w:val="auto"/>
                    </w:rPr>
                  </w:pPr>
                  <w:r>
                    <w:rPr>
                      <w:b/>
                      <w:bCs/>
                      <w:color w:val="auto"/>
                    </w:rPr>
                    <w:t>排放量(t/a)</w:t>
                  </w:r>
                </w:p>
              </w:tc>
              <w:tc>
                <w:tcPr>
                  <w:tcW w:w="1023" w:type="dxa"/>
                  <w:noWrap w:val="0"/>
                  <w:tcMar>
                    <w:top w:w="12" w:type="dxa"/>
                    <w:left w:w="12" w:type="dxa"/>
                    <w:right w:w="12" w:type="dxa"/>
                  </w:tcMar>
                  <w:vAlign w:val="center"/>
                </w:tcPr>
                <w:p>
                  <w:pPr>
                    <w:widowControl/>
                    <w:jc w:val="center"/>
                    <w:textAlignment w:val="center"/>
                    <w:rPr>
                      <w:b/>
                      <w:bCs/>
                      <w:color w:val="auto"/>
                    </w:rPr>
                  </w:pPr>
                  <w:r>
                    <w:rPr>
                      <w:b/>
                      <w:bCs/>
                      <w:color w:val="auto"/>
                    </w:rPr>
                    <w:t>速率(kg/h)</w:t>
                  </w:r>
                </w:p>
              </w:tc>
              <w:tc>
                <w:tcPr>
                  <w:tcW w:w="861" w:type="dxa"/>
                  <w:noWrap w:val="0"/>
                  <w:tcMar>
                    <w:top w:w="12" w:type="dxa"/>
                    <w:left w:w="12" w:type="dxa"/>
                    <w:right w:w="12" w:type="dxa"/>
                  </w:tcMar>
                  <w:vAlign w:val="center"/>
                </w:tcPr>
                <w:p>
                  <w:pPr>
                    <w:widowControl/>
                    <w:jc w:val="center"/>
                    <w:textAlignment w:val="center"/>
                    <w:rPr>
                      <w:b/>
                      <w:bCs/>
                      <w:color w:val="auto"/>
                    </w:rPr>
                  </w:pPr>
                  <w:r>
                    <w:rPr>
                      <w:b/>
                      <w:bCs/>
                      <w:color w:val="auto"/>
                    </w:rPr>
                    <w:t>浓度</w:t>
                  </w:r>
                </w:p>
                <w:p>
                  <w:pPr>
                    <w:widowControl/>
                    <w:jc w:val="center"/>
                    <w:textAlignment w:val="center"/>
                    <w:rPr>
                      <w:b/>
                      <w:bCs/>
                      <w:color w:val="auto"/>
                    </w:rPr>
                  </w:pPr>
                  <w:r>
                    <w:rPr>
                      <w:b/>
                      <w:bCs/>
                      <w:color w:val="auto"/>
                    </w:rPr>
                    <w:t>(mg/m</w:t>
                  </w:r>
                  <w:r>
                    <w:rPr>
                      <w:b/>
                      <w:bCs/>
                      <w:color w:val="auto"/>
                      <w:vertAlign w:val="superscript"/>
                    </w:rPr>
                    <w:t>3</w:t>
                  </w:r>
                  <w:r>
                    <w:rPr>
                      <w:b/>
                      <w:bCs/>
                      <w:color w:val="auto"/>
                    </w:rPr>
                    <w:t>)</w:t>
                  </w:r>
                </w:p>
              </w:tc>
              <w:tc>
                <w:tcPr>
                  <w:tcW w:w="795" w:type="dxa"/>
                  <w:noWrap w:val="0"/>
                  <w:tcMar>
                    <w:top w:w="12" w:type="dxa"/>
                    <w:left w:w="12" w:type="dxa"/>
                    <w:right w:w="12" w:type="dxa"/>
                  </w:tcMar>
                  <w:vAlign w:val="center"/>
                </w:tcPr>
                <w:p>
                  <w:pPr>
                    <w:widowControl/>
                    <w:jc w:val="center"/>
                    <w:textAlignment w:val="center"/>
                    <w:rPr>
                      <w:b/>
                      <w:bCs/>
                      <w:color w:val="auto"/>
                    </w:rPr>
                  </w:pPr>
                  <w:r>
                    <w:rPr>
                      <w:b/>
                      <w:bCs/>
                      <w:color w:val="auto"/>
                    </w:rPr>
                    <w:t>排气筒</w:t>
                  </w:r>
                  <w:r>
                    <w:rPr>
                      <w:b/>
                      <w:bCs/>
                      <w:color w:val="auto"/>
                    </w:rPr>
                    <w:br w:type="textWrapping"/>
                  </w:r>
                  <w:r>
                    <w:rPr>
                      <w:b/>
                      <w:bCs/>
                      <w:color w:val="auto"/>
                    </w:rPr>
                    <w:t>编号</w:t>
                  </w:r>
                </w:p>
              </w:tc>
              <w:tc>
                <w:tcPr>
                  <w:tcW w:w="799" w:type="dxa"/>
                  <w:noWrap w:val="0"/>
                  <w:tcMar>
                    <w:top w:w="12" w:type="dxa"/>
                    <w:left w:w="12" w:type="dxa"/>
                    <w:right w:w="12" w:type="dxa"/>
                  </w:tcMar>
                  <w:vAlign w:val="center"/>
                </w:tcPr>
                <w:p>
                  <w:pPr>
                    <w:widowControl/>
                    <w:jc w:val="center"/>
                    <w:textAlignment w:val="center"/>
                    <w:rPr>
                      <w:b/>
                      <w:bCs/>
                      <w:color w:val="auto"/>
                    </w:rPr>
                  </w:pPr>
                  <w:r>
                    <w:rPr>
                      <w:b/>
                      <w:bCs/>
                      <w:color w:val="auto"/>
                    </w:rPr>
                    <w:t>浓度</w:t>
                  </w:r>
                </w:p>
                <w:p>
                  <w:pPr>
                    <w:widowControl/>
                    <w:jc w:val="center"/>
                    <w:textAlignment w:val="center"/>
                    <w:rPr>
                      <w:b/>
                      <w:bCs/>
                      <w:color w:val="auto"/>
                    </w:rPr>
                  </w:pPr>
                  <w:r>
                    <w:rPr>
                      <w:b/>
                      <w:bCs/>
                      <w:color w:val="auto"/>
                    </w:rPr>
                    <w:t>(mg/m</w:t>
                  </w:r>
                  <w:r>
                    <w:rPr>
                      <w:b/>
                      <w:bCs/>
                      <w:color w:val="auto"/>
                      <w:vertAlign w:val="superscript"/>
                    </w:rPr>
                    <w:t>3</w:t>
                  </w:r>
                  <w:r>
                    <w:rPr>
                      <w:b/>
                      <w:bCs/>
                      <w:color w:val="auto"/>
                    </w:rPr>
                    <w:t>)</w:t>
                  </w:r>
                </w:p>
              </w:tc>
              <w:tc>
                <w:tcPr>
                  <w:tcW w:w="658" w:type="dxa"/>
                  <w:noWrap w:val="0"/>
                  <w:tcMar>
                    <w:top w:w="12" w:type="dxa"/>
                    <w:left w:w="12" w:type="dxa"/>
                    <w:right w:w="12" w:type="dxa"/>
                  </w:tcMar>
                  <w:vAlign w:val="center"/>
                </w:tcPr>
                <w:p>
                  <w:pPr>
                    <w:widowControl/>
                    <w:jc w:val="center"/>
                    <w:textAlignment w:val="center"/>
                    <w:rPr>
                      <w:b/>
                      <w:bCs/>
                      <w:color w:val="auto"/>
                    </w:rPr>
                  </w:pPr>
                  <w:r>
                    <w:rPr>
                      <w:b/>
                      <w:bCs/>
                      <w:color w:val="auto"/>
                    </w:rPr>
                    <w:t>速率(kg/h)</w:t>
                  </w:r>
                </w:p>
              </w:tc>
              <w:tc>
                <w:tcPr>
                  <w:tcW w:w="649" w:type="dxa"/>
                  <w:vMerge w:val="continue"/>
                  <w:noWrap w:val="0"/>
                  <w:tcMar>
                    <w:top w:w="12" w:type="dxa"/>
                    <w:left w:w="12" w:type="dxa"/>
                    <w:right w:w="12" w:type="dxa"/>
                  </w:tcMar>
                  <w:vAlign w:val="center"/>
                </w:tcPr>
                <w:p>
                  <w:pPr>
                    <w:widowControl/>
                    <w:jc w:val="center"/>
                    <w:textAlignment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trPr>
              <w:tc>
                <w:tcPr>
                  <w:tcW w:w="591" w:type="dxa"/>
                  <w:vMerge w:val="restart"/>
                  <w:noWrap w:val="0"/>
                  <w:tcMar>
                    <w:top w:w="12" w:type="dxa"/>
                    <w:left w:w="12" w:type="dxa"/>
                    <w:right w:w="12" w:type="dxa"/>
                  </w:tcMar>
                  <w:vAlign w:val="center"/>
                </w:tcPr>
                <w:p>
                  <w:pPr>
                    <w:widowControl/>
                    <w:jc w:val="center"/>
                    <w:textAlignment w:val="center"/>
                    <w:rPr>
                      <w:color w:val="auto"/>
                    </w:rPr>
                  </w:pPr>
                  <w:r>
                    <w:rPr>
                      <w:color w:val="auto"/>
                    </w:rPr>
                    <w:t>自动</w:t>
                  </w:r>
                </w:p>
                <w:p>
                  <w:pPr>
                    <w:widowControl/>
                    <w:jc w:val="center"/>
                    <w:textAlignment w:val="center"/>
                    <w:rPr>
                      <w:color w:val="auto"/>
                    </w:rPr>
                  </w:pPr>
                  <w:r>
                    <w:rPr>
                      <w:color w:val="auto"/>
                    </w:rPr>
                    <w:t>划焊</w:t>
                  </w:r>
                </w:p>
              </w:tc>
              <w:tc>
                <w:tcPr>
                  <w:tcW w:w="1074" w:type="dxa"/>
                  <w:gridSpan w:val="2"/>
                  <w:noWrap w:val="0"/>
                  <w:tcMar>
                    <w:top w:w="12" w:type="dxa"/>
                    <w:left w:w="12" w:type="dxa"/>
                    <w:right w:w="12" w:type="dxa"/>
                  </w:tcMar>
                  <w:vAlign w:val="center"/>
                </w:tcPr>
                <w:p>
                  <w:pPr>
                    <w:widowControl/>
                    <w:jc w:val="center"/>
                    <w:textAlignment w:val="center"/>
                    <w:rPr>
                      <w:color w:val="auto"/>
                    </w:rPr>
                  </w:pPr>
                  <w:r>
                    <w:rPr>
                      <w:color w:val="auto"/>
                    </w:rPr>
                    <w:t>颗粒物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0.0301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0.602 </w:t>
                  </w:r>
                </w:p>
              </w:tc>
              <w:tc>
                <w:tcPr>
                  <w:tcW w:w="534"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有组织</w:t>
                  </w:r>
                </w:p>
              </w:tc>
              <w:tc>
                <w:tcPr>
                  <w:tcW w:w="2214"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经1套“</w:t>
                  </w:r>
                  <w:r>
                    <w:rPr>
                      <w:rFonts w:hint="eastAsia"/>
                      <w:color w:val="auto"/>
                      <w:lang w:eastAsia="zh-CN"/>
                    </w:rPr>
                    <w:t>袋式除尘</w:t>
                  </w:r>
                  <w:r>
                    <w:rPr>
                      <w:rFonts w:hint="eastAsia"/>
                      <w:color w:val="auto"/>
                    </w:rPr>
                    <w:t>+二级活性炭吸附”处理后通过1根23m高排气筒（DA01</w:t>
                  </w:r>
                  <w:r>
                    <w:rPr>
                      <w:rFonts w:hint="eastAsia"/>
                      <w:color w:val="auto"/>
                      <w:lang w:val="en-US" w:eastAsia="zh-CN"/>
                    </w:rPr>
                    <w:t>7</w:t>
                  </w:r>
                  <w:r>
                    <w:rPr>
                      <w:rFonts w:hint="eastAsia"/>
                      <w:color w:val="auto"/>
                    </w:rPr>
                    <w:t>）排放</w:t>
                  </w:r>
                </w:p>
              </w:tc>
              <w:tc>
                <w:tcPr>
                  <w:tcW w:w="723" w:type="dxa"/>
                  <w:vMerge w:val="restart"/>
                  <w:noWrap w:val="0"/>
                  <w:tcMar>
                    <w:top w:w="12" w:type="dxa"/>
                    <w:left w:w="12" w:type="dxa"/>
                    <w:right w:w="12" w:type="dxa"/>
                  </w:tcMar>
                  <w:vAlign w:val="center"/>
                </w:tcPr>
                <w:p>
                  <w:pPr>
                    <w:widowControl/>
                    <w:jc w:val="center"/>
                    <w:textAlignment w:val="center"/>
                    <w:rPr>
                      <w:color w:val="auto"/>
                    </w:rPr>
                  </w:pPr>
                  <w:r>
                    <w:rPr>
                      <w:color w:val="auto"/>
                    </w:rPr>
                    <w:t>50000</w:t>
                  </w:r>
                </w:p>
              </w:tc>
              <w:tc>
                <w:tcPr>
                  <w:tcW w:w="504" w:type="dxa"/>
                  <w:vMerge w:val="restart"/>
                  <w:noWrap w:val="0"/>
                  <w:tcMar>
                    <w:top w:w="12" w:type="dxa"/>
                    <w:left w:w="12" w:type="dxa"/>
                    <w:right w:w="12" w:type="dxa"/>
                  </w:tcMar>
                  <w:vAlign w:val="center"/>
                </w:tcPr>
                <w:p>
                  <w:pPr>
                    <w:widowControl/>
                    <w:jc w:val="center"/>
                    <w:textAlignment w:val="center"/>
                    <w:rPr>
                      <w:color w:val="auto"/>
                    </w:rPr>
                  </w:pPr>
                  <w:r>
                    <w:rPr>
                      <w:color w:val="auto"/>
                    </w:rPr>
                    <w:t>98%</w:t>
                  </w:r>
                </w:p>
              </w:tc>
              <w:tc>
                <w:tcPr>
                  <w:tcW w:w="627" w:type="dxa"/>
                  <w:noWrap w:val="0"/>
                  <w:tcMar>
                    <w:top w:w="12" w:type="dxa"/>
                    <w:left w:w="12" w:type="dxa"/>
                    <w:right w:w="12" w:type="dxa"/>
                  </w:tcMar>
                  <w:vAlign w:val="center"/>
                </w:tcPr>
                <w:p>
                  <w:pPr>
                    <w:widowControl/>
                    <w:jc w:val="center"/>
                    <w:textAlignment w:val="center"/>
                    <w:rPr>
                      <w:color w:val="auto"/>
                    </w:rPr>
                  </w:pPr>
                  <w:r>
                    <w:rPr>
                      <w:color w:val="auto"/>
                    </w:rPr>
                    <w:t>95%</w:t>
                  </w:r>
                </w:p>
              </w:tc>
              <w:tc>
                <w:tcPr>
                  <w:tcW w:w="765"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是</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0.0127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0.00151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0.0301 </w:t>
                  </w:r>
                </w:p>
              </w:tc>
              <w:tc>
                <w:tcPr>
                  <w:tcW w:w="795" w:type="dxa"/>
                  <w:vMerge w:val="restart"/>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DA017</w:t>
                  </w:r>
                </w:p>
              </w:tc>
              <w:tc>
                <w:tcPr>
                  <w:tcW w:w="799" w:type="dxa"/>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20</w:t>
                  </w:r>
                </w:p>
              </w:tc>
              <w:tc>
                <w:tcPr>
                  <w:tcW w:w="658" w:type="dxa"/>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0.8</w:t>
                  </w:r>
                </w:p>
              </w:tc>
              <w:tc>
                <w:tcPr>
                  <w:tcW w:w="649" w:type="dxa"/>
                  <w:noWrap w:val="0"/>
                  <w:tcMar>
                    <w:top w:w="12" w:type="dxa"/>
                    <w:left w:w="12" w:type="dxa"/>
                    <w:right w:w="12" w:type="dxa"/>
                  </w:tcMar>
                  <w:vAlign w:val="center"/>
                </w:tcPr>
                <w:p>
                  <w:pPr>
                    <w:widowControl/>
                    <w:jc w:val="center"/>
                    <w:textAlignment w:val="center"/>
                    <w:rPr>
                      <w:rFonts w:hint="eastAsia" w:eastAsia="宋体"/>
                      <w:color w:val="auto"/>
                      <w:lang w:eastAsia="zh-CN"/>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continue"/>
                  <w:noWrap w:val="0"/>
                  <w:tcMar>
                    <w:top w:w="12" w:type="dxa"/>
                    <w:left w:w="12" w:type="dxa"/>
                    <w:right w:w="12" w:type="dxa"/>
                  </w:tcMar>
                  <w:vAlign w:val="center"/>
                </w:tcPr>
                <w:p>
                  <w:pPr>
                    <w:jc w:val="center"/>
                    <w:rPr>
                      <w:color w:val="auto"/>
                    </w:rPr>
                  </w:pPr>
                </w:p>
              </w:tc>
              <w:tc>
                <w:tcPr>
                  <w:tcW w:w="1074" w:type="dxa"/>
                  <w:gridSpan w:val="2"/>
                  <w:noWrap w:val="0"/>
                  <w:tcMar>
                    <w:top w:w="12" w:type="dxa"/>
                    <w:left w:w="12" w:type="dxa"/>
                    <w:right w:w="12" w:type="dxa"/>
                  </w:tcMar>
                  <w:vAlign w:val="center"/>
                </w:tcPr>
                <w:p>
                  <w:pPr>
                    <w:widowControl/>
                    <w:jc w:val="center"/>
                    <w:textAlignment w:val="center"/>
                    <w:rPr>
                      <w:color w:val="auto"/>
                    </w:rPr>
                  </w:pPr>
                  <w:r>
                    <w:rPr>
                      <w:color w:val="auto"/>
                    </w:rPr>
                    <w:t>锡及其化合物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0.0655</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0.00780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0.156 </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widowControl/>
                    <w:jc w:val="center"/>
                    <w:textAlignment w:val="center"/>
                    <w:rPr>
                      <w:color w:val="auto"/>
                    </w:rPr>
                  </w:pPr>
                  <w:r>
                    <w:rPr>
                      <w:color w:val="auto"/>
                    </w:rPr>
                    <w:t>95%</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0.00328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0.000390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0.00780 </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noWrap w:val="0"/>
                  <w:tcMar>
                    <w:top w:w="12" w:type="dxa"/>
                    <w:left w:w="12" w:type="dxa"/>
                    <w:right w:w="12" w:type="dxa"/>
                  </w:tcMar>
                  <w:vAlign w:val="center"/>
                </w:tcPr>
                <w:p>
                  <w:pPr>
                    <w:widowControl/>
                    <w:jc w:val="center"/>
                    <w:textAlignment w:val="center"/>
                    <w:rPr>
                      <w:rFonts w:hint="eastAsia" w:eastAsia="宋体"/>
                      <w:color w:val="auto"/>
                      <w:lang w:val="en-US" w:eastAsia="zh-CN"/>
                    </w:rPr>
                  </w:pPr>
                  <w:r>
                    <w:rPr>
                      <w:rFonts w:hint="eastAsia"/>
                      <w:color w:val="auto"/>
                      <w:lang w:val="en-US" w:eastAsia="zh-CN"/>
                    </w:rPr>
                    <w:t>5</w:t>
                  </w:r>
                </w:p>
              </w:tc>
              <w:tc>
                <w:tcPr>
                  <w:tcW w:w="658" w:type="dxa"/>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0.22</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continue"/>
                  <w:noWrap w:val="0"/>
                  <w:tcMar>
                    <w:top w:w="12" w:type="dxa"/>
                    <w:left w:w="12" w:type="dxa"/>
                    <w:right w:w="12" w:type="dxa"/>
                  </w:tcMar>
                  <w:vAlign w:val="center"/>
                </w:tcPr>
                <w:p>
                  <w:pPr>
                    <w:jc w:val="center"/>
                    <w:rPr>
                      <w:color w:val="auto"/>
                    </w:rPr>
                  </w:pPr>
                </w:p>
              </w:tc>
              <w:tc>
                <w:tcPr>
                  <w:tcW w:w="1074" w:type="dxa"/>
                  <w:gridSpan w:val="2"/>
                  <w:noWrap w:val="0"/>
                  <w:tcMar>
                    <w:top w:w="12" w:type="dxa"/>
                    <w:left w:w="12" w:type="dxa"/>
                    <w:right w:w="12" w:type="dxa"/>
                  </w:tcMar>
                  <w:vAlign w:val="center"/>
                </w:tcPr>
                <w:p>
                  <w:pPr>
                    <w:widowControl/>
                    <w:jc w:val="center"/>
                    <w:textAlignment w:val="center"/>
                    <w:rPr>
                      <w:color w:val="auto"/>
                    </w:rPr>
                  </w:pPr>
                  <w:r>
                    <w:rPr>
                      <w:color w:val="auto"/>
                    </w:rPr>
                    <w:t>非甲烷总烃</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10.397 </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1.238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24.755 </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widowControl/>
                    <w:jc w:val="center"/>
                    <w:textAlignment w:val="center"/>
                    <w:rPr>
                      <w:color w:val="auto"/>
                    </w:rPr>
                  </w:pPr>
                  <w:r>
                    <w:rPr>
                      <w:color w:val="auto"/>
                    </w:rPr>
                    <w:t>90%</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1.040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0.124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2.475 </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70</w:t>
                  </w:r>
                </w:p>
              </w:tc>
              <w:tc>
                <w:tcPr>
                  <w:tcW w:w="658" w:type="dxa"/>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3.0</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restart"/>
                  <w:noWrap w:val="0"/>
                  <w:tcMar>
                    <w:top w:w="12" w:type="dxa"/>
                    <w:left w:w="12" w:type="dxa"/>
                    <w:right w:w="12" w:type="dxa"/>
                  </w:tcMar>
                  <w:vAlign w:val="center"/>
                </w:tcPr>
                <w:p>
                  <w:pPr>
                    <w:widowControl/>
                    <w:jc w:val="center"/>
                    <w:textAlignment w:val="center"/>
                    <w:rPr>
                      <w:color w:val="auto"/>
                    </w:rPr>
                  </w:pPr>
                  <w:r>
                    <w:rPr>
                      <w:color w:val="auto"/>
                    </w:rPr>
                    <w:t>自动</w:t>
                  </w:r>
                </w:p>
                <w:p>
                  <w:pPr>
                    <w:widowControl/>
                    <w:jc w:val="center"/>
                    <w:textAlignment w:val="center"/>
                    <w:rPr>
                      <w:color w:val="auto"/>
                    </w:rPr>
                  </w:pPr>
                  <w:r>
                    <w:rPr>
                      <w:color w:val="auto"/>
                    </w:rPr>
                    <w:t>划焊</w:t>
                  </w:r>
                </w:p>
              </w:tc>
              <w:tc>
                <w:tcPr>
                  <w:tcW w:w="1074" w:type="dxa"/>
                  <w:gridSpan w:val="2"/>
                  <w:noWrap w:val="0"/>
                  <w:tcMar>
                    <w:top w:w="12" w:type="dxa"/>
                    <w:left w:w="12" w:type="dxa"/>
                    <w:right w:w="12" w:type="dxa"/>
                  </w:tcMar>
                  <w:vAlign w:val="center"/>
                </w:tcPr>
                <w:p>
                  <w:pPr>
                    <w:widowControl/>
                    <w:jc w:val="center"/>
                    <w:textAlignment w:val="center"/>
                    <w:rPr>
                      <w:color w:val="auto"/>
                    </w:rPr>
                  </w:pPr>
                  <w:r>
                    <w:rPr>
                      <w:color w:val="auto"/>
                    </w:rPr>
                    <w:t>颗粒物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0.0301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0.602 </w:t>
                  </w:r>
                </w:p>
              </w:tc>
              <w:tc>
                <w:tcPr>
                  <w:tcW w:w="534" w:type="dxa"/>
                  <w:vMerge w:val="restart"/>
                  <w:noWrap w:val="0"/>
                  <w:tcMar>
                    <w:top w:w="12" w:type="dxa"/>
                    <w:left w:w="12" w:type="dxa"/>
                    <w:right w:w="12" w:type="dxa"/>
                  </w:tcMar>
                  <w:vAlign w:val="center"/>
                </w:tcPr>
                <w:p>
                  <w:pPr>
                    <w:jc w:val="center"/>
                    <w:rPr>
                      <w:color w:val="auto"/>
                    </w:rPr>
                  </w:pPr>
                  <w:r>
                    <w:rPr>
                      <w:rFonts w:hint="eastAsia"/>
                      <w:color w:val="auto"/>
                    </w:rPr>
                    <w:t>有组织</w:t>
                  </w:r>
                </w:p>
              </w:tc>
              <w:tc>
                <w:tcPr>
                  <w:tcW w:w="2214" w:type="dxa"/>
                  <w:vMerge w:val="restart"/>
                  <w:noWrap w:val="0"/>
                  <w:tcMar>
                    <w:top w:w="12" w:type="dxa"/>
                    <w:left w:w="12" w:type="dxa"/>
                    <w:right w:w="12" w:type="dxa"/>
                  </w:tcMar>
                  <w:vAlign w:val="center"/>
                </w:tcPr>
                <w:p>
                  <w:pPr>
                    <w:widowControl/>
                    <w:jc w:val="center"/>
                    <w:textAlignment w:val="center"/>
                    <w:rPr>
                      <w:b/>
                      <w:color w:val="auto"/>
                    </w:rPr>
                  </w:pPr>
                  <w:r>
                    <w:rPr>
                      <w:rFonts w:hint="eastAsia"/>
                      <w:color w:val="auto"/>
                    </w:rPr>
                    <w:t>经1套“</w:t>
                  </w:r>
                  <w:r>
                    <w:rPr>
                      <w:rFonts w:hint="eastAsia"/>
                      <w:color w:val="auto"/>
                      <w:lang w:eastAsia="zh-CN"/>
                    </w:rPr>
                    <w:t>袋式除尘</w:t>
                  </w:r>
                  <w:r>
                    <w:rPr>
                      <w:rFonts w:hint="eastAsia"/>
                      <w:color w:val="auto"/>
                    </w:rPr>
                    <w:t>+二级活性炭吸附”处理后通过1根23m高排气筒（DA01</w:t>
                  </w:r>
                  <w:r>
                    <w:rPr>
                      <w:rFonts w:hint="eastAsia"/>
                      <w:color w:val="auto"/>
                      <w:lang w:val="en-US" w:eastAsia="zh-CN"/>
                    </w:rPr>
                    <w:t>8</w:t>
                  </w:r>
                  <w:r>
                    <w:rPr>
                      <w:rFonts w:hint="eastAsia"/>
                      <w:color w:val="auto"/>
                    </w:rPr>
                    <w:t>）排放</w:t>
                  </w:r>
                </w:p>
              </w:tc>
              <w:tc>
                <w:tcPr>
                  <w:tcW w:w="723" w:type="dxa"/>
                  <w:vMerge w:val="restart"/>
                  <w:noWrap w:val="0"/>
                  <w:tcMar>
                    <w:top w:w="12" w:type="dxa"/>
                    <w:left w:w="12" w:type="dxa"/>
                    <w:right w:w="12" w:type="dxa"/>
                  </w:tcMar>
                  <w:vAlign w:val="center"/>
                </w:tcPr>
                <w:p>
                  <w:pPr>
                    <w:widowControl/>
                    <w:jc w:val="center"/>
                    <w:textAlignment w:val="center"/>
                    <w:rPr>
                      <w:color w:val="auto"/>
                    </w:rPr>
                  </w:pPr>
                  <w:r>
                    <w:rPr>
                      <w:color w:val="auto"/>
                    </w:rPr>
                    <w:t>50000</w:t>
                  </w:r>
                </w:p>
              </w:tc>
              <w:tc>
                <w:tcPr>
                  <w:tcW w:w="504" w:type="dxa"/>
                  <w:vMerge w:val="restart"/>
                  <w:noWrap w:val="0"/>
                  <w:tcMar>
                    <w:top w:w="12" w:type="dxa"/>
                    <w:left w:w="12" w:type="dxa"/>
                    <w:right w:w="12" w:type="dxa"/>
                  </w:tcMar>
                  <w:vAlign w:val="center"/>
                </w:tcPr>
                <w:p>
                  <w:pPr>
                    <w:widowControl/>
                    <w:jc w:val="center"/>
                    <w:textAlignment w:val="center"/>
                    <w:rPr>
                      <w:color w:val="auto"/>
                    </w:rPr>
                  </w:pPr>
                  <w:r>
                    <w:rPr>
                      <w:color w:val="auto"/>
                    </w:rPr>
                    <w:t>98%</w:t>
                  </w:r>
                </w:p>
              </w:tc>
              <w:tc>
                <w:tcPr>
                  <w:tcW w:w="627" w:type="dxa"/>
                  <w:noWrap w:val="0"/>
                  <w:tcMar>
                    <w:top w:w="12" w:type="dxa"/>
                    <w:left w:w="12" w:type="dxa"/>
                    <w:right w:w="12" w:type="dxa"/>
                  </w:tcMar>
                  <w:vAlign w:val="center"/>
                </w:tcPr>
                <w:p>
                  <w:pPr>
                    <w:widowControl/>
                    <w:jc w:val="center"/>
                    <w:textAlignment w:val="center"/>
                    <w:rPr>
                      <w:color w:val="auto"/>
                    </w:rPr>
                  </w:pPr>
                  <w:r>
                    <w:rPr>
                      <w:color w:val="auto"/>
                    </w:rPr>
                    <w:t>95%</w:t>
                  </w:r>
                </w:p>
              </w:tc>
              <w:tc>
                <w:tcPr>
                  <w:tcW w:w="765"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是</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0.0127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0.00151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0.0301 </w:t>
                  </w:r>
                </w:p>
              </w:tc>
              <w:tc>
                <w:tcPr>
                  <w:tcW w:w="795" w:type="dxa"/>
                  <w:vMerge w:val="restart"/>
                  <w:noWrap w:val="0"/>
                  <w:tcMar>
                    <w:top w:w="12" w:type="dxa"/>
                    <w:left w:w="12" w:type="dxa"/>
                    <w:right w:w="12" w:type="dxa"/>
                  </w:tcMar>
                  <w:vAlign w:val="center"/>
                </w:tcPr>
                <w:p>
                  <w:pPr>
                    <w:widowControl/>
                    <w:jc w:val="center"/>
                    <w:textAlignment w:val="center"/>
                    <w:rPr>
                      <w:rFonts w:hint="default"/>
                      <w:color w:val="auto"/>
                      <w:lang w:val="en-US"/>
                    </w:rPr>
                  </w:pPr>
                  <w:r>
                    <w:rPr>
                      <w:rFonts w:hint="eastAsia"/>
                      <w:color w:val="auto"/>
                      <w:lang w:val="en-US" w:eastAsia="zh-CN"/>
                    </w:rPr>
                    <w:t>DA018</w:t>
                  </w: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20</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0.8</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continue"/>
                  <w:noWrap w:val="0"/>
                  <w:tcMar>
                    <w:top w:w="12" w:type="dxa"/>
                    <w:left w:w="12" w:type="dxa"/>
                    <w:right w:w="12" w:type="dxa"/>
                  </w:tcMar>
                  <w:vAlign w:val="center"/>
                </w:tcPr>
                <w:p>
                  <w:pPr>
                    <w:jc w:val="center"/>
                    <w:rPr>
                      <w:color w:val="auto"/>
                    </w:rPr>
                  </w:pPr>
                </w:p>
              </w:tc>
              <w:tc>
                <w:tcPr>
                  <w:tcW w:w="1074" w:type="dxa"/>
                  <w:gridSpan w:val="2"/>
                  <w:noWrap w:val="0"/>
                  <w:tcMar>
                    <w:top w:w="12" w:type="dxa"/>
                    <w:left w:w="12" w:type="dxa"/>
                    <w:right w:w="12" w:type="dxa"/>
                  </w:tcMar>
                  <w:vAlign w:val="center"/>
                </w:tcPr>
                <w:p>
                  <w:pPr>
                    <w:jc w:val="center"/>
                    <w:rPr>
                      <w:color w:val="auto"/>
                    </w:rPr>
                  </w:pPr>
                  <w:r>
                    <w:rPr>
                      <w:color w:val="auto"/>
                    </w:rPr>
                    <w:t>锡及其化合物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0.0655</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0.00780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0.156 </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jc w:val="center"/>
                    <w:rPr>
                      <w:color w:val="auto"/>
                    </w:rPr>
                  </w:pPr>
                  <w:r>
                    <w:rPr>
                      <w:color w:val="auto"/>
                    </w:rPr>
                    <w:t>95%</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0.00328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0.000390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0.00780 </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5</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0.22</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continue"/>
                  <w:noWrap w:val="0"/>
                  <w:tcMar>
                    <w:top w:w="12" w:type="dxa"/>
                    <w:left w:w="12" w:type="dxa"/>
                    <w:right w:w="12" w:type="dxa"/>
                  </w:tcMar>
                  <w:vAlign w:val="center"/>
                </w:tcPr>
                <w:p>
                  <w:pPr>
                    <w:jc w:val="center"/>
                    <w:rPr>
                      <w:color w:val="auto"/>
                    </w:rPr>
                  </w:pPr>
                </w:p>
              </w:tc>
              <w:tc>
                <w:tcPr>
                  <w:tcW w:w="1074" w:type="dxa"/>
                  <w:gridSpan w:val="2"/>
                  <w:noWrap w:val="0"/>
                  <w:tcMar>
                    <w:top w:w="12" w:type="dxa"/>
                    <w:left w:w="12" w:type="dxa"/>
                    <w:right w:w="12" w:type="dxa"/>
                  </w:tcMar>
                  <w:vAlign w:val="center"/>
                </w:tcPr>
                <w:p>
                  <w:pPr>
                    <w:jc w:val="center"/>
                    <w:rPr>
                      <w:color w:val="auto"/>
                    </w:rPr>
                  </w:pPr>
                  <w:r>
                    <w:rPr>
                      <w:color w:val="auto"/>
                    </w:rPr>
                    <w:t>非甲烷总烃</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10.397 </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1.238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24.755 </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jc w:val="center"/>
                    <w:rPr>
                      <w:color w:val="auto"/>
                    </w:rPr>
                  </w:pPr>
                  <w:r>
                    <w:rPr>
                      <w:color w:val="auto"/>
                    </w:rPr>
                    <w:t>90%</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1.040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0.124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2.475 </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70</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3.0</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591" w:type="dxa"/>
                  <w:noWrap w:val="0"/>
                  <w:tcMar>
                    <w:top w:w="12" w:type="dxa"/>
                    <w:left w:w="12" w:type="dxa"/>
                    <w:right w:w="12" w:type="dxa"/>
                  </w:tcMar>
                  <w:vAlign w:val="center"/>
                </w:tcPr>
                <w:p>
                  <w:pPr>
                    <w:widowControl/>
                    <w:jc w:val="center"/>
                    <w:textAlignment w:val="center"/>
                    <w:rPr>
                      <w:color w:val="auto"/>
                    </w:rPr>
                  </w:pPr>
                  <w:r>
                    <w:rPr>
                      <w:rFonts w:hint="eastAsia"/>
                      <w:color w:val="auto"/>
                    </w:rPr>
                    <w:t>层压</w:t>
                  </w:r>
                </w:p>
              </w:tc>
              <w:tc>
                <w:tcPr>
                  <w:tcW w:w="1074" w:type="dxa"/>
                  <w:gridSpan w:val="2"/>
                  <w:noWrap w:val="0"/>
                  <w:tcMar>
                    <w:top w:w="12" w:type="dxa"/>
                    <w:left w:w="12" w:type="dxa"/>
                    <w:right w:w="12" w:type="dxa"/>
                  </w:tcMar>
                  <w:vAlign w:val="center"/>
                </w:tcPr>
                <w:p>
                  <w:pPr>
                    <w:jc w:val="center"/>
                    <w:rPr>
                      <w:color w:val="auto"/>
                    </w:rPr>
                  </w:pPr>
                  <w:r>
                    <w:rPr>
                      <w:color w:val="auto"/>
                    </w:rPr>
                    <w:t>非甲烷总烃</w:t>
                  </w:r>
                </w:p>
              </w:tc>
              <w:tc>
                <w:tcPr>
                  <w:tcW w:w="707" w:type="dxa"/>
                  <w:noWrap w:val="0"/>
                  <w:tcMar>
                    <w:top w:w="12" w:type="dxa"/>
                    <w:left w:w="12" w:type="dxa"/>
                    <w:right w:w="12" w:type="dxa"/>
                  </w:tcMar>
                  <w:vAlign w:val="center"/>
                </w:tcPr>
                <w:p>
                  <w:pPr>
                    <w:jc w:val="center"/>
                    <w:rPr>
                      <w:color w:val="auto"/>
                      <w:szCs w:val="21"/>
                    </w:rPr>
                  </w:pPr>
                  <w:r>
                    <w:rPr>
                      <w:color w:val="auto"/>
                      <w:szCs w:val="21"/>
                    </w:rPr>
                    <w:t>0.711</w:t>
                  </w:r>
                </w:p>
              </w:tc>
              <w:tc>
                <w:tcPr>
                  <w:tcW w:w="812" w:type="dxa"/>
                  <w:noWrap w:val="0"/>
                  <w:tcMar>
                    <w:top w:w="12" w:type="dxa"/>
                    <w:left w:w="12" w:type="dxa"/>
                    <w:right w:w="12" w:type="dxa"/>
                  </w:tcMar>
                  <w:vAlign w:val="center"/>
                </w:tcPr>
                <w:p>
                  <w:pPr>
                    <w:jc w:val="center"/>
                    <w:rPr>
                      <w:color w:val="auto"/>
                      <w:szCs w:val="21"/>
                    </w:rPr>
                  </w:pPr>
                  <w:r>
                    <w:rPr>
                      <w:color w:val="auto"/>
                      <w:szCs w:val="21"/>
                    </w:rPr>
                    <w:t>0.0846</w:t>
                  </w:r>
                </w:p>
              </w:tc>
              <w:tc>
                <w:tcPr>
                  <w:tcW w:w="746" w:type="dxa"/>
                  <w:noWrap w:val="0"/>
                  <w:tcMar>
                    <w:top w:w="12" w:type="dxa"/>
                    <w:left w:w="12" w:type="dxa"/>
                    <w:right w:w="12" w:type="dxa"/>
                  </w:tcMar>
                  <w:vAlign w:val="center"/>
                </w:tcPr>
                <w:p>
                  <w:pPr>
                    <w:jc w:val="center"/>
                    <w:rPr>
                      <w:color w:val="auto"/>
                      <w:szCs w:val="21"/>
                    </w:rPr>
                  </w:pPr>
                  <w:r>
                    <w:rPr>
                      <w:color w:val="auto"/>
                      <w:szCs w:val="21"/>
                    </w:rPr>
                    <w:t>6.511</w:t>
                  </w:r>
                </w:p>
              </w:tc>
              <w:tc>
                <w:tcPr>
                  <w:tcW w:w="534" w:type="dxa"/>
                  <w:noWrap w:val="0"/>
                  <w:tcMar>
                    <w:top w:w="12" w:type="dxa"/>
                    <w:left w:w="12" w:type="dxa"/>
                    <w:right w:w="12" w:type="dxa"/>
                  </w:tcMar>
                  <w:vAlign w:val="center"/>
                </w:tcPr>
                <w:p>
                  <w:pPr>
                    <w:jc w:val="center"/>
                    <w:rPr>
                      <w:color w:val="auto"/>
                    </w:rPr>
                  </w:pPr>
                  <w:r>
                    <w:rPr>
                      <w:rFonts w:hint="eastAsia"/>
                      <w:color w:val="auto"/>
                    </w:rPr>
                    <w:t>有组织</w:t>
                  </w:r>
                </w:p>
              </w:tc>
              <w:tc>
                <w:tcPr>
                  <w:tcW w:w="2214" w:type="dxa"/>
                  <w:noWrap w:val="0"/>
                  <w:tcMar>
                    <w:top w:w="12" w:type="dxa"/>
                    <w:left w:w="12" w:type="dxa"/>
                    <w:right w:w="12" w:type="dxa"/>
                  </w:tcMar>
                  <w:vAlign w:val="center"/>
                </w:tcPr>
                <w:p>
                  <w:pPr>
                    <w:widowControl/>
                    <w:jc w:val="center"/>
                    <w:textAlignment w:val="center"/>
                    <w:rPr>
                      <w:color w:val="auto"/>
                    </w:rPr>
                  </w:pPr>
                  <w:r>
                    <w:rPr>
                      <w:rFonts w:hint="eastAsia"/>
                      <w:color w:val="auto"/>
                    </w:rPr>
                    <w:t>经一套“静电除油+二级活性炭吸附”处理后通过1根23m高排气筒（DA01</w:t>
                  </w:r>
                  <w:r>
                    <w:rPr>
                      <w:rFonts w:hint="eastAsia"/>
                      <w:color w:val="auto"/>
                      <w:lang w:val="en-US" w:eastAsia="zh-CN"/>
                    </w:rPr>
                    <w:t>9</w:t>
                  </w:r>
                  <w:r>
                    <w:rPr>
                      <w:rFonts w:hint="eastAsia"/>
                      <w:color w:val="auto"/>
                    </w:rPr>
                    <w:t>）排放</w:t>
                  </w:r>
                </w:p>
              </w:tc>
              <w:tc>
                <w:tcPr>
                  <w:tcW w:w="723" w:type="dxa"/>
                  <w:noWrap w:val="0"/>
                  <w:tcMar>
                    <w:top w:w="12" w:type="dxa"/>
                    <w:left w:w="12" w:type="dxa"/>
                    <w:right w:w="12" w:type="dxa"/>
                  </w:tcMar>
                  <w:vAlign w:val="center"/>
                </w:tcPr>
                <w:p>
                  <w:pPr>
                    <w:widowControl/>
                    <w:jc w:val="center"/>
                    <w:textAlignment w:val="center"/>
                    <w:rPr>
                      <w:color w:val="auto"/>
                    </w:rPr>
                  </w:pPr>
                  <w:r>
                    <w:rPr>
                      <w:color w:val="auto"/>
                    </w:rPr>
                    <w:t>13000</w:t>
                  </w:r>
                </w:p>
              </w:tc>
              <w:tc>
                <w:tcPr>
                  <w:tcW w:w="504" w:type="dxa"/>
                  <w:noWrap w:val="0"/>
                  <w:tcMar>
                    <w:top w:w="12" w:type="dxa"/>
                    <w:left w:w="12" w:type="dxa"/>
                    <w:right w:w="12" w:type="dxa"/>
                  </w:tcMar>
                  <w:vAlign w:val="center"/>
                </w:tcPr>
                <w:p>
                  <w:pPr>
                    <w:widowControl/>
                    <w:jc w:val="center"/>
                    <w:textAlignment w:val="center"/>
                    <w:rPr>
                      <w:color w:val="auto"/>
                    </w:rPr>
                  </w:pPr>
                  <w:r>
                    <w:rPr>
                      <w:color w:val="auto"/>
                    </w:rPr>
                    <w:t>98%</w:t>
                  </w:r>
                </w:p>
              </w:tc>
              <w:tc>
                <w:tcPr>
                  <w:tcW w:w="627" w:type="dxa"/>
                  <w:noWrap w:val="0"/>
                  <w:tcMar>
                    <w:top w:w="12" w:type="dxa"/>
                    <w:left w:w="12" w:type="dxa"/>
                    <w:right w:w="12" w:type="dxa"/>
                  </w:tcMar>
                  <w:vAlign w:val="center"/>
                </w:tcPr>
                <w:p>
                  <w:pPr>
                    <w:jc w:val="center"/>
                    <w:rPr>
                      <w:color w:val="auto"/>
                    </w:rPr>
                  </w:pPr>
                  <w:r>
                    <w:rPr>
                      <w:color w:val="auto"/>
                    </w:rPr>
                    <w:t>90%</w:t>
                  </w:r>
                </w:p>
              </w:tc>
              <w:tc>
                <w:tcPr>
                  <w:tcW w:w="765" w:type="dxa"/>
                  <w:noWrap w:val="0"/>
                  <w:tcMar>
                    <w:top w:w="12" w:type="dxa"/>
                    <w:left w:w="12" w:type="dxa"/>
                    <w:right w:w="12" w:type="dxa"/>
                  </w:tcMar>
                  <w:vAlign w:val="center"/>
                </w:tcPr>
                <w:p>
                  <w:pPr>
                    <w:widowControl/>
                    <w:jc w:val="center"/>
                    <w:textAlignment w:val="center"/>
                    <w:rPr>
                      <w:color w:val="auto"/>
                    </w:rPr>
                  </w:pPr>
                  <w:r>
                    <w:rPr>
                      <w:rFonts w:hint="eastAsia"/>
                      <w:color w:val="auto"/>
                    </w:rPr>
                    <w:t>是</w:t>
                  </w:r>
                </w:p>
              </w:tc>
              <w:tc>
                <w:tcPr>
                  <w:tcW w:w="917" w:type="dxa"/>
                  <w:noWrap w:val="0"/>
                  <w:tcMar>
                    <w:top w:w="12" w:type="dxa"/>
                    <w:left w:w="12" w:type="dxa"/>
                    <w:right w:w="12" w:type="dxa"/>
                  </w:tcMar>
                  <w:vAlign w:val="center"/>
                </w:tcPr>
                <w:p>
                  <w:pPr>
                    <w:jc w:val="center"/>
                    <w:rPr>
                      <w:color w:val="auto"/>
                      <w:szCs w:val="21"/>
                    </w:rPr>
                  </w:pPr>
                  <w:r>
                    <w:rPr>
                      <w:color w:val="auto"/>
                      <w:szCs w:val="21"/>
                    </w:rPr>
                    <w:t>0.0711</w:t>
                  </w:r>
                </w:p>
              </w:tc>
              <w:tc>
                <w:tcPr>
                  <w:tcW w:w="1023" w:type="dxa"/>
                  <w:noWrap w:val="0"/>
                  <w:tcMar>
                    <w:top w:w="12" w:type="dxa"/>
                    <w:left w:w="12" w:type="dxa"/>
                    <w:right w:w="12" w:type="dxa"/>
                  </w:tcMar>
                  <w:vAlign w:val="center"/>
                </w:tcPr>
                <w:p>
                  <w:pPr>
                    <w:jc w:val="center"/>
                    <w:rPr>
                      <w:color w:val="auto"/>
                      <w:szCs w:val="21"/>
                    </w:rPr>
                  </w:pPr>
                  <w:r>
                    <w:rPr>
                      <w:color w:val="auto"/>
                      <w:szCs w:val="21"/>
                    </w:rPr>
                    <w:t>0.00846</w:t>
                  </w:r>
                </w:p>
              </w:tc>
              <w:tc>
                <w:tcPr>
                  <w:tcW w:w="861" w:type="dxa"/>
                  <w:noWrap w:val="0"/>
                  <w:tcMar>
                    <w:top w:w="12" w:type="dxa"/>
                    <w:left w:w="12" w:type="dxa"/>
                    <w:right w:w="12" w:type="dxa"/>
                  </w:tcMar>
                  <w:vAlign w:val="center"/>
                </w:tcPr>
                <w:p>
                  <w:pPr>
                    <w:jc w:val="center"/>
                    <w:rPr>
                      <w:color w:val="auto"/>
                      <w:szCs w:val="21"/>
                    </w:rPr>
                  </w:pPr>
                  <w:r>
                    <w:rPr>
                      <w:color w:val="auto"/>
                      <w:szCs w:val="21"/>
                    </w:rPr>
                    <w:t>0.651</w:t>
                  </w:r>
                </w:p>
              </w:tc>
              <w:tc>
                <w:tcPr>
                  <w:tcW w:w="795" w:type="dxa"/>
                  <w:noWrap w:val="0"/>
                  <w:tcMar>
                    <w:top w:w="12" w:type="dxa"/>
                    <w:left w:w="12" w:type="dxa"/>
                    <w:right w:w="12" w:type="dxa"/>
                  </w:tcMar>
                  <w:vAlign w:val="center"/>
                </w:tcPr>
                <w:p>
                  <w:pPr>
                    <w:widowControl/>
                    <w:jc w:val="center"/>
                    <w:textAlignment w:val="center"/>
                    <w:rPr>
                      <w:rFonts w:hint="default"/>
                      <w:color w:val="auto"/>
                      <w:lang w:val="en-US"/>
                    </w:rPr>
                  </w:pPr>
                  <w:r>
                    <w:rPr>
                      <w:rFonts w:hint="eastAsia"/>
                      <w:color w:val="auto"/>
                      <w:lang w:val="en-US" w:eastAsia="zh-CN"/>
                    </w:rPr>
                    <w:t>DA019</w:t>
                  </w: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70</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3.0</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接线盒焊接</w:t>
                  </w:r>
                </w:p>
              </w:tc>
              <w:tc>
                <w:tcPr>
                  <w:tcW w:w="1074" w:type="dxa"/>
                  <w:gridSpan w:val="2"/>
                  <w:noWrap w:val="0"/>
                  <w:tcMar>
                    <w:top w:w="12" w:type="dxa"/>
                    <w:left w:w="12" w:type="dxa"/>
                    <w:right w:w="12" w:type="dxa"/>
                  </w:tcMar>
                  <w:vAlign w:val="center"/>
                </w:tcPr>
                <w:p>
                  <w:pPr>
                    <w:widowControl/>
                    <w:jc w:val="center"/>
                    <w:textAlignment w:val="center"/>
                    <w:rPr>
                      <w:color w:val="auto"/>
                      <w:highlight w:val="none"/>
                    </w:rPr>
                  </w:pPr>
                  <w:r>
                    <w:rPr>
                      <w:color w:val="auto"/>
                      <w:highlight w:val="none"/>
                    </w:rPr>
                    <w:t>颗粒物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0.001</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0.000119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0.00916 </w:t>
                  </w:r>
                </w:p>
              </w:tc>
              <w:tc>
                <w:tcPr>
                  <w:tcW w:w="534" w:type="dxa"/>
                  <w:vMerge w:val="restart"/>
                  <w:noWrap w:val="0"/>
                  <w:tcMar>
                    <w:top w:w="12" w:type="dxa"/>
                    <w:left w:w="12" w:type="dxa"/>
                    <w:right w:w="12" w:type="dxa"/>
                  </w:tcMar>
                  <w:vAlign w:val="center"/>
                </w:tcPr>
                <w:p>
                  <w:pPr>
                    <w:jc w:val="center"/>
                    <w:rPr>
                      <w:color w:val="auto"/>
                    </w:rPr>
                  </w:pPr>
                  <w:r>
                    <w:rPr>
                      <w:rFonts w:hint="eastAsia"/>
                      <w:color w:val="auto"/>
                    </w:rPr>
                    <w:t>有组织</w:t>
                  </w:r>
                </w:p>
              </w:tc>
              <w:tc>
                <w:tcPr>
                  <w:tcW w:w="2214" w:type="dxa"/>
                  <w:vMerge w:val="restart"/>
                  <w:noWrap w:val="0"/>
                  <w:tcMar>
                    <w:top w:w="12" w:type="dxa"/>
                    <w:left w:w="12" w:type="dxa"/>
                    <w:right w:w="12" w:type="dxa"/>
                  </w:tcMar>
                  <w:vAlign w:val="center"/>
                </w:tcPr>
                <w:p>
                  <w:pPr>
                    <w:widowControl/>
                    <w:jc w:val="center"/>
                    <w:textAlignment w:val="center"/>
                    <w:rPr>
                      <w:color w:val="auto"/>
                    </w:rPr>
                  </w:pPr>
                  <w:r>
                    <w:rPr>
                      <w:color w:val="auto"/>
                    </w:rPr>
                    <w:t>经一套</w:t>
                  </w:r>
                  <w:r>
                    <w:rPr>
                      <w:rFonts w:hint="eastAsia"/>
                      <w:color w:val="auto"/>
                    </w:rPr>
                    <w:t>“</w:t>
                  </w:r>
                  <w:r>
                    <w:rPr>
                      <w:rFonts w:hint="eastAsia"/>
                      <w:color w:val="auto"/>
                      <w:lang w:eastAsia="zh-CN"/>
                    </w:rPr>
                    <w:t>袋式除尘</w:t>
                  </w:r>
                  <w:r>
                    <w:rPr>
                      <w:rFonts w:hint="eastAsia"/>
                      <w:color w:val="auto"/>
                    </w:rPr>
                    <w:t>+</w:t>
                  </w:r>
                  <w:r>
                    <w:rPr>
                      <w:color w:val="auto"/>
                    </w:rPr>
                    <w:t>二级活性炭吸附</w:t>
                  </w:r>
                  <w:r>
                    <w:rPr>
                      <w:rFonts w:hint="eastAsia"/>
                      <w:color w:val="auto"/>
                    </w:rPr>
                    <w:t>”</w:t>
                  </w:r>
                  <w:r>
                    <w:rPr>
                      <w:color w:val="auto"/>
                    </w:rPr>
                    <w:t>处理后通过1根</w:t>
                  </w:r>
                  <w:r>
                    <w:rPr>
                      <w:rFonts w:hint="eastAsia"/>
                      <w:color w:val="auto"/>
                    </w:rPr>
                    <w:t>23</w:t>
                  </w:r>
                  <w:r>
                    <w:rPr>
                      <w:color w:val="auto"/>
                    </w:rPr>
                    <w:t>m高排气筒（DA0</w:t>
                  </w:r>
                  <w:r>
                    <w:rPr>
                      <w:rFonts w:hint="eastAsia"/>
                      <w:color w:val="auto"/>
                      <w:lang w:val="en-US" w:eastAsia="zh-CN"/>
                    </w:rPr>
                    <w:t>20</w:t>
                  </w:r>
                  <w:r>
                    <w:rPr>
                      <w:color w:val="auto"/>
                    </w:rPr>
                    <w:t>）</w:t>
                  </w:r>
                </w:p>
              </w:tc>
              <w:tc>
                <w:tcPr>
                  <w:tcW w:w="723" w:type="dxa"/>
                  <w:vMerge w:val="restart"/>
                  <w:noWrap w:val="0"/>
                  <w:tcMar>
                    <w:top w:w="12" w:type="dxa"/>
                    <w:left w:w="12" w:type="dxa"/>
                    <w:right w:w="12" w:type="dxa"/>
                  </w:tcMar>
                  <w:vAlign w:val="center"/>
                </w:tcPr>
                <w:p>
                  <w:pPr>
                    <w:widowControl/>
                    <w:jc w:val="center"/>
                    <w:textAlignment w:val="center"/>
                    <w:rPr>
                      <w:color w:val="auto"/>
                    </w:rPr>
                  </w:pPr>
                  <w:r>
                    <w:rPr>
                      <w:color w:val="auto"/>
                    </w:rPr>
                    <w:t>13000</w:t>
                  </w:r>
                </w:p>
              </w:tc>
              <w:tc>
                <w:tcPr>
                  <w:tcW w:w="504" w:type="dxa"/>
                  <w:vMerge w:val="restart"/>
                  <w:noWrap w:val="0"/>
                  <w:tcMar>
                    <w:top w:w="12" w:type="dxa"/>
                    <w:left w:w="12" w:type="dxa"/>
                    <w:right w:w="12" w:type="dxa"/>
                  </w:tcMar>
                  <w:vAlign w:val="center"/>
                </w:tcPr>
                <w:p>
                  <w:pPr>
                    <w:widowControl/>
                    <w:jc w:val="center"/>
                    <w:textAlignment w:val="center"/>
                    <w:rPr>
                      <w:color w:val="auto"/>
                    </w:rPr>
                  </w:pPr>
                  <w:r>
                    <w:rPr>
                      <w:color w:val="auto"/>
                      <w:highlight w:val="none"/>
                    </w:rPr>
                    <w:t>98%</w:t>
                  </w:r>
                </w:p>
              </w:tc>
              <w:tc>
                <w:tcPr>
                  <w:tcW w:w="627" w:type="dxa"/>
                  <w:noWrap w:val="0"/>
                  <w:tcMar>
                    <w:top w:w="12" w:type="dxa"/>
                    <w:left w:w="12" w:type="dxa"/>
                    <w:right w:w="12" w:type="dxa"/>
                  </w:tcMar>
                  <w:vAlign w:val="center"/>
                </w:tcPr>
                <w:p>
                  <w:pPr>
                    <w:jc w:val="center"/>
                    <w:rPr>
                      <w:color w:val="auto"/>
                    </w:rPr>
                  </w:pPr>
                  <w:r>
                    <w:rPr>
                      <w:color w:val="auto"/>
                    </w:rPr>
                    <w:t>95%</w:t>
                  </w:r>
                </w:p>
              </w:tc>
              <w:tc>
                <w:tcPr>
                  <w:tcW w:w="765"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是</w:t>
                  </w: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0.00005</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0.000006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0.00045</w:t>
                  </w:r>
                  <w:r>
                    <w:rPr>
                      <w:rFonts w:hint="eastAsia" w:ascii="Times New Roman" w:hAnsi="Times New Roman" w:eastAsia="宋体" w:cs="Times New Roman"/>
                      <w:i w:val="0"/>
                      <w:iCs w:val="0"/>
                      <w:color w:val="auto"/>
                      <w:kern w:val="0"/>
                      <w:sz w:val="21"/>
                      <w:szCs w:val="21"/>
                      <w:u w:val="none"/>
                      <w:lang w:val="en-US" w:eastAsia="zh-CN" w:bidi="ar"/>
                    </w:rPr>
                    <w:t>8</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795" w:type="dxa"/>
                  <w:vMerge w:val="restart"/>
                  <w:noWrap w:val="0"/>
                  <w:tcMar>
                    <w:top w:w="12" w:type="dxa"/>
                    <w:left w:w="12" w:type="dxa"/>
                    <w:right w:w="12" w:type="dxa"/>
                  </w:tcMar>
                  <w:vAlign w:val="center"/>
                </w:tcPr>
                <w:p>
                  <w:pPr>
                    <w:widowControl/>
                    <w:jc w:val="center"/>
                    <w:textAlignment w:val="center"/>
                    <w:rPr>
                      <w:rFonts w:hint="default"/>
                      <w:color w:val="auto"/>
                      <w:lang w:val="en-US"/>
                    </w:rPr>
                  </w:pPr>
                  <w:r>
                    <w:rPr>
                      <w:rFonts w:hint="eastAsia"/>
                      <w:color w:val="auto"/>
                      <w:lang w:val="en-US" w:eastAsia="zh-CN"/>
                    </w:rPr>
                    <w:t>DA020</w:t>
                  </w: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20</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0.8</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vMerge w:val="continue"/>
                  <w:noWrap w:val="0"/>
                  <w:tcMar>
                    <w:top w:w="12" w:type="dxa"/>
                    <w:left w:w="12" w:type="dxa"/>
                    <w:right w:w="12" w:type="dxa"/>
                  </w:tcMar>
                  <w:vAlign w:val="center"/>
                </w:tcPr>
                <w:p>
                  <w:pPr>
                    <w:jc w:val="center"/>
                    <w:rPr>
                      <w:color w:val="auto"/>
                    </w:rPr>
                  </w:pPr>
                </w:p>
              </w:tc>
              <w:tc>
                <w:tcPr>
                  <w:tcW w:w="1074" w:type="dxa"/>
                  <w:gridSpan w:val="2"/>
                  <w:noWrap w:val="0"/>
                  <w:tcMar>
                    <w:top w:w="12" w:type="dxa"/>
                    <w:left w:w="12" w:type="dxa"/>
                    <w:right w:w="12" w:type="dxa"/>
                  </w:tcMar>
                  <w:vAlign w:val="center"/>
                </w:tcPr>
                <w:p>
                  <w:pPr>
                    <w:jc w:val="center"/>
                    <w:rPr>
                      <w:color w:val="auto"/>
                      <w:highlight w:val="none"/>
                    </w:rPr>
                  </w:pPr>
                  <w:r>
                    <w:rPr>
                      <w:color w:val="auto"/>
                      <w:highlight w:val="none"/>
                    </w:rPr>
                    <w:t>锡及其化合物</w:t>
                  </w:r>
                </w:p>
              </w:tc>
              <w:tc>
                <w:tcPr>
                  <w:tcW w:w="70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highlight w:val="yellow"/>
                    </w:rPr>
                  </w:pPr>
                  <w:r>
                    <w:rPr>
                      <w:rFonts w:hint="default" w:ascii="Times New Roman" w:hAnsi="Times New Roman" w:eastAsia="宋体" w:cs="Times New Roman"/>
                      <w:i w:val="0"/>
                      <w:iCs w:val="0"/>
                      <w:color w:val="auto"/>
                      <w:kern w:val="0"/>
                      <w:sz w:val="21"/>
                      <w:szCs w:val="21"/>
                      <w:u w:val="none"/>
                      <w:lang w:val="en-US" w:eastAsia="zh-CN" w:bidi="ar"/>
                    </w:rPr>
                    <w:t>0.00099</w:t>
                  </w:r>
                </w:p>
              </w:tc>
              <w:tc>
                <w:tcPr>
                  <w:tcW w:w="812"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0.000118 </w:t>
                  </w:r>
                </w:p>
              </w:tc>
              <w:tc>
                <w:tcPr>
                  <w:tcW w:w="746"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0.00907 </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jc w:val="center"/>
                    <w:rPr>
                      <w:color w:val="auto"/>
                    </w:rPr>
                  </w:pPr>
                  <w:r>
                    <w:rPr>
                      <w:color w:val="auto"/>
                    </w:rPr>
                    <w:t>95%</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0.0000495 </w:t>
                  </w:r>
                </w:p>
              </w:tc>
              <w:tc>
                <w:tcPr>
                  <w:tcW w:w="1023"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0.0000059 </w:t>
                  </w:r>
                </w:p>
              </w:tc>
              <w:tc>
                <w:tcPr>
                  <w:tcW w:w="861" w:type="dxa"/>
                  <w:noWrap w:val="0"/>
                  <w:tcMar>
                    <w:top w:w="12" w:type="dxa"/>
                    <w:left w:w="12" w:type="dxa"/>
                    <w:right w:w="12" w:type="dxa"/>
                  </w:tcMar>
                  <w:vAlign w:val="center"/>
                </w:tcPr>
                <w:p>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0.000453 </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5</w:t>
                  </w:r>
                </w:p>
              </w:tc>
              <w:tc>
                <w:tcPr>
                  <w:tcW w:w="658" w:type="dxa"/>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0.22</w:t>
                  </w:r>
                </w:p>
              </w:tc>
              <w:tc>
                <w:tcPr>
                  <w:tcW w:w="649" w:type="dxa"/>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591" w:type="dxa"/>
                  <w:noWrap w:val="0"/>
                  <w:tcMar>
                    <w:top w:w="12" w:type="dxa"/>
                    <w:left w:w="12" w:type="dxa"/>
                    <w:right w:w="12" w:type="dxa"/>
                  </w:tcMar>
                  <w:vAlign w:val="center"/>
                </w:tcPr>
                <w:p>
                  <w:pPr>
                    <w:widowControl/>
                    <w:jc w:val="center"/>
                    <w:textAlignment w:val="center"/>
                    <w:rPr>
                      <w:color w:val="auto"/>
                    </w:rPr>
                  </w:pPr>
                  <w:r>
                    <w:rPr>
                      <w:color w:val="auto"/>
                    </w:rPr>
                    <w:t>固化</w:t>
                  </w:r>
                </w:p>
              </w:tc>
              <w:tc>
                <w:tcPr>
                  <w:tcW w:w="1074" w:type="dxa"/>
                  <w:gridSpan w:val="2"/>
                  <w:noWrap w:val="0"/>
                  <w:tcMar>
                    <w:top w:w="12" w:type="dxa"/>
                    <w:left w:w="12" w:type="dxa"/>
                    <w:right w:w="12" w:type="dxa"/>
                  </w:tcMar>
                  <w:vAlign w:val="center"/>
                </w:tcPr>
                <w:p>
                  <w:pPr>
                    <w:jc w:val="center"/>
                    <w:rPr>
                      <w:color w:val="auto"/>
                    </w:rPr>
                  </w:pPr>
                  <w:r>
                    <w:rPr>
                      <w:color w:val="auto"/>
                    </w:rPr>
                    <w:t>非甲烷总烃</w:t>
                  </w:r>
                </w:p>
              </w:tc>
              <w:tc>
                <w:tcPr>
                  <w:tcW w:w="707" w:type="dxa"/>
                  <w:noWrap w:val="0"/>
                  <w:tcMar>
                    <w:top w:w="12" w:type="dxa"/>
                    <w:left w:w="12" w:type="dxa"/>
                    <w:right w:w="12" w:type="dxa"/>
                  </w:tcMar>
                  <w:vAlign w:val="center"/>
                </w:tcPr>
                <w:p>
                  <w:pPr>
                    <w:jc w:val="center"/>
                    <w:rPr>
                      <w:color w:val="auto"/>
                      <w:szCs w:val="21"/>
                    </w:rPr>
                  </w:pPr>
                  <w:r>
                    <w:rPr>
                      <w:color w:val="auto"/>
                      <w:szCs w:val="21"/>
                    </w:rPr>
                    <w:t>7.056</w:t>
                  </w:r>
                </w:p>
              </w:tc>
              <w:tc>
                <w:tcPr>
                  <w:tcW w:w="812" w:type="dxa"/>
                  <w:noWrap w:val="0"/>
                  <w:tcMar>
                    <w:top w:w="12" w:type="dxa"/>
                    <w:left w:w="12" w:type="dxa"/>
                    <w:right w:w="12" w:type="dxa"/>
                  </w:tcMar>
                  <w:vAlign w:val="center"/>
                </w:tcPr>
                <w:p>
                  <w:pPr>
                    <w:jc w:val="center"/>
                    <w:rPr>
                      <w:color w:val="auto"/>
                      <w:szCs w:val="21"/>
                    </w:rPr>
                  </w:pPr>
                  <w:r>
                    <w:rPr>
                      <w:color w:val="auto"/>
                      <w:szCs w:val="21"/>
                    </w:rPr>
                    <w:t>0.84</w:t>
                  </w:r>
                </w:p>
              </w:tc>
              <w:tc>
                <w:tcPr>
                  <w:tcW w:w="746" w:type="dxa"/>
                  <w:noWrap w:val="0"/>
                  <w:tcMar>
                    <w:top w:w="12" w:type="dxa"/>
                    <w:left w:w="12" w:type="dxa"/>
                    <w:right w:w="12" w:type="dxa"/>
                  </w:tcMar>
                  <w:vAlign w:val="center"/>
                </w:tcPr>
                <w:p>
                  <w:pPr>
                    <w:jc w:val="center"/>
                    <w:rPr>
                      <w:color w:val="auto"/>
                      <w:szCs w:val="21"/>
                    </w:rPr>
                  </w:pPr>
                  <w:r>
                    <w:rPr>
                      <w:color w:val="auto"/>
                      <w:szCs w:val="21"/>
                    </w:rPr>
                    <w:t>64.615</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jc w:val="center"/>
                    <w:rPr>
                      <w:color w:val="auto"/>
                    </w:rPr>
                  </w:pPr>
                  <w:r>
                    <w:rPr>
                      <w:color w:val="auto"/>
                    </w:rPr>
                    <w:t>90%</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vMerge w:val="restart"/>
                  <w:noWrap w:val="0"/>
                  <w:tcMar>
                    <w:top w:w="12" w:type="dxa"/>
                    <w:left w:w="12" w:type="dxa"/>
                    <w:right w:w="12" w:type="dxa"/>
                  </w:tcMar>
                  <w:vAlign w:val="center"/>
                </w:tcPr>
                <w:p>
                  <w:pPr>
                    <w:jc w:val="center"/>
                    <w:rPr>
                      <w:color w:val="auto"/>
                      <w:szCs w:val="21"/>
                    </w:rPr>
                  </w:pPr>
                  <w:r>
                    <w:rPr>
                      <w:color w:val="auto"/>
                      <w:szCs w:val="21"/>
                    </w:rPr>
                    <w:t>1.078</w:t>
                  </w:r>
                </w:p>
              </w:tc>
              <w:tc>
                <w:tcPr>
                  <w:tcW w:w="1023" w:type="dxa"/>
                  <w:vMerge w:val="restart"/>
                  <w:noWrap w:val="0"/>
                  <w:tcMar>
                    <w:top w:w="12" w:type="dxa"/>
                    <w:left w:w="12" w:type="dxa"/>
                    <w:right w:w="12" w:type="dxa"/>
                  </w:tcMar>
                  <w:vAlign w:val="center"/>
                </w:tcPr>
                <w:p>
                  <w:pPr>
                    <w:jc w:val="center"/>
                    <w:rPr>
                      <w:color w:val="auto"/>
                      <w:szCs w:val="21"/>
                    </w:rPr>
                  </w:pPr>
                  <w:r>
                    <w:rPr>
                      <w:color w:val="auto"/>
                      <w:szCs w:val="21"/>
                    </w:rPr>
                    <w:t>0.128</w:t>
                  </w:r>
                </w:p>
              </w:tc>
              <w:tc>
                <w:tcPr>
                  <w:tcW w:w="861" w:type="dxa"/>
                  <w:vMerge w:val="restart"/>
                  <w:noWrap w:val="0"/>
                  <w:tcMar>
                    <w:top w:w="12" w:type="dxa"/>
                    <w:left w:w="12" w:type="dxa"/>
                    <w:right w:w="12" w:type="dxa"/>
                  </w:tcMar>
                  <w:vAlign w:val="center"/>
                </w:tcPr>
                <w:p>
                  <w:pPr>
                    <w:jc w:val="center"/>
                    <w:rPr>
                      <w:color w:val="auto"/>
                      <w:szCs w:val="21"/>
                    </w:rPr>
                  </w:pPr>
                  <w:r>
                    <w:rPr>
                      <w:color w:val="auto"/>
                      <w:szCs w:val="21"/>
                    </w:rPr>
                    <w:t>9.872</w:t>
                  </w: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70</w:t>
                  </w:r>
                </w:p>
              </w:tc>
              <w:tc>
                <w:tcPr>
                  <w:tcW w:w="658"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3.0</w:t>
                  </w:r>
                </w:p>
              </w:tc>
              <w:tc>
                <w:tcPr>
                  <w:tcW w:w="649"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591" w:type="dxa"/>
                  <w:noWrap w:val="0"/>
                  <w:tcMar>
                    <w:top w:w="12" w:type="dxa"/>
                    <w:left w:w="12" w:type="dxa"/>
                    <w:right w:w="12" w:type="dxa"/>
                  </w:tcMar>
                  <w:vAlign w:val="center"/>
                </w:tcPr>
                <w:p>
                  <w:pPr>
                    <w:widowControl/>
                    <w:jc w:val="center"/>
                    <w:textAlignment w:val="center"/>
                    <w:rPr>
                      <w:color w:val="auto"/>
                    </w:rPr>
                  </w:pPr>
                  <w:r>
                    <w:rPr>
                      <w:color w:val="auto"/>
                    </w:rPr>
                    <w:t>酒精擦拭</w:t>
                  </w:r>
                </w:p>
              </w:tc>
              <w:tc>
                <w:tcPr>
                  <w:tcW w:w="1074" w:type="dxa"/>
                  <w:gridSpan w:val="2"/>
                  <w:noWrap w:val="0"/>
                  <w:tcMar>
                    <w:top w:w="12" w:type="dxa"/>
                    <w:left w:w="12" w:type="dxa"/>
                    <w:right w:w="12" w:type="dxa"/>
                  </w:tcMar>
                  <w:vAlign w:val="center"/>
                </w:tcPr>
                <w:p>
                  <w:pPr>
                    <w:jc w:val="center"/>
                    <w:rPr>
                      <w:color w:val="auto"/>
                    </w:rPr>
                  </w:pPr>
                  <w:r>
                    <w:rPr>
                      <w:color w:val="auto"/>
                    </w:rPr>
                    <w:t>非甲烷总烃</w:t>
                  </w:r>
                </w:p>
              </w:tc>
              <w:tc>
                <w:tcPr>
                  <w:tcW w:w="707" w:type="dxa"/>
                  <w:noWrap w:val="0"/>
                  <w:tcMar>
                    <w:top w:w="12" w:type="dxa"/>
                    <w:left w:w="12" w:type="dxa"/>
                    <w:right w:w="12" w:type="dxa"/>
                  </w:tcMar>
                  <w:vAlign w:val="center"/>
                </w:tcPr>
                <w:p>
                  <w:pPr>
                    <w:jc w:val="center"/>
                    <w:rPr>
                      <w:color w:val="auto"/>
                      <w:szCs w:val="21"/>
                    </w:rPr>
                  </w:pPr>
                  <w:r>
                    <w:rPr>
                      <w:color w:val="auto"/>
                      <w:szCs w:val="21"/>
                    </w:rPr>
                    <w:t>3.724</w:t>
                  </w:r>
                </w:p>
              </w:tc>
              <w:tc>
                <w:tcPr>
                  <w:tcW w:w="812" w:type="dxa"/>
                  <w:noWrap w:val="0"/>
                  <w:tcMar>
                    <w:top w:w="12" w:type="dxa"/>
                    <w:left w:w="12" w:type="dxa"/>
                    <w:right w:w="12" w:type="dxa"/>
                  </w:tcMar>
                  <w:vAlign w:val="center"/>
                </w:tcPr>
                <w:p>
                  <w:pPr>
                    <w:jc w:val="center"/>
                    <w:rPr>
                      <w:color w:val="auto"/>
                      <w:szCs w:val="21"/>
                    </w:rPr>
                  </w:pPr>
                  <w:r>
                    <w:rPr>
                      <w:color w:val="auto"/>
                      <w:szCs w:val="21"/>
                    </w:rPr>
                    <w:t>0.443</w:t>
                  </w:r>
                </w:p>
              </w:tc>
              <w:tc>
                <w:tcPr>
                  <w:tcW w:w="746" w:type="dxa"/>
                  <w:noWrap w:val="0"/>
                  <w:tcMar>
                    <w:top w:w="12" w:type="dxa"/>
                    <w:left w:w="12" w:type="dxa"/>
                    <w:right w:w="12" w:type="dxa"/>
                  </w:tcMar>
                  <w:vAlign w:val="center"/>
                </w:tcPr>
                <w:p>
                  <w:pPr>
                    <w:jc w:val="center"/>
                    <w:rPr>
                      <w:color w:val="auto"/>
                      <w:szCs w:val="21"/>
                    </w:rPr>
                  </w:pPr>
                  <w:r>
                    <w:rPr>
                      <w:color w:val="auto"/>
                      <w:szCs w:val="21"/>
                    </w:rPr>
                    <w:t>34.103</w:t>
                  </w:r>
                </w:p>
              </w:tc>
              <w:tc>
                <w:tcPr>
                  <w:tcW w:w="534" w:type="dxa"/>
                  <w:vMerge w:val="continue"/>
                  <w:noWrap w:val="0"/>
                  <w:tcMar>
                    <w:top w:w="12" w:type="dxa"/>
                    <w:left w:w="12" w:type="dxa"/>
                    <w:right w:w="12" w:type="dxa"/>
                  </w:tcMar>
                  <w:vAlign w:val="center"/>
                </w:tcPr>
                <w:p>
                  <w:pPr>
                    <w:widowControl/>
                    <w:jc w:val="center"/>
                    <w:textAlignment w:val="center"/>
                    <w:rPr>
                      <w:color w:val="auto"/>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noWrap w:val="0"/>
                  <w:tcMar>
                    <w:top w:w="12" w:type="dxa"/>
                    <w:left w:w="12" w:type="dxa"/>
                    <w:right w:w="12" w:type="dxa"/>
                  </w:tcMar>
                  <w:vAlign w:val="center"/>
                </w:tcPr>
                <w:p>
                  <w:pPr>
                    <w:jc w:val="center"/>
                    <w:rPr>
                      <w:color w:val="auto"/>
                    </w:rPr>
                  </w:pPr>
                  <w:r>
                    <w:rPr>
                      <w:color w:val="auto"/>
                    </w:rPr>
                    <w:t>90%</w:t>
                  </w: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vMerge w:val="continue"/>
                  <w:noWrap w:val="0"/>
                  <w:tcMar>
                    <w:top w:w="12" w:type="dxa"/>
                    <w:left w:w="12" w:type="dxa"/>
                    <w:right w:w="12" w:type="dxa"/>
                  </w:tcMar>
                  <w:vAlign w:val="center"/>
                </w:tcPr>
                <w:p>
                  <w:pPr>
                    <w:widowControl/>
                    <w:jc w:val="center"/>
                    <w:textAlignment w:val="center"/>
                    <w:rPr>
                      <w:color w:val="auto"/>
                    </w:rPr>
                  </w:pPr>
                </w:p>
              </w:tc>
              <w:tc>
                <w:tcPr>
                  <w:tcW w:w="1023" w:type="dxa"/>
                  <w:vMerge w:val="continue"/>
                  <w:noWrap w:val="0"/>
                  <w:tcMar>
                    <w:top w:w="12" w:type="dxa"/>
                    <w:left w:w="12" w:type="dxa"/>
                    <w:right w:w="12" w:type="dxa"/>
                  </w:tcMar>
                  <w:vAlign w:val="center"/>
                </w:tcPr>
                <w:p>
                  <w:pPr>
                    <w:widowControl/>
                    <w:jc w:val="center"/>
                    <w:textAlignment w:val="center"/>
                    <w:rPr>
                      <w:color w:val="auto"/>
                    </w:rPr>
                  </w:pPr>
                </w:p>
              </w:tc>
              <w:tc>
                <w:tcPr>
                  <w:tcW w:w="861" w:type="dxa"/>
                  <w:vMerge w:val="continue"/>
                  <w:noWrap w:val="0"/>
                  <w:tcMar>
                    <w:top w:w="12" w:type="dxa"/>
                    <w:left w:w="12" w:type="dxa"/>
                    <w:right w:w="12" w:type="dxa"/>
                  </w:tcMar>
                  <w:vAlign w:val="center"/>
                </w:tcPr>
                <w:p>
                  <w:pPr>
                    <w:widowControl/>
                    <w:jc w:val="center"/>
                    <w:textAlignment w:val="center"/>
                    <w:rPr>
                      <w:color w:val="auto"/>
                    </w:rPr>
                  </w:pPr>
                </w:p>
              </w:tc>
              <w:tc>
                <w:tcPr>
                  <w:tcW w:w="795" w:type="dxa"/>
                  <w:vMerge w:val="continue"/>
                  <w:noWrap w:val="0"/>
                  <w:tcMar>
                    <w:top w:w="12" w:type="dxa"/>
                    <w:left w:w="12" w:type="dxa"/>
                    <w:right w:w="12" w:type="dxa"/>
                  </w:tcMar>
                  <w:vAlign w:val="center"/>
                </w:tcPr>
                <w:p>
                  <w:pPr>
                    <w:widowControl/>
                    <w:jc w:val="center"/>
                    <w:textAlignment w:val="center"/>
                    <w:rPr>
                      <w:color w:val="auto"/>
                    </w:rPr>
                  </w:pPr>
                </w:p>
              </w:tc>
              <w:tc>
                <w:tcPr>
                  <w:tcW w:w="799" w:type="dxa"/>
                  <w:vMerge w:val="continue"/>
                  <w:noWrap w:val="0"/>
                  <w:tcMar>
                    <w:top w:w="12" w:type="dxa"/>
                    <w:left w:w="12" w:type="dxa"/>
                    <w:right w:w="12" w:type="dxa"/>
                  </w:tcMar>
                  <w:vAlign w:val="center"/>
                </w:tcPr>
                <w:p>
                  <w:pPr>
                    <w:widowControl/>
                    <w:jc w:val="center"/>
                    <w:textAlignment w:val="center"/>
                    <w:rPr>
                      <w:color w:val="auto"/>
                    </w:rPr>
                  </w:pPr>
                </w:p>
              </w:tc>
              <w:tc>
                <w:tcPr>
                  <w:tcW w:w="658" w:type="dxa"/>
                  <w:vMerge w:val="continue"/>
                  <w:noWrap w:val="0"/>
                  <w:tcMar>
                    <w:top w:w="12" w:type="dxa"/>
                    <w:left w:w="12" w:type="dxa"/>
                    <w:right w:w="12" w:type="dxa"/>
                  </w:tcMar>
                  <w:vAlign w:val="center"/>
                </w:tcPr>
                <w:p>
                  <w:pPr>
                    <w:widowControl/>
                    <w:jc w:val="center"/>
                    <w:textAlignment w:val="center"/>
                    <w:rPr>
                      <w:color w:val="auto"/>
                    </w:rPr>
                  </w:pPr>
                </w:p>
              </w:tc>
              <w:tc>
                <w:tcPr>
                  <w:tcW w:w="649" w:type="dxa"/>
                  <w:vMerge w:val="continue"/>
                  <w:noWrap w:val="0"/>
                  <w:tcMar>
                    <w:top w:w="12" w:type="dxa"/>
                    <w:left w:w="12" w:type="dxa"/>
                    <w:right w:w="12" w:type="dxa"/>
                  </w:tcMar>
                  <w:vAlign w:val="center"/>
                </w:tcPr>
                <w:p>
                  <w:pPr>
                    <w:widowControl/>
                    <w:jc w:val="center"/>
                    <w:textAlignment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591" w:type="dxa"/>
                  <w:vMerge w:val="restart"/>
                  <w:noWrap w:val="0"/>
                  <w:tcMar>
                    <w:top w:w="12" w:type="dxa"/>
                    <w:left w:w="12" w:type="dxa"/>
                    <w:right w:w="12" w:type="dxa"/>
                  </w:tcMar>
                  <w:vAlign w:val="center"/>
                </w:tcPr>
                <w:p>
                  <w:pPr>
                    <w:widowControl/>
                    <w:jc w:val="center"/>
                    <w:textAlignment w:val="center"/>
                    <w:rPr>
                      <w:color w:val="auto"/>
                    </w:rPr>
                  </w:pPr>
                  <w:r>
                    <w:rPr>
                      <w:color w:val="auto"/>
                    </w:rPr>
                    <w:t>EVA测试</w:t>
                  </w:r>
                </w:p>
              </w:tc>
              <w:tc>
                <w:tcPr>
                  <w:tcW w:w="537" w:type="dxa"/>
                  <w:vMerge w:val="restart"/>
                  <w:noWrap w:val="0"/>
                  <w:tcMar>
                    <w:top w:w="12" w:type="dxa"/>
                    <w:left w:w="12" w:type="dxa"/>
                    <w:right w:w="12" w:type="dxa"/>
                  </w:tcMar>
                  <w:vAlign w:val="center"/>
                </w:tcPr>
                <w:p>
                  <w:pPr>
                    <w:jc w:val="center"/>
                    <w:rPr>
                      <w:color w:val="auto"/>
                    </w:rPr>
                  </w:pPr>
                  <w:r>
                    <w:rPr>
                      <w:rFonts w:hint="eastAsia"/>
                      <w:color w:val="auto"/>
                    </w:rPr>
                    <w:t>二甲苯</w:t>
                  </w:r>
                </w:p>
              </w:tc>
              <w:tc>
                <w:tcPr>
                  <w:tcW w:w="537" w:type="dxa"/>
                  <w:noWrap w:val="0"/>
                  <w:tcMar>
                    <w:top w:w="12" w:type="dxa"/>
                    <w:left w:w="12" w:type="dxa"/>
                    <w:right w:w="12" w:type="dxa"/>
                  </w:tcMar>
                  <w:vAlign w:val="center"/>
                </w:tcPr>
                <w:p>
                  <w:pPr>
                    <w:jc w:val="center"/>
                    <w:rPr>
                      <w:rFonts w:hint="default" w:eastAsia="宋体"/>
                      <w:color w:val="auto"/>
                      <w:lang w:val="en-US" w:eastAsia="zh-CN"/>
                    </w:rPr>
                  </w:pPr>
                  <w:r>
                    <w:rPr>
                      <w:rFonts w:hint="eastAsia"/>
                      <w:color w:val="auto"/>
                      <w:lang w:val="en-US" w:eastAsia="zh-CN"/>
                    </w:rPr>
                    <w:t>本项目</w:t>
                  </w:r>
                </w:p>
              </w:tc>
              <w:tc>
                <w:tcPr>
                  <w:tcW w:w="707" w:type="dxa"/>
                  <w:noWrap w:val="0"/>
                  <w:tcMar>
                    <w:top w:w="12" w:type="dxa"/>
                    <w:left w:w="12" w:type="dxa"/>
                    <w:right w:w="12" w:type="dxa"/>
                  </w:tcMar>
                  <w:vAlign w:val="center"/>
                </w:tcPr>
                <w:p>
                  <w:pPr>
                    <w:jc w:val="center"/>
                    <w:rPr>
                      <w:color w:val="auto"/>
                      <w:szCs w:val="21"/>
                    </w:rPr>
                  </w:pPr>
                  <w:r>
                    <w:rPr>
                      <w:color w:val="auto"/>
                      <w:szCs w:val="21"/>
                    </w:rPr>
                    <w:t>0.0686</w:t>
                  </w:r>
                </w:p>
              </w:tc>
              <w:tc>
                <w:tcPr>
                  <w:tcW w:w="812" w:type="dxa"/>
                  <w:noWrap w:val="0"/>
                  <w:tcMar>
                    <w:top w:w="12" w:type="dxa"/>
                    <w:left w:w="12" w:type="dxa"/>
                    <w:right w:w="12" w:type="dxa"/>
                  </w:tcMar>
                  <w:vAlign w:val="center"/>
                </w:tcPr>
                <w:p>
                  <w:pPr>
                    <w:jc w:val="center"/>
                    <w:rPr>
                      <w:color w:val="auto"/>
                      <w:szCs w:val="21"/>
                    </w:rPr>
                  </w:pPr>
                  <w:r>
                    <w:rPr>
                      <w:color w:val="auto"/>
                      <w:szCs w:val="21"/>
                    </w:rPr>
                    <w:t>0.00817</w:t>
                  </w:r>
                </w:p>
              </w:tc>
              <w:tc>
                <w:tcPr>
                  <w:tcW w:w="746" w:type="dxa"/>
                  <w:noWrap w:val="0"/>
                  <w:tcMar>
                    <w:top w:w="12" w:type="dxa"/>
                    <w:left w:w="12" w:type="dxa"/>
                    <w:right w:w="12" w:type="dxa"/>
                  </w:tcMar>
                  <w:vAlign w:val="center"/>
                </w:tcPr>
                <w:p>
                  <w:pPr>
                    <w:jc w:val="center"/>
                    <w:rPr>
                      <w:color w:val="auto"/>
                      <w:szCs w:val="21"/>
                    </w:rPr>
                  </w:pPr>
                  <w:r>
                    <w:rPr>
                      <w:color w:val="auto"/>
                      <w:szCs w:val="21"/>
                    </w:rPr>
                    <w:t>0.544</w:t>
                  </w:r>
                </w:p>
              </w:tc>
              <w:tc>
                <w:tcPr>
                  <w:tcW w:w="534" w:type="dxa"/>
                  <w:vMerge w:val="restart"/>
                  <w:noWrap w:val="0"/>
                  <w:tcMar>
                    <w:top w:w="12" w:type="dxa"/>
                    <w:left w:w="12" w:type="dxa"/>
                    <w:right w:w="12" w:type="dxa"/>
                  </w:tcMar>
                  <w:vAlign w:val="center"/>
                </w:tcPr>
                <w:p>
                  <w:pPr>
                    <w:jc w:val="center"/>
                    <w:rPr>
                      <w:color w:val="auto"/>
                    </w:rPr>
                  </w:pPr>
                  <w:r>
                    <w:rPr>
                      <w:rFonts w:hint="eastAsia"/>
                      <w:color w:val="auto"/>
                    </w:rPr>
                    <w:t>有组织</w:t>
                  </w:r>
                </w:p>
              </w:tc>
              <w:tc>
                <w:tcPr>
                  <w:tcW w:w="2214" w:type="dxa"/>
                  <w:vMerge w:val="restart"/>
                  <w:noWrap w:val="0"/>
                  <w:tcMar>
                    <w:top w:w="12" w:type="dxa"/>
                    <w:left w:w="12" w:type="dxa"/>
                    <w:right w:w="12" w:type="dxa"/>
                  </w:tcMar>
                  <w:vAlign w:val="center"/>
                </w:tcPr>
                <w:p>
                  <w:pPr>
                    <w:widowControl/>
                    <w:jc w:val="center"/>
                    <w:textAlignment w:val="center"/>
                    <w:rPr>
                      <w:color w:val="auto"/>
                    </w:rPr>
                  </w:pPr>
                  <w:r>
                    <w:rPr>
                      <w:color w:val="auto"/>
                    </w:rPr>
                    <w:t>经一套</w:t>
                  </w:r>
                  <w:r>
                    <w:rPr>
                      <w:rFonts w:hint="eastAsia"/>
                      <w:color w:val="auto"/>
                    </w:rPr>
                    <w:t>“</w:t>
                  </w:r>
                  <w:r>
                    <w:rPr>
                      <w:color w:val="auto"/>
                    </w:rPr>
                    <w:t>二级活性炭吸附</w:t>
                  </w:r>
                  <w:r>
                    <w:rPr>
                      <w:rFonts w:hint="eastAsia"/>
                      <w:color w:val="auto"/>
                    </w:rPr>
                    <w:t>”</w:t>
                  </w:r>
                  <w:r>
                    <w:rPr>
                      <w:color w:val="auto"/>
                    </w:rPr>
                    <w:t>处理后通过1根</w:t>
                  </w:r>
                  <w:r>
                    <w:rPr>
                      <w:rFonts w:hint="eastAsia"/>
                      <w:color w:val="auto"/>
                    </w:rPr>
                    <w:t>15</w:t>
                  </w:r>
                  <w:r>
                    <w:rPr>
                      <w:color w:val="auto"/>
                    </w:rPr>
                    <w:t>m高排气筒（DA0</w:t>
                  </w:r>
                  <w:r>
                    <w:rPr>
                      <w:rFonts w:hint="eastAsia"/>
                      <w:color w:val="auto"/>
                    </w:rPr>
                    <w:t>1</w:t>
                  </w:r>
                  <w:r>
                    <w:rPr>
                      <w:rFonts w:hint="eastAsia"/>
                      <w:color w:val="auto"/>
                      <w:lang w:val="en-US" w:eastAsia="zh-CN"/>
                    </w:rPr>
                    <w:t>0</w:t>
                  </w:r>
                  <w:r>
                    <w:rPr>
                      <w:color w:val="auto"/>
                    </w:rPr>
                    <w:t>）</w:t>
                  </w:r>
                </w:p>
              </w:tc>
              <w:tc>
                <w:tcPr>
                  <w:tcW w:w="723" w:type="dxa"/>
                  <w:vMerge w:val="restart"/>
                  <w:noWrap w:val="0"/>
                  <w:tcMar>
                    <w:top w:w="12" w:type="dxa"/>
                    <w:left w:w="12" w:type="dxa"/>
                    <w:right w:w="12" w:type="dxa"/>
                  </w:tcMar>
                  <w:vAlign w:val="center"/>
                </w:tcPr>
                <w:p>
                  <w:pPr>
                    <w:widowControl/>
                    <w:jc w:val="center"/>
                    <w:textAlignment w:val="center"/>
                    <w:rPr>
                      <w:color w:val="auto"/>
                    </w:rPr>
                  </w:pPr>
                  <w:r>
                    <w:rPr>
                      <w:color w:val="auto"/>
                    </w:rPr>
                    <w:t>15000</w:t>
                  </w:r>
                </w:p>
              </w:tc>
              <w:tc>
                <w:tcPr>
                  <w:tcW w:w="504" w:type="dxa"/>
                  <w:vMerge w:val="restart"/>
                  <w:noWrap w:val="0"/>
                  <w:tcMar>
                    <w:top w:w="12" w:type="dxa"/>
                    <w:left w:w="12" w:type="dxa"/>
                    <w:right w:w="12" w:type="dxa"/>
                  </w:tcMar>
                  <w:vAlign w:val="center"/>
                </w:tcPr>
                <w:p>
                  <w:pPr>
                    <w:widowControl/>
                    <w:jc w:val="center"/>
                    <w:textAlignment w:val="center"/>
                    <w:rPr>
                      <w:color w:val="auto"/>
                    </w:rPr>
                  </w:pPr>
                  <w:r>
                    <w:rPr>
                      <w:color w:val="auto"/>
                    </w:rPr>
                    <w:t>98%</w:t>
                  </w:r>
                </w:p>
              </w:tc>
              <w:tc>
                <w:tcPr>
                  <w:tcW w:w="627" w:type="dxa"/>
                  <w:vMerge w:val="restart"/>
                  <w:noWrap w:val="0"/>
                  <w:tcMar>
                    <w:top w:w="12" w:type="dxa"/>
                    <w:left w:w="12" w:type="dxa"/>
                    <w:right w:w="12" w:type="dxa"/>
                  </w:tcMar>
                  <w:vAlign w:val="center"/>
                </w:tcPr>
                <w:p>
                  <w:pPr>
                    <w:jc w:val="center"/>
                    <w:rPr>
                      <w:color w:val="auto"/>
                    </w:rPr>
                  </w:pPr>
                  <w:r>
                    <w:rPr>
                      <w:color w:val="auto"/>
                    </w:rPr>
                    <w:t>90%</w:t>
                  </w:r>
                </w:p>
              </w:tc>
              <w:tc>
                <w:tcPr>
                  <w:tcW w:w="765" w:type="dxa"/>
                  <w:vMerge w:val="restart"/>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jc w:val="center"/>
                    <w:rPr>
                      <w:color w:val="auto"/>
                      <w:szCs w:val="21"/>
                    </w:rPr>
                  </w:pPr>
                  <w:r>
                    <w:rPr>
                      <w:color w:val="auto"/>
                      <w:szCs w:val="21"/>
                    </w:rPr>
                    <w:t>0.00686</w:t>
                  </w:r>
                </w:p>
              </w:tc>
              <w:tc>
                <w:tcPr>
                  <w:tcW w:w="1023" w:type="dxa"/>
                  <w:noWrap w:val="0"/>
                  <w:tcMar>
                    <w:top w:w="12" w:type="dxa"/>
                    <w:left w:w="12" w:type="dxa"/>
                    <w:right w:w="12" w:type="dxa"/>
                  </w:tcMar>
                  <w:vAlign w:val="center"/>
                </w:tcPr>
                <w:p>
                  <w:pPr>
                    <w:jc w:val="center"/>
                    <w:rPr>
                      <w:color w:val="auto"/>
                      <w:szCs w:val="21"/>
                    </w:rPr>
                  </w:pPr>
                  <w:r>
                    <w:rPr>
                      <w:color w:val="auto"/>
                      <w:szCs w:val="21"/>
                    </w:rPr>
                    <w:t>0.000817</w:t>
                  </w:r>
                </w:p>
              </w:tc>
              <w:tc>
                <w:tcPr>
                  <w:tcW w:w="861" w:type="dxa"/>
                  <w:noWrap w:val="0"/>
                  <w:tcMar>
                    <w:top w:w="12" w:type="dxa"/>
                    <w:left w:w="12" w:type="dxa"/>
                    <w:right w:w="12" w:type="dxa"/>
                  </w:tcMar>
                  <w:vAlign w:val="center"/>
                </w:tcPr>
                <w:p>
                  <w:pPr>
                    <w:jc w:val="center"/>
                    <w:rPr>
                      <w:color w:val="auto"/>
                      <w:szCs w:val="21"/>
                    </w:rPr>
                  </w:pPr>
                  <w:r>
                    <w:rPr>
                      <w:color w:val="auto"/>
                      <w:szCs w:val="21"/>
                    </w:rPr>
                    <w:t>0.0544</w:t>
                  </w:r>
                </w:p>
              </w:tc>
              <w:tc>
                <w:tcPr>
                  <w:tcW w:w="795" w:type="dxa"/>
                  <w:vMerge w:val="restart"/>
                  <w:noWrap w:val="0"/>
                  <w:tcMar>
                    <w:top w:w="12" w:type="dxa"/>
                    <w:left w:w="12" w:type="dxa"/>
                    <w:right w:w="12" w:type="dxa"/>
                  </w:tcMar>
                  <w:vAlign w:val="center"/>
                </w:tcPr>
                <w:p>
                  <w:pPr>
                    <w:widowControl/>
                    <w:jc w:val="center"/>
                    <w:textAlignment w:val="center"/>
                    <w:rPr>
                      <w:rFonts w:hint="default"/>
                      <w:color w:val="auto"/>
                      <w:lang w:val="en-US"/>
                    </w:rPr>
                  </w:pPr>
                  <w:r>
                    <w:rPr>
                      <w:rFonts w:hint="eastAsia"/>
                      <w:color w:val="auto"/>
                      <w:lang w:val="en-US" w:eastAsia="zh-CN"/>
                    </w:rPr>
                    <w:t>DA010</w:t>
                  </w:r>
                </w:p>
              </w:tc>
              <w:tc>
                <w:tcPr>
                  <w:tcW w:w="799"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20</w:t>
                  </w:r>
                </w:p>
              </w:tc>
              <w:tc>
                <w:tcPr>
                  <w:tcW w:w="658"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0.8</w:t>
                  </w:r>
                </w:p>
              </w:tc>
              <w:tc>
                <w:tcPr>
                  <w:tcW w:w="649"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eastAsia="zh-CN"/>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591" w:type="dxa"/>
                  <w:vMerge w:val="continue"/>
                  <w:noWrap w:val="0"/>
                  <w:tcMar>
                    <w:top w:w="12" w:type="dxa"/>
                    <w:left w:w="12" w:type="dxa"/>
                    <w:right w:w="12" w:type="dxa"/>
                  </w:tcMar>
                  <w:vAlign w:val="center"/>
                </w:tcPr>
                <w:p>
                  <w:pPr>
                    <w:widowControl/>
                    <w:jc w:val="center"/>
                    <w:textAlignment w:val="center"/>
                    <w:rPr>
                      <w:color w:val="auto"/>
                    </w:rPr>
                  </w:pPr>
                </w:p>
              </w:tc>
              <w:tc>
                <w:tcPr>
                  <w:tcW w:w="537" w:type="dxa"/>
                  <w:vMerge w:val="continue"/>
                  <w:noWrap w:val="0"/>
                  <w:tcMar>
                    <w:top w:w="12" w:type="dxa"/>
                    <w:left w:w="12" w:type="dxa"/>
                    <w:right w:w="12" w:type="dxa"/>
                  </w:tcMar>
                  <w:vAlign w:val="center"/>
                </w:tcPr>
                <w:p>
                  <w:pPr>
                    <w:jc w:val="center"/>
                    <w:rPr>
                      <w:rFonts w:hint="eastAsia"/>
                      <w:color w:val="auto"/>
                    </w:rPr>
                  </w:pPr>
                </w:p>
              </w:tc>
              <w:tc>
                <w:tcPr>
                  <w:tcW w:w="537" w:type="dxa"/>
                  <w:noWrap w:val="0"/>
                  <w:tcMar>
                    <w:top w:w="12" w:type="dxa"/>
                    <w:left w:w="12" w:type="dxa"/>
                    <w:right w:w="12" w:type="dxa"/>
                  </w:tcMar>
                  <w:vAlign w:val="center"/>
                </w:tcPr>
                <w:p>
                  <w:pPr>
                    <w:jc w:val="center"/>
                    <w:rPr>
                      <w:rFonts w:hint="eastAsia" w:eastAsia="宋体"/>
                      <w:color w:val="auto"/>
                      <w:lang w:eastAsia="zh-CN"/>
                    </w:rPr>
                  </w:pPr>
                  <w:r>
                    <w:rPr>
                      <w:rFonts w:hint="eastAsia"/>
                      <w:color w:val="auto"/>
                      <w:lang w:eastAsia="zh-CN"/>
                    </w:rPr>
                    <w:t>扩建后全厂</w:t>
                  </w:r>
                </w:p>
              </w:tc>
              <w:tc>
                <w:tcPr>
                  <w:tcW w:w="707" w:type="dxa"/>
                  <w:noWrap w:val="0"/>
                  <w:tcMar>
                    <w:top w:w="12" w:type="dxa"/>
                    <w:left w:w="12" w:type="dxa"/>
                    <w:right w:w="12" w:type="dxa"/>
                  </w:tcMar>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0.4686</w:t>
                  </w:r>
                </w:p>
              </w:tc>
              <w:tc>
                <w:tcPr>
                  <w:tcW w:w="812" w:type="dxa"/>
                  <w:noWrap w:val="0"/>
                  <w:tcMar>
                    <w:top w:w="12" w:type="dxa"/>
                    <w:left w:w="12" w:type="dxa"/>
                    <w:right w:w="12" w:type="dxa"/>
                  </w:tcMar>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0.05617</w:t>
                  </w:r>
                </w:p>
              </w:tc>
              <w:tc>
                <w:tcPr>
                  <w:tcW w:w="746" w:type="dxa"/>
                  <w:noWrap w:val="0"/>
                  <w:tcMar>
                    <w:top w:w="12" w:type="dxa"/>
                    <w:left w:w="12" w:type="dxa"/>
                    <w:right w:w="12" w:type="dxa"/>
                  </w:tcMar>
                  <w:vAlign w:val="center"/>
                </w:tcPr>
                <w:p>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3.744</w:t>
                  </w:r>
                </w:p>
              </w:tc>
              <w:tc>
                <w:tcPr>
                  <w:tcW w:w="534" w:type="dxa"/>
                  <w:vMerge w:val="continue"/>
                  <w:noWrap w:val="0"/>
                  <w:tcMar>
                    <w:top w:w="12" w:type="dxa"/>
                    <w:left w:w="12" w:type="dxa"/>
                    <w:right w:w="12" w:type="dxa"/>
                  </w:tcMar>
                  <w:vAlign w:val="center"/>
                </w:tcPr>
                <w:p>
                  <w:pPr>
                    <w:jc w:val="center"/>
                    <w:rPr>
                      <w:rFonts w:hint="eastAsia" w:ascii="Times New Roman" w:hAnsi="Times New Roman" w:eastAsia="宋体" w:cs="Times New Roman"/>
                      <w:color w:val="auto"/>
                      <w:szCs w:val="21"/>
                    </w:rPr>
                  </w:pPr>
                </w:p>
              </w:tc>
              <w:tc>
                <w:tcPr>
                  <w:tcW w:w="2214" w:type="dxa"/>
                  <w:vMerge w:val="continue"/>
                  <w:noWrap w:val="0"/>
                  <w:tcMar>
                    <w:top w:w="12" w:type="dxa"/>
                    <w:left w:w="12" w:type="dxa"/>
                    <w:right w:w="12" w:type="dxa"/>
                  </w:tcMar>
                  <w:vAlign w:val="center"/>
                </w:tcPr>
                <w:p>
                  <w:pPr>
                    <w:widowControl/>
                    <w:jc w:val="center"/>
                    <w:textAlignment w:val="center"/>
                    <w:rPr>
                      <w:color w:val="auto"/>
                    </w:rPr>
                  </w:pPr>
                </w:p>
              </w:tc>
              <w:tc>
                <w:tcPr>
                  <w:tcW w:w="723" w:type="dxa"/>
                  <w:vMerge w:val="continue"/>
                  <w:noWrap w:val="0"/>
                  <w:tcMar>
                    <w:top w:w="12" w:type="dxa"/>
                    <w:left w:w="12" w:type="dxa"/>
                    <w:right w:w="12" w:type="dxa"/>
                  </w:tcMar>
                  <w:vAlign w:val="center"/>
                </w:tcPr>
                <w:p>
                  <w:pPr>
                    <w:widowControl/>
                    <w:jc w:val="center"/>
                    <w:textAlignment w:val="center"/>
                    <w:rPr>
                      <w:color w:val="auto"/>
                    </w:rPr>
                  </w:pPr>
                </w:p>
              </w:tc>
              <w:tc>
                <w:tcPr>
                  <w:tcW w:w="504" w:type="dxa"/>
                  <w:vMerge w:val="continue"/>
                  <w:noWrap w:val="0"/>
                  <w:tcMar>
                    <w:top w:w="12" w:type="dxa"/>
                    <w:left w:w="12" w:type="dxa"/>
                    <w:right w:w="12" w:type="dxa"/>
                  </w:tcMar>
                  <w:vAlign w:val="center"/>
                </w:tcPr>
                <w:p>
                  <w:pPr>
                    <w:widowControl/>
                    <w:jc w:val="center"/>
                    <w:textAlignment w:val="center"/>
                    <w:rPr>
                      <w:color w:val="auto"/>
                    </w:rPr>
                  </w:pPr>
                </w:p>
              </w:tc>
              <w:tc>
                <w:tcPr>
                  <w:tcW w:w="627" w:type="dxa"/>
                  <w:vMerge w:val="continue"/>
                  <w:noWrap w:val="0"/>
                  <w:tcMar>
                    <w:top w:w="12" w:type="dxa"/>
                    <w:left w:w="12" w:type="dxa"/>
                    <w:right w:w="12" w:type="dxa"/>
                  </w:tcMar>
                  <w:vAlign w:val="center"/>
                </w:tcPr>
                <w:p>
                  <w:pPr>
                    <w:jc w:val="center"/>
                    <w:rPr>
                      <w:color w:val="auto"/>
                    </w:rPr>
                  </w:pPr>
                </w:p>
              </w:tc>
              <w:tc>
                <w:tcPr>
                  <w:tcW w:w="765" w:type="dxa"/>
                  <w:vMerge w:val="continue"/>
                  <w:noWrap w:val="0"/>
                  <w:tcMar>
                    <w:top w:w="12" w:type="dxa"/>
                    <w:left w:w="12" w:type="dxa"/>
                    <w:right w:w="12" w:type="dxa"/>
                  </w:tcMar>
                  <w:vAlign w:val="center"/>
                </w:tcPr>
                <w:p>
                  <w:pPr>
                    <w:widowControl/>
                    <w:jc w:val="center"/>
                    <w:textAlignment w:val="center"/>
                    <w:rPr>
                      <w:color w:val="auto"/>
                    </w:rPr>
                  </w:pPr>
                </w:p>
              </w:tc>
              <w:tc>
                <w:tcPr>
                  <w:tcW w:w="917" w:type="dxa"/>
                  <w:noWrap w:val="0"/>
                  <w:tcMar>
                    <w:top w:w="12" w:type="dxa"/>
                    <w:left w:w="12" w:type="dxa"/>
                    <w:right w:w="12" w:type="dxa"/>
                  </w:tcMar>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0.04606</w:t>
                  </w:r>
                </w:p>
              </w:tc>
              <w:tc>
                <w:tcPr>
                  <w:tcW w:w="1023" w:type="dxa"/>
                  <w:noWrap w:val="0"/>
                  <w:tcMar>
                    <w:top w:w="12" w:type="dxa"/>
                    <w:left w:w="12" w:type="dxa"/>
                    <w:right w:w="12" w:type="dxa"/>
                  </w:tcMar>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0.005817</w:t>
                  </w:r>
                </w:p>
              </w:tc>
              <w:tc>
                <w:tcPr>
                  <w:tcW w:w="861" w:type="dxa"/>
                  <w:noWrap w:val="0"/>
                  <w:tcMar>
                    <w:top w:w="12" w:type="dxa"/>
                    <w:left w:w="12" w:type="dxa"/>
                    <w:right w:w="12" w:type="dxa"/>
                  </w:tcMar>
                  <w:vAlign w:val="center"/>
                </w:tcPr>
                <w:p>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0.387</w:t>
                  </w:r>
                </w:p>
              </w:tc>
              <w:tc>
                <w:tcPr>
                  <w:tcW w:w="795" w:type="dxa"/>
                  <w:vMerge w:val="continue"/>
                  <w:noWrap w:val="0"/>
                  <w:tcMar>
                    <w:top w:w="12" w:type="dxa"/>
                    <w:left w:w="12" w:type="dxa"/>
                    <w:right w:w="12" w:type="dxa"/>
                  </w:tcMar>
                  <w:vAlign w:val="center"/>
                </w:tcPr>
                <w:p>
                  <w:pPr>
                    <w:widowControl/>
                    <w:jc w:val="center"/>
                    <w:textAlignment w:val="center"/>
                    <w:rPr>
                      <w:rFonts w:hint="eastAsia"/>
                      <w:color w:val="auto"/>
                      <w:lang w:val="en-US" w:eastAsia="zh-CN"/>
                    </w:rPr>
                  </w:pPr>
                </w:p>
              </w:tc>
              <w:tc>
                <w:tcPr>
                  <w:tcW w:w="799" w:type="dxa"/>
                  <w:vMerge w:val="continue"/>
                  <w:noWrap w:val="0"/>
                  <w:tcMar>
                    <w:top w:w="12" w:type="dxa"/>
                    <w:left w:w="12" w:type="dxa"/>
                    <w:right w:w="12" w:type="dxa"/>
                  </w:tcMar>
                  <w:vAlign w:val="center"/>
                </w:tcPr>
                <w:p>
                  <w:pPr>
                    <w:widowControl/>
                    <w:jc w:val="center"/>
                    <w:textAlignment w:val="center"/>
                    <w:rPr>
                      <w:rFonts w:hint="eastAsia"/>
                      <w:color w:val="auto"/>
                      <w:lang w:val="en-US" w:eastAsia="zh-CN"/>
                    </w:rPr>
                  </w:pPr>
                </w:p>
              </w:tc>
              <w:tc>
                <w:tcPr>
                  <w:tcW w:w="658" w:type="dxa"/>
                  <w:vMerge w:val="continue"/>
                  <w:noWrap w:val="0"/>
                  <w:tcMar>
                    <w:top w:w="12" w:type="dxa"/>
                    <w:left w:w="12" w:type="dxa"/>
                    <w:right w:w="12" w:type="dxa"/>
                  </w:tcMar>
                  <w:vAlign w:val="center"/>
                </w:tcPr>
                <w:p>
                  <w:pPr>
                    <w:widowControl/>
                    <w:jc w:val="center"/>
                    <w:textAlignment w:val="center"/>
                    <w:rPr>
                      <w:rFonts w:hint="eastAsia"/>
                      <w:color w:val="auto"/>
                      <w:lang w:val="en-US" w:eastAsia="zh-CN"/>
                    </w:rPr>
                  </w:pPr>
                </w:p>
              </w:tc>
              <w:tc>
                <w:tcPr>
                  <w:tcW w:w="649" w:type="dxa"/>
                  <w:vMerge w:val="continue"/>
                  <w:noWrap w:val="0"/>
                  <w:tcMar>
                    <w:top w:w="12" w:type="dxa"/>
                    <w:left w:w="12" w:type="dxa"/>
                    <w:right w:w="12" w:type="dxa"/>
                  </w:tcMar>
                  <w:vAlign w:val="center"/>
                </w:tcPr>
                <w:p>
                  <w:pPr>
                    <w:widowControl/>
                    <w:jc w:val="center"/>
                    <w:textAlignment w:val="center"/>
                    <w:rPr>
                      <w:rFonts w:hint="eastAsia"/>
                      <w:color w:val="auto"/>
                      <w:lang w:eastAsia="zh-CN"/>
                    </w:rPr>
                  </w:pPr>
                </w:p>
              </w:tc>
            </w:tr>
          </w:tbl>
          <w:p>
            <w:pPr>
              <w:widowControl/>
              <w:numPr>
                <w:ilvl w:val="0"/>
                <w:numId w:val="2"/>
              </w:numPr>
              <w:jc w:val="center"/>
              <w:rPr>
                <w:b/>
                <w:color w:val="auto"/>
              </w:rPr>
            </w:pPr>
            <w:r>
              <w:rPr>
                <w:rFonts w:hint="eastAsia"/>
                <w:b/>
                <w:color w:val="auto"/>
                <w:kern w:val="0"/>
                <w:szCs w:val="21"/>
              </w:rPr>
              <w:t>项目</w:t>
            </w:r>
            <w:r>
              <w:rPr>
                <w:b/>
                <w:color w:val="auto"/>
                <w:kern w:val="0"/>
                <w:szCs w:val="21"/>
              </w:rPr>
              <w:t>有组织废气</w:t>
            </w:r>
            <w:r>
              <w:rPr>
                <w:rFonts w:hint="eastAsia"/>
                <w:b/>
                <w:color w:val="auto"/>
                <w:kern w:val="0"/>
                <w:szCs w:val="21"/>
              </w:rPr>
              <w:t>收集措施及风量核算一览表</w:t>
            </w:r>
          </w:p>
          <w:tbl>
            <w:tblPr>
              <w:tblStyle w:val="20"/>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375"/>
              <w:gridCol w:w="2110"/>
              <w:gridCol w:w="1724"/>
              <w:gridCol w:w="1385"/>
              <w:gridCol w:w="1142"/>
              <w:gridCol w:w="1355"/>
              <w:gridCol w:w="764"/>
              <w:gridCol w:w="1526"/>
              <w:gridCol w:w="1109"/>
              <w:gridCol w:w="1109"/>
              <w:gridCol w:w="13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777" w:hRule="atLeast"/>
                <w:jc w:val="center"/>
              </w:trPr>
              <w:tc>
                <w:tcPr>
                  <w:tcW w:w="1375" w:type="dxa"/>
                  <w:noWrap w:val="0"/>
                  <w:vAlign w:val="center"/>
                </w:tcPr>
                <w:p>
                  <w:pPr>
                    <w:adjustRightInd w:val="0"/>
                    <w:snapToGrid w:val="0"/>
                    <w:jc w:val="center"/>
                    <w:rPr>
                      <w:b/>
                      <w:bCs/>
                      <w:color w:val="auto"/>
                      <w:szCs w:val="21"/>
                    </w:rPr>
                  </w:pPr>
                  <w:r>
                    <w:rPr>
                      <w:rFonts w:hAnsi="宋体"/>
                      <w:b/>
                      <w:bCs/>
                      <w:color w:val="auto"/>
                      <w:szCs w:val="21"/>
                    </w:rPr>
                    <w:t>车间</w:t>
                  </w:r>
                </w:p>
              </w:tc>
              <w:tc>
                <w:tcPr>
                  <w:tcW w:w="2110" w:type="dxa"/>
                  <w:noWrap w:val="0"/>
                  <w:vAlign w:val="center"/>
                </w:tcPr>
                <w:p>
                  <w:pPr>
                    <w:adjustRightInd w:val="0"/>
                    <w:snapToGrid w:val="0"/>
                    <w:jc w:val="center"/>
                    <w:rPr>
                      <w:rFonts w:hint="eastAsia"/>
                      <w:b/>
                      <w:bCs/>
                      <w:color w:val="auto"/>
                      <w:szCs w:val="21"/>
                    </w:rPr>
                  </w:pPr>
                  <w:r>
                    <w:rPr>
                      <w:rFonts w:hAnsi="宋体"/>
                      <w:b/>
                      <w:bCs/>
                      <w:color w:val="auto"/>
                      <w:szCs w:val="21"/>
                    </w:rPr>
                    <w:t>生产线</w:t>
                  </w:r>
                  <w:r>
                    <w:rPr>
                      <w:rFonts w:hint="eastAsia" w:hAnsi="宋体"/>
                      <w:b/>
                      <w:bCs/>
                      <w:color w:val="auto"/>
                      <w:szCs w:val="21"/>
                    </w:rPr>
                    <w:t>/设备</w:t>
                  </w:r>
                </w:p>
              </w:tc>
              <w:tc>
                <w:tcPr>
                  <w:tcW w:w="1724" w:type="dxa"/>
                  <w:noWrap w:val="0"/>
                  <w:vAlign w:val="center"/>
                </w:tcPr>
                <w:p>
                  <w:pPr>
                    <w:adjustRightInd w:val="0"/>
                    <w:snapToGrid w:val="0"/>
                    <w:jc w:val="center"/>
                    <w:rPr>
                      <w:rFonts w:hint="eastAsia"/>
                      <w:b/>
                      <w:bCs/>
                      <w:color w:val="auto"/>
                      <w:szCs w:val="21"/>
                    </w:rPr>
                  </w:pPr>
                  <w:r>
                    <w:rPr>
                      <w:rFonts w:hint="eastAsia"/>
                      <w:b/>
                      <w:bCs/>
                      <w:color w:val="auto"/>
                      <w:szCs w:val="21"/>
                    </w:rPr>
                    <w:t>单套设备/单间密闭房间内部体积</w:t>
                  </w:r>
                </w:p>
              </w:tc>
              <w:tc>
                <w:tcPr>
                  <w:tcW w:w="1385" w:type="dxa"/>
                  <w:noWrap w:val="0"/>
                  <w:vAlign w:val="center"/>
                </w:tcPr>
                <w:p>
                  <w:pPr>
                    <w:adjustRightInd w:val="0"/>
                    <w:snapToGrid w:val="0"/>
                    <w:jc w:val="center"/>
                    <w:rPr>
                      <w:b/>
                      <w:bCs/>
                      <w:color w:val="auto"/>
                      <w:szCs w:val="21"/>
                      <w:lang w:val="de-DE"/>
                    </w:rPr>
                  </w:pPr>
                  <w:r>
                    <w:rPr>
                      <w:rFonts w:hAnsi="宋体"/>
                      <w:b/>
                      <w:bCs/>
                      <w:color w:val="auto"/>
                      <w:szCs w:val="21"/>
                    </w:rPr>
                    <w:t>产污工序</w:t>
                  </w:r>
                </w:p>
              </w:tc>
              <w:tc>
                <w:tcPr>
                  <w:tcW w:w="1142" w:type="dxa"/>
                  <w:noWrap w:val="0"/>
                  <w:vAlign w:val="center"/>
                </w:tcPr>
                <w:p>
                  <w:pPr>
                    <w:adjustRightInd w:val="0"/>
                    <w:snapToGrid w:val="0"/>
                    <w:jc w:val="center"/>
                    <w:rPr>
                      <w:b/>
                      <w:bCs/>
                      <w:color w:val="auto"/>
                      <w:szCs w:val="21"/>
                    </w:rPr>
                  </w:pPr>
                  <w:r>
                    <w:rPr>
                      <w:b/>
                      <w:bCs/>
                      <w:color w:val="auto"/>
                      <w:szCs w:val="21"/>
                    </w:rPr>
                    <w:t>废气收集</w:t>
                  </w:r>
                </w:p>
                <w:p>
                  <w:pPr>
                    <w:adjustRightInd w:val="0"/>
                    <w:snapToGrid w:val="0"/>
                    <w:jc w:val="center"/>
                    <w:rPr>
                      <w:b/>
                      <w:bCs/>
                      <w:color w:val="auto"/>
                      <w:szCs w:val="21"/>
                    </w:rPr>
                  </w:pPr>
                  <w:r>
                    <w:rPr>
                      <w:b/>
                      <w:bCs/>
                      <w:color w:val="auto"/>
                      <w:szCs w:val="21"/>
                    </w:rPr>
                    <w:t>位置</w:t>
                  </w:r>
                </w:p>
              </w:tc>
              <w:tc>
                <w:tcPr>
                  <w:tcW w:w="1355" w:type="dxa"/>
                  <w:noWrap w:val="0"/>
                  <w:vAlign w:val="center"/>
                </w:tcPr>
                <w:p>
                  <w:pPr>
                    <w:adjustRightInd w:val="0"/>
                    <w:snapToGrid w:val="0"/>
                    <w:jc w:val="center"/>
                    <w:rPr>
                      <w:b/>
                      <w:bCs/>
                      <w:color w:val="auto"/>
                      <w:szCs w:val="21"/>
                    </w:rPr>
                  </w:pPr>
                  <w:r>
                    <w:rPr>
                      <w:rFonts w:hAnsi="宋体"/>
                      <w:b/>
                      <w:bCs/>
                      <w:color w:val="auto"/>
                      <w:szCs w:val="21"/>
                    </w:rPr>
                    <w:t>收集方式</w:t>
                  </w:r>
                </w:p>
              </w:tc>
              <w:tc>
                <w:tcPr>
                  <w:tcW w:w="764" w:type="dxa"/>
                  <w:noWrap w:val="0"/>
                  <w:vAlign w:val="center"/>
                </w:tcPr>
                <w:p>
                  <w:pPr>
                    <w:adjustRightInd w:val="0"/>
                    <w:snapToGrid w:val="0"/>
                    <w:jc w:val="center"/>
                    <w:rPr>
                      <w:rFonts w:hint="eastAsia" w:hAnsi="宋体"/>
                      <w:b/>
                      <w:bCs/>
                      <w:color w:val="auto"/>
                      <w:szCs w:val="21"/>
                    </w:rPr>
                  </w:pPr>
                  <w:r>
                    <w:rPr>
                      <w:rFonts w:hint="eastAsia" w:hAnsi="宋体"/>
                      <w:b/>
                      <w:bCs/>
                      <w:color w:val="auto"/>
                      <w:szCs w:val="21"/>
                    </w:rPr>
                    <w:t>换气</w:t>
                  </w:r>
                </w:p>
                <w:p>
                  <w:pPr>
                    <w:adjustRightInd w:val="0"/>
                    <w:snapToGrid w:val="0"/>
                    <w:jc w:val="center"/>
                    <w:rPr>
                      <w:rFonts w:hint="eastAsia" w:hAnsi="宋体"/>
                      <w:b/>
                      <w:bCs/>
                      <w:color w:val="auto"/>
                      <w:szCs w:val="21"/>
                    </w:rPr>
                  </w:pPr>
                  <w:r>
                    <w:rPr>
                      <w:rFonts w:hint="eastAsia" w:hAnsi="宋体"/>
                      <w:b/>
                      <w:bCs/>
                      <w:color w:val="auto"/>
                      <w:szCs w:val="21"/>
                    </w:rPr>
                    <w:t>次数</w:t>
                  </w:r>
                </w:p>
              </w:tc>
              <w:tc>
                <w:tcPr>
                  <w:tcW w:w="1526" w:type="dxa"/>
                  <w:noWrap w:val="0"/>
                  <w:vAlign w:val="center"/>
                </w:tcPr>
                <w:p>
                  <w:pPr>
                    <w:adjustRightInd w:val="0"/>
                    <w:snapToGrid w:val="0"/>
                    <w:jc w:val="center"/>
                    <w:rPr>
                      <w:rFonts w:hint="eastAsia" w:hAnsi="宋体"/>
                      <w:b/>
                      <w:bCs/>
                      <w:color w:val="auto"/>
                      <w:szCs w:val="21"/>
                    </w:rPr>
                  </w:pPr>
                  <w:r>
                    <w:rPr>
                      <w:rFonts w:hint="eastAsia" w:hAnsi="宋体"/>
                      <w:b/>
                      <w:bCs/>
                      <w:color w:val="auto"/>
                      <w:szCs w:val="21"/>
                    </w:rPr>
                    <w:t>单台设备/房间设置</w:t>
                  </w:r>
                  <w:r>
                    <w:rPr>
                      <w:rFonts w:hAnsi="宋体"/>
                      <w:b/>
                      <w:bCs/>
                      <w:color w:val="auto"/>
                      <w:szCs w:val="21"/>
                    </w:rPr>
                    <w:t>风量</w:t>
                  </w:r>
                </w:p>
                <w:p>
                  <w:pPr>
                    <w:adjustRightInd w:val="0"/>
                    <w:snapToGrid w:val="0"/>
                    <w:jc w:val="center"/>
                    <w:rPr>
                      <w:rFonts w:hint="eastAsia" w:hAnsi="宋体"/>
                      <w:b/>
                      <w:bCs/>
                      <w:color w:val="auto"/>
                      <w:szCs w:val="21"/>
                    </w:rPr>
                  </w:pPr>
                  <w:r>
                    <w:rPr>
                      <w:rFonts w:hAnsi="宋体"/>
                      <w:b/>
                      <w:bCs/>
                      <w:color w:val="auto"/>
                      <w:szCs w:val="21"/>
                    </w:rPr>
                    <w:t>（m</w:t>
                  </w:r>
                  <w:r>
                    <w:rPr>
                      <w:rFonts w:hAnsi="宋体"/>
                      <w:b/>
                      <w:bCs/>
                      <w:color w:val="auto"/>
                      <w:szCs w:val="21"/>
                      <w:vertAlign w:val="superscript"/>
                    </w:rPr>
                    <w:t>3</w:t>
                  </w:r>
                  <w:r>
                    <w:rPr>
                      <w:rFonts w:hAnsi="宋体"/>
                      <w:b/>
                      <w:bCs/>
                      <w:color w:val="auto"/>
                      <w:szCs w:val="21"/>
                    </w:rPr>
                    <w:t>/h</w:t>
                  </w:r>
                  <w:r>
                    <w:rPr>
                      <w:rFonts w:hint="eastAsia" w:hAnsi="宋体"/>
                      <w:b/>
                      <w:bCs/>
                      <w:color w:val="auto"/>
                      <w:szCs w:val="21"/>
                    </w:rPr>
                    <w:t>）</w:t>
                  </w:r>
                </w:p>
              </w:tc>
              <w:tc>
                <w:tcPr>
                  <w:tcW w:w="1109" w:type="dxa"/>
                  <w:noWrap w:val="0"/>
                  <w:vAlign w:val="top"/>
                </w:tcPr>
                <w:p>
                  <w:pPr>
                    <w:adjustRightInd w:val="0"/>
                    <w:snapToGrid w:val="0"/>
                    <w:jc w:val="center"/>
                    <w:rPr>
                      <w:rFonts w:hint="eastAsia" w:hAnsi="宋体"/>
                      <w:b/>
                      <w:bCs/>
                      <w:color w:val="auto"/>
                      <w:szCs w:val="21"/>
                    </w:rPr>
                  </w:pPr>
                  <w:r>
                    <w:rPr>
                      <w:rFonts w:hint="eastAsia" w:hAnsi="宋体"/>
                      <w:b/>
                      <w:bCs/>
                      <w:color w:val="auto"/>
                      <w:szCs w:val="21"/>
                    </w:rPr>
                    <w:t>需要总</w:t>
                  </w:r>
                  <w:r>
                    <w:rPr>
                      <w:rFonts w:hAnsi="宋体"/>
                      <w:b/>
                      <w:bCs/>
                      <w:color w:val="auto"/>
                      <w:szCs w:val="21"/>
                    </w:rPr>
                    <w:t>风量</w:t>
                  </w:r>
                </w:p>
                <w:p>
                  <w:pPr>
                    <w:adjustRightInd w:val="0"/>
                    <w:snapToGrid w:val="0"/>
                    <w:jc w:val="center"/>
                    <w:rPr>
                      <w:rFonts w:hint="eastAsia" w:hAnsi="宋体"/>
                      <w:b/>
                      <w:bCs/>
                      <w:color w:val="auto"/>
                      <w:szCs w:val="21"/>
                    </w:rPr>
                  </w:pPr>
                  <w:r>
                    <w:rPr>
                      <w:rFonts w:hAnsi="宋体"/>
                      <w:b/>
                      <w:bCs/>
                      <w:color w:val="auto"/>
                      <w:szCs w:val="21"/>
                    </w:rPr>
                    <w:t>（m</w:t>
                  </w:r>
                  <w:r>
                    <w:rPr>
                      <w:rFonts w:hAnsi="宋体"/>
                      <w:b/>
                      <w:bCs/>
                      <w:color w:val="auto"/>
                      <w:szCs w:val="21"/>
                      <w:vertAlign w:val="superscript"/>
                    </w:rPr>
                    <w:t>3</w:t>
                  </w:r>
                  <w:r>
                    <w:rPr>
                      <w:rFonts w:hAnsi="宋体"/>
                      <w:b/>
                      <w:bCs/>
                      <w:color w:val="auto"/>
                      <w:szCs w:val="21"/>
                    </w:rPr>
                    <w:t>/h</w:t>
                  </w:r>
                  <w:r>
                    <w:rPr>
                      <w:rFonts w:hint="eastAsia" w:hAnsi="宋体"/>
                      <w:b/>
                      <w:bCs/>
                      <w:color w:val="auto"/>
                      <w:szCs w:val="21"/>
                    </w:rPr>
                    <w:t>）</w:t>
                  </w:r>
                </w:p>
              </w:tc>
              <w:tc>
                <w:tcPr>
                  <w:tcW w:w="1109" w:type="dxa"/>
                  <w:noWrap w:val="0"/>
                  <w:vAlign w:val="center"/>
                </w:tcPr>
                <w:p>
                  <w:pPr>
                    <w:adjustRightInd w:val="0"/>
                    <w:snapToGrid w:val="0"/>
                    <w:jc w:val="center"/>
                    <w:rPr>
                      <w:rFonts w:hint="eastAsia" w:hAnsi="宋体"/>
                      <w:b/>
                      <w:bCs/>
                      <w:color w:val="auto"/>
                      <w:szCs w:val="21"/>
                    </w:rPr>
                  </w:pPr>
                  <w:r>
                    <w:rPr>
                      <w:rFonts w:hint="eastAsia" w:hAnsi="宋体"/>
                      <w:b/>
                      <w:bCs/>
                      <w:color w:val="auto"/>
                      <w:szCs w:val="21"/>
                    </w:rPr>
                    <w:t>设置总</w:t>
                  </w:r>
                  <w:r>
                    <w:rPr>
                      <w:rFonts w:hAnsi="宋体"/>
                      <w:b/>
                      <w:bCs/>
                      <w:color w:val="auto"/>
                      <w:szCs w:val="21"/>
                    </w:rPr>
                    <w:t>风量</w:t>
                  </w:r>
                </w:p>
                <w:p>
                  <w:pPr>
                    <w:adjustRightInd w:val="0"/>
                    <w:snapToGrid w:val="0"/>
                    <w:rPr>
                      <w:rFonts w:hAnsi="宋体"/>
                      <w:b/>
                      <w:bCs/>
                      <w:color w:val="auto"/>
                      <w:szCs w:val="21"/>
                    </w:rPr>
                  </w:pPr>
                  <w:r>
                    <w:rPr>
                      <w:rFonts w:hAnsi="宋体"/>
                      <w:b/>
                      <w:bCs/>
                      <w:color w:val="auto"/>
                      <w:szCs w:val="21"/>
                    </w:rPr>
                    <w:t>（m</w:t>
                  </w:r>
                  <w:r>
                    <w:rPr>
                      <w:rFonts w:hAnsi="宋体"/>
                      <w:b/>
                      <w:bCs/>
                      <w:color w:val="auto"/>
                      <w:szCs w:val="21"/>
                      <w:vertAlign w:val="superscript"/>
                    </w:rPr>
                    <w:t>3</w:t>
                  </w:r>
                  <w:r>
                    <w:rPr>
                      <w:rFonts w:hAnsi="宋体"/>
                      <w:b/>
                      <w:bCs/>
                      <w:color w:val="auto"/>
                      <w:szCs w:val="21"/>
                    </w:rPr>
                    <w:t>/h</w:t>
                  </w:r>
                  <w:r>
                    <w:rPr>
                      <w:rFonts w:hint="eastAsia" w:hAnsi="宋体"/>
                      <w:b/>
                      <w:bCs/>
                      <w:color w:val="auto"/>
                      <w:szCs w:val="21"/>
                    </w:rPr>
                    <w:t>）</w:t>
                  </w:r>
                </w:p>
              </w:tc>
              <w:tc>
                <w:tcPr>
                  <w:tcW w:w="1373" w:type="dxa"/>
                  <w:noWrap w:val="0"/>
                  <w:vAlign w:val="center"/>
                </w:tcPr>
                <w:p>
                  <w:pPr>
                    <w:adjustRightInd w:val="0"/>
                    <w:snapToGrid w:val="0"/>
                    <w:jc w:val="center"/>
                    <w:rPr>
                      <w:rFonts w:hint="eastAsia"/>
                      <w:b/>
                      <w:bCs/>
                      <w:color w:val="auto"/>
                      <w:szCs w:val="21"/>
                    </w:rPr>
                  </w:pPr>
                  <w:r>
                    <w:rPr>
                      <w:rFonts w:hint="eastAsia"/>
                      <w:b/>
                      <w:bCs/>
                      <w:color w:val="auto"/>
                      <w:szCs w:val="21"/>
                    </w:rPr>
                    <w:t>排放口编号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80" w:hRule="atLeast"/>
                <w:jc w:val="center"/>
              </w:trPr>
              <w:tc>
                <w:tcPr>
                  <w:tcW w:w="1375" w:type="dxa"/>
                  <w:vMerge w:val="restart"/>
                  <w:noWrap w:val="0"/>
                  <w:vAlign w:val="center"/>
                </w:tcPr>
                <w:p>
                  <w:pPr>
                    <w:adjustRightInd w:val="0"/>
                    <w:snapToGrid w:val="0"/>
                    <w:jc w:val="center"/>
                    <w:rPr>
                      <w:rFonts w:hint="eastAsia" w:hAnsi="宋体"/>
                      <w:b/>
                      <w:bCs/>
                      <w:color w:val="auto"/>
                      <w:szCs w:val="21"/>
                    </w:rPr>
                  </w:pPr>
                  <w:r>
                    <w:rPr>
                      <w:rFonts w:hint="eastAsia" w:hAnsi="宋体"/>
                      <w:color w:val="auto"/>
                      <w:szCs w:val="21"/>
                    </w:rPr>
                    <w:t>智慧工厂</w:t>
                  </w:r>
                </w:p>
              </w:tc>
              <w:tc>
                <w:tcPr>
                  <w:tcW w:w="2110" w:type="dxa"/>
                  <w:noWrap w:val="0"/>
                  <w:vAlign w:val="center"/>
                </w:tcPr>
                <w:p>
                  <w:pPr>
                    <w:adjustRightInd w:val="0"/>
                    <w:snapToGrid w:val="0"/>
                    <w:jc w:val="center"/>
                    <w:rPr>
                      <w:rFonts w:hAnsi="宋体"/>
                      <w:b/>
                      <w:bCs/>
                      <w:color w:val="auto"/>
                      <w:szCs w:val="21"/>
                    </w:rPr>
                  </w:pPr>
                  <w:r>
                    <w:rPr>
                      <w:rFonts w:hint="eastAsia"/>
                      <w:color w:val="auto"/>
                      <w:kern w:val="0"/>
                      <w:szCs w:val="21"/>
                      <w:lang w:val="en-US" w:eastAsia="zh-CN"/>
                    </w:rPr>
                    <w:t>10</w:t>
                  </w:r>
                  <w:r>
                    <w:rPr>
                      <w:rFonts w:hint="eastAsia"/>
                      <w:color w:val="auto"/>
                      <w:kern w:val="0"/>
                      <w:szCs w:val="21"/>
                    </w:rPr>
                    <w:t>台划焊一体机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rPr>
                    <w:t>35.60</w:t>
                  </w:r>
                </w:p>
              </w:tc>
              <w:tc>
                <w:tcPr>
                  <w:tcW w:w="1385" w:type="dxa"/>
                  <w:vMerge w:val="restart"/>
                  <w:noWrap w:val="0"/>
                  <w:vAlign w:val="center"/>
                </w:tcPr>
                <w:p>
                  <w:pPr>
                    <w:adjustRightInd w:val="0"/>
                    <w:snapToGrid w:val="0"/>
                    <w:jc w:val="center"/>
                    <w:rPr>
                      <w:rFonts w:hint="eastAsia" w:hAnsi="宋体"/>
                      <w:bCs/>
                      <w:color w:val="auto"/>
                      <w:szCs w:val="21"/>
                    </w:rPr>
                  </w:pPr>
                  <w:r>
                    <w:rPr>
                      <w:rFonts w:hint="eastAsia" w:hAnsi="宋体"/>
                      <w:bCs/>
                      <w:color w:val="auto"/>
                      <w:szCs w:val="21"/>
                    </w:rPr>
                    <w:t>自动划焊</w:t>
                  </w:r>
                </w:p>
              </w:tc>
              <w:tc>
                <w:tcPr>
                  <w:tcW w:w="1142" w:type="dxa"/>
                  <w:noWrap w:val="0"/>
                  <w:vAlign w:val="center"/>
                </w:tcPr>
                <w:p>
                  <w:pPr>
                    <w:adjustRightInd w:val="0"/>
                    <w:snapToGrid w:val="0"/>
                    <w:jc w:val="center"/>
                    <w:rPr>
                      <w:bCs/>
                      <w:color w:val="auto"/>
                      <w:szCs w:val="21"/>
                    </w:rPr>
                  </w:pPr>
                  <w:r>
                    <w:rPr>
                      <w:rFonts w:hint="eastAsia"/>
                      <w:color w:val="auto"/>
                      <w:szCs w:val="21"/>
                    </w:rPr>
                    <w:t>设备顶部</w:t>
                  </w:r>
                </w:p>
              </w:tc>
              <w:tc>
                <w:tcPr>
                  <w:tcW w:w="1355" w:type="dxa"/>
                  <w:noWrap w:val="0"/>
                  <w:vAlign w:val="center"/>
                </w:tcPr>
                <w:p>
                  <w:pPr>
                    <w:adjustRightInd w:val="0"/>
                    <w:snapToGrid w:val="0"/>
                    <w:jc w:val="center"/>
                    <w:rPr>
                      <w:rFonts w:hAnsi="宋体"/>
                      <w:b/>
                      <w:bCs/>
                      <w:color w:val="auto"/>
                      <w:szCs w:val="21"/>
                    </w:rPr>
                  </w:pPr>
                  <w:r>
                    <w:rPr>
                      <w:color w:val="auto"/>
                      <w:szCs w:val="21"/>
                    </w:rPr>
                    <w:t>集气风管</w:t>
                  </w:r>
                </w:p>
              </w:tc>
              <w:tc>
                <w:tcPr>
                  <w:tcW w:w="764" w:type="dxa"/>
                  <w:noWrap w:val="0"/>
                  <w:vAlign w:val="top"/>
                </w:tcPr>
                <w:p>
                  <w:pPr>
                    <w:adjustRightInd w:val="0"/>
                    <w:snapToGrid w:val="0"/>
                    <w:jc w:val="center"/>
                    <w:rPr>
                      <w:rFonts w:hint="eastAsia" w:hAnsi="宋体"/>
                      <w:color w:val="auto"/>
                      <w:szCs w:val="21"/>
                    </w:rPr>
                  </w:pPr>
                  <w:r>
                    <w:rPr>
                      <w:rFonts w:hint="eastAsia" w:hAnsi="宋体"/>
                      <w:color w:val="auto"/>
                      <w:szCs w:val="21"/>
                    </w:rPr>
                    <w:t>/</w:t>
                  </w:r>
                </w:p>
              </w:tc>
              <w:tc>
                <w:tcPr>
                  <w:tcW w:w="1526" w:type="dxa"/>
                  <w:noWrap w:val="0"/>
                  <w:vAlign w:val="center"/>
                </w:tcPr>
                <w:p>
                  <w:pPr>
                    <w:adjustRightInd w:val="0"/>
                    <w:snapToGrid w:val="0"/>
                    <w:jc w:val="center"/>
                    <w:rPr>
                      <w:rFonts w:hAnsi="宋体"/>
                      <w:color w:val="auto"/>
                      <w:szCs w:val="21"/>
                    </w:rPr>
                  </w:pPr>
                  <w:r>
                    <w:rPr>
                      <w:rFonts w:hint="eastAsia" w:hAnsi="宋体"/>
                      <w:color w:val="auto"/>
                      <w:szCs w:val="21"/>
                      <w:lang w:val="en-US" w:eastAsia="zh-CN"/>
                    </w:rPr>
                    <w:t>3</w:t>
                  </w:r>
                  <w:r>
                    <w:rPr>
                      <w:rFonts w:hAnsi="宋体"/>
                      <w:color w:val="auto"/>
                      <w:szCs w:val="21"/>
                    </w:rPr>
                    <w:t>000</w:t>
                  </w:r>
                </w:p>
              </w:tc>
              <w:tc>
                <w:tcPr>
                  <w:tcW w:w="1109" w:type="dxa"/>
                  <w:vMerge w:val="restart"/>
                  <w:noWrap w:val="0"/>
                  <w:vAlign w:val="center"/>
                </w:tcPr>
                <w:p>
                  <w:pPr>
                    <w:adjustRightInd w:val="0"/>
                    <w:snapToGrid w:val="0"/>
                    <w:jc w:val="center"/>
                    <w:rPr>
                      <w:rFonts w:hint="eastAsia" w:hAnsi="宋体"/>
                      <w:color w:val="auto"/>
                      <w:szCs w:val="21"/>
                      <w:highlight w:val="none"/>
                    </w:rPr>
                  </w:pPr>
                  <w:r>
                    <w:rPr>
                      <w:rFonts w:hint="eastAsia" w:hAnsi="宋体"/>
                      <w:color w:val="auto"/>
                      <w:szCs w:val="21"/>
                      <w:highlight w:val="none"/>
                      <w:lang w:val="en-US" w:eastAsia="zh-CN"/>
                    </w:rPr>
                    <w:t>36</w:t>
                  </w:r>
                  <w:r>
                    <w:rPr>
                      <w:rFonts w:hint="eastAsia" w:hAnsi="宋体"/>
                      <w:color w:val="auto"/>
                      <w:szCs w:val="21"/>
                      <w:highlight w:val="none"/>
                    </w:rPr>
                    <w:t>000</w:t>
                  </w:r>
                </w:p>
              </w:tc>
              <w:tc>
                <w:tcPr>
                  <w:tcW w:w="1109" w:type="dxa"/>
                  <w:vMerge w:val="restart"/>
                  <w:noWrap w:val="0"/>
                  <w:vAlign w:val="center"/>
                </w:tcPr>
                <w:p>
                  <w:pPr>
                    <w:adjustRightInd w:val="0"/>
                    <w:snapToGrid w:val="0"/>
                    <w:jc w:val="center"/>
                    <w:rPr>
                      <w:rFonts w:hAnsi="宋体"/>
                      <w:color w:val="auto"/>
                      <w:szCs w:val="21"/>
                    </w:rPr>
                  </w:pPr>
                  <w:r>
                    <w:rPr>
                      <w:rFonts w:hint="eastAsia" w:hAnsi="宋体"/>
                      <w:color w:val="auto"/>
                      <w:szCs w:val="21"/>
                    </w:rPr>
                    <w:t>50000</w:t>
                  </w:r>
                </w:p>
              </w:tc>
              <w:tc>
                <w:tcPr>
                  <w:tcW w:w="1373" w:type="dxa"/>
                  <w:vMerge w:val="restart"/>
                  <w:noWrap w:val="0"/>
                  <w:vAlign w:val="center"/>
                </w:tcPr>
                <w:p>
                  <w:pPr>
                    <w:adjustRightInd w:val="0"/>
                    <w:snapToGrid w:val="0"/>
                    <w:jc w:val="center"/>
                    <w:rPr>
                      <w:rFonts w:hint="default"/>
                      <w:color w:val="auto"/>
                      <w:szCs w:val="21"/>
                      <w:lang w:val="en-US"/>
                    </w:rPr>
                  </w:pPr>
                  <w:r>
                    <w:rPr>
                      <w:rFonts w:hint="eastAsia"/>
                      <w:color w:val="auto"/>
                      <w:lang w:val="en-US" w:eastAsia="zh-CN"/>
                    </w:rPr>
                    <w:t>DA017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7"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Ansi="宋体"/>
                      <w:b/>
                      <w:bCs/>
                      <w:color w:val="auto"/>
                      <w:szCs w:val="21"/>
                    </w:rPr>
                  </w:pPr>
                  <w:r>
                    <w:rPr>
                      <w:rFonts w:hint="eastAsia"/>
                      <w:color w:val="auto"/>
                      <w:kern w:val="0"/>
                      <w:szCs w:val="21"/>
                    </w:rPr>
                    <w:t>2台汇流条焊接机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lang w:val="en-US" w:eastAsia="zh-CN"/>
                    </w:rPr>
                    <w:t>3</w:t>
                  </w:r>
                  <w:r>
                    <w:rPr>
                      <w:rFonts w:hint="eastAsia"/>
                      <w:bCs/>
                      <w:color w:val="auto"/>
                      <w:szCs w:val="21"/>
                    </w:rPr>
                    <w:t>2.85</w:t>
                  </w:r>
                </w:p>
              </w:tc>
              <w:tc>
                <w:tcPr>
                  <w:tcW w:w="1385" w:type="dxa"/>
                  <w:vMerge w:val="continue"/>
                  <w:noWrap w:val="0"/>
                  <w:vAlign w:val="center"/>
                </w:tcPr>
                <w:p>
                  <w:pPr>
                    <w:adjustRightInd w:val="0"/>
                    <w:snapToGrid w:val="0"/>
                    <w:jc w:val="center"/>
                    <w:rPr>
                      <w:rFonts w:hAnsi="宋体"/>
                      <w:bCs/>
                      <w:color w:val="auto"/>
                      <w:szCs w:val="21"/>
                    </w:rPr>
                  </w:pPr>
                </w:p>
              </w:tc>
              <w:tc>
                <w:tcPr>
                  <w:tcW w:w="1142" w:type="dxa"/>
                  <w:noWrap w:val="0"/>
                  <w:vAlign w:val="center"/>
                </w:tcPr>
                <w:p>
                  <w:pPr>
                    <w:adjustRightInd w:val="0"/>
                    <w:snapToGrid w:val="0"/>
                    <w:jc w:val="center"/>
                    <w:rPr>
                      <w:bCs/>
                      <w:color w:val="auto"/>
                      <w:szCs w:val="21"/>
                    </w:rPr>
                  </w:pPr>
                  <w:r>
                    <w:rPr>
                      <w:rFonts w:hint="eastAsia"/>
                      <w:color w:val="auto"/>
                      <w:szCs w:val="21"/>
                    </w:rPr>
                    <w:t>设备顶部</w:t>
                  </w:r>
                </w:p>
              </w:tc>
              <w:tc>
                <w:tcPr>
                  <w:tcW w:w="1355" w:type="dxa"/>
                  <w:noWrap w:val="0"/>
                  <w:vAlign w:val="center"/>
                </w:tcPr>
                <w:p>
                  <w:pPr>
                    <w:adjustRightInd w:val="0"/>
                    <w:snapToGrid w:val="0"/>
                    <w:jc w:val="center"/>
                    <w:rPr>
                      <w:rFonts w:hAnsi="宋体"/>
                      <w:b/>
                      <w:bCs/>
                      <w:color w:val="auto"/>
                      <w:szCs w:val="21"/>
                    </w:rPr>
                  </w:pPr>
                  <w:r>
                    <w:rPr>
                      <w:color w:val="auto"/>
                      <w:szCs w:val="21"/>
                    </w:rPr>
                    <w:t>集气风管</w:t>
                  </w:r>
                </w:p>
              </w:tc>
              <w:tc>
                <w:tcPr>
                  <w:tcW w:w="764" w:type="dxa"/>
                  <w:noWrap w:val="0"/>
                  <w:vAlign w:val="center"/>
                </w:tcPr>
                <w:p>
                  <w:pPr>
                    <w:jc w:val="center"/>
                    <w:rPr>
                      <w:color w:val="auto"/>
                    </w:rPr>
                  </w:pPr>
                  <w:r>
                    <w:rPr>
                      <w:color w:val="auto"/>
                    </w:rPr>
                    <w:t>/</w:t>
                  </w:r>
                </w:p>
              </w:tc>
              <w:tc>
                <w:tcPr>
                  <w:tcW w:w="1526" w:type="dxa"/>
                  <w:noWrap w:val="0"/>
                  <w:vAlign w:val="center"/>
                </w:tcPr>
                <w:p>
                  <w:pPr>
                    <w:adjustRightInd w:val="0"/>
                    <w:snapToGrid w:val="0"/>
                    <w:jc w:val="center"/>
                    <w:rPr>
                      <w:rFonts w:hAnsi="宋体"/>
                      <w:color w:val="auto"/>
                      <w:szCs w:val="21"/>
                    </w:rPr>
                  </w:pPr>
                  <w:r>
                    <w:rPr>
                      <w:rFonts w:hint="eastAsia" w:hAnsi="宋体"/>
                      <w:color w:val="auto"/>
                      <w:szCs w:val="21"/>
                      <w:lang w:val="en-US" w:eastAsia="zh-CN"/>
                    </w:rPr>
                    <w:t>3</w:t>
                  </w:r>
                  <w:r>
                    <w:rPr>
                      <w:rFonts w:hAnsi="宋体"/>
                      <w:color w:val="auto"/>
                      <w:szCs w:val="21"/>
                    </w:rPr>
                    <w:t>000</w:t>
                  </w:r>
                </w:p>
              </w:tc>
              <w:tc>
                <w:tcPr>
                  <w:tcW w:w="1109" w:type="dxa"/>
                  <w:vMerge w:val="continue"/>
                  <w:noWrap w:val="0"/>
                  <w:vAlign w:val="center"/>
                </w:tcPr>
                <w:p>
                  <w:pPr>
                    <w:adjustRightInd w:val="0"/>
                    <w:snapToGrid w:val="0"/>
                    <w:jc w:val="center"/>
                    <w:rPr>
                      <w:rFonts w:hAnsi="宋体"/>
                      <w:color w:val="auto"/>
                      <w:szCs w:val="21"/>
                      <w:highlight w:val="none"/>
                    </w:rPr>
                  </w:pPr>
                </w:p>
              </w:tc>
              <w:tc>
                <w:tcPr>
                  <w:tcW w:w="1109" w:type="dxa"/>
                  <w:vMerge w:val="continue"/>
                  <w:noWrap w:val="0"/>
                  <w:vAlign w:val="center"/>
                </w:tcPr>
                <w:p>
                  <w:pPr>
                    <w:adjustRightInd w:val="0"/>
                    <w:snapToGrid w:val="0"/>
                    <w:jc w:val="center"/>
                    <w:rPr>
                      <w:rFonts w:hAnsi="宋体"/>
                      <w:color w:val="auto"/>
                      <w:szCs w:val="21"/>
                    </w:rPr>
                  </w:pPr>
                </w:p>
              </w:tc>
              <w:tc>
                <w:tcPr>
                  <w:tcW w:w="1373" w:type="dxa"/>
                  <w:vMerge w:val="continue"/>
                  <w:noWrap w:val="0"/>
                  <w:vAlign w:val="center"/>
                </w:tcPr>
                <w:p>
                  <w:pPr>
                    <w:adjustRightInd w:val="0"/>
                    <w:snapToGrid w:val="0"/>
                    <w:jc w:val="center"/>
                    <w:rPr>
                      <w:rFonts w:hint="eastAsia"/>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7"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Ansi="宋体"/>
                      <w:b/>
                      <w:bCs/>
                      <w:color w:val="auto"/>
                      <w:szCs w:val="21"/>
                    </w:rPr>
                  </w:pPr>
                  <w:r>
                    <w:rPr>
                      <w:rFonts w:hint="eastAsia"/>
                      <w:color w:val="auto"/>
                      <w:kern w:val="0"/>
                      <w:szCs w:val="21"/>
                      <w:lang w:val="en-US" w:eastAsia="zh-CN"/>
                    </w:rPr>
                    <w:t>10</w:t>
                  </w:r>
                  <w:r>
                    <w:rPr>
                      <w:rFonts w:hint="eastAsia"/>
                      <w:color w:val="auto"/>
                      <w:kern w:val="0"/>
                      <w:szCs w:val="21"/>
                    </w:rPr>
                    <w:t>台划焊一体机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rPr>
                    <w:t>35.60</w:t>
                  </w:r>
                </w:p>
              </w:tc>
              <w:tc>
                <w:tcPr>
                  <w:tcW w:w="1385" w:type="dxa"/>
                  <w:vMerge w:val="restart"/>
                  <w:noWrap w:val="0"/>
                  <w:vAlign w:val="center"/>
                </w:tcPr>
                <w:p>
                  <w:pPr>
                    <w:adjustRightInd w:val="0"/>
                    <w:snapToGrid w:val="0"/>
                    <w:jc w:val="center"/>
                    <w:rPr>
                      <w:rFonts w:hAnsi="宋体"/>
                      <w:bCs/>
                      <w:color w:val="auto"/>
                      <w:szCs w:val="21"/>
                    </w:rPr>
                  </w:pPr>
                  <w:r>
                    <w:rPr>
                      <w:rFonts w:hint="eastAsia" w:hAnsi="宋体"/>
                      <w:bCs/>
                      <w:color w:val="auto"/>
                      <w:szCs w:val="21"/>
                    </w:rPr>
                    <w:t>自动划焊</w:t>
                  </w:r>
                </w:p>
              </w:tc>
              <w:tc>
                <w:tcPr>
                  <w:tcW w:w="1142" w:type="dxa"/>
                  <w:noWrap w:val="0"/>
                  <w:vAlign w:val="center"/>
                </w:tcPr>
                <w:p>
                  <w:pPr>
                    <w:jc w:val="center"/>
                    <w:rPr>
                      <w:color w:val="auto"/>
                    </w:rPr>
                  </w:pPr>
                  <w:r>
                    <w:rPr>
                      <w:rFonts w:hint="eastAsia"/>
                      <w:color w:val="auto"/>
                      <w:szCs w:val="21"/>
                    </w:rPr>
                    <w:t>设备顶部</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color w:val="auto"/>
                    </w:rPr>
                    <w:t>/</w:t>
                  </w:r>
                </w:p>
              </w:tc>
              <w:tc>
                <w:tcPr>
                  <w:tcW w:w="1526" w:type="dxa"/>
                  <w:noWrap w:val="0"/>
                  <w:vAlign w:val="center"/>
                </w:tcPr>
                <w:p>
                  <w:pPr>
                    <w:adjustRightInd w:val="0"/>
                    <w:snapToGrid w:val="0"/>
                    <w:jc w:val="center"/>
                    <w:rPr>
                      <w:rFonts w:hint="default" w:hAnsi="宋体"/>
                      <w:color w:val="auto"/>
                      <w:szCs w:val="21"/>
                      <w:lang w:val="en-US"/>
                    </w:rPr>
                  </w:pPr>
                  <w:r>
                    <w:rPr>
                      <w:rFonts w:hint="eastAsia" w:hAnsi="宋体"/>
                      <w:color w:val="auto"/>
                      <w:szCs w:val="21"/>
                      <w:lang w:val="en-US" w:eastAsia="zh-CN"/>
                    </w:rPr>
                    <w:t>3000</w:t>
                  </w:r>
                </w:p>
              </w:tc>
              <w:tc>
                <w:tcPr>
                  <w:tcW w:w="1109" w:type="dxa"/>
                  <w:vMerge w:val="restart"/>
                  <w:noWrap w:val="0"/>
                  <w:vAlign w:val="center"/>
                </w:tcPr>
                <w:p>
                  <w:pPr>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36000</w:t>
                  </w:r>
                </w:p>
              </w:tc>
              <w:tc>
                <w:tcPr>
                  <w:tcW w:w="1109" w:type="dxa"/>
                  <w:vMerge w:val="restart"/>
                  <w:noWrap w:val="0"/>
                  <w:vAlign w:val="center"/>
                </w:tcPr>
                <w:p>
                  <w:pPr>
                    <w:adjustRightInd w:val="0"/>
                    <w:snapToGrid w:val="0"/>
                    <w:jc w:val="center"/>
                    <w:rPr>
                      <w:rFonts w:hAnsi="宋体"/>
                      <w:color w:val="auto"/>
                      <w:szCs w:val="21"/>
                    </w:rPr>
                  </w:pPr>
                  <w:r>
                    <w:rPr>
                      <w:rFonts w:hint="eastAsia" w:hAnsi="宋体"/>
                      <w:color w:val="auto"/>
                      <w:szCs w:val="21"/>
                    </w:rPr>
                    <w:t>50000</w:t>
                  </w:r>
                </w:p>
              </w:tc>
              <w:tc>
                <w:tcPr>
                  <w:tcW w:w="1373" w:type="dxa"/>
                  <w:vMerge w:val="restart"/>
                  <w:noWrap w:val="0"/>
                  <w:vAlign w:val="center"/>
                </w:tcPr>
                <w:p>
                  <w:pPr>
                    <w:adjustRightInd w:val="0"/>
                    <w:snapToGrid w:val="0"/>
                    <w:jc w:val="center"/>
                    <w:rPr>
                      <w:rFonts w:hint="default"/>
                      <w:color w:val="auto"/>
                      <w:szCs w:val="21"/>
                      <w:lang w:val="en-US"/>
                    </w:rPr>
                  </w:pPr>
                  <w:r>
                    <w:rPr>
                      <w:rFonts w:hint="eastAsia"/>
                      <w:color w:val="auto"/>
                      <w:lang w:val="en-US" w:eastAsia="zh-CN"/>
                    </w:rPr>
                    <w:t>DA018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7"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Ansi="宋体"/>
                      <w:b/>
                      <w:bCs/>
                      <w:color w:val="auto"/>
                      <w:szCs w:val="21"/>
                    </w:rPr>
                  </w:pPr>
                  <w:r>
                    <w:rPr>
                      <w:rFonts w:hint="eastAsia"/>
                      <w:color w:val="auto"/>
                      <w:kern w:val="0"/>
                      <w:szCs w:val="21"/>
                    </w:rPr>
                    <w:t>2台汇流条焊接机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lang w:val="en-US" w:eastAsia="zh-CN"/>
                    </w:rPr>
                    <w:t>3</w:t>
                  </w:r>
                  <w:r>
                    <w:rPr>
                      <w:rFonts w:hint="eastAsia"/>
                      <w:bCs/>
                      <w:color w:val="auto"/>
                      <w:szCs w:val="21"/>
                    </w:rPr>
                    <w:t>2.85</w:t>
                  </w:r>
                </w:p>
              </w:tc>
              <w:tc>
                <w:tcPr>
                  <w:tcW w:w="1385" w:type="dxa"/>
                  <w:vMerge w:val="continue"/>
                  <w:noWrap w:val="0"/>
                  <w:vAlign w:val="center"/>
                </w:tcPr>
                <w:p>
                  <w:pPr>
                    <w:adjustRightInd w:val="0"/>
                    <w:snapToGrid w:val="0"/>
                    <w:jc w:val="center"/>
                    <w:rPr>
                      <w:rFonts w:hAnsi="宋体"/>
                      <w:bCs/>
                      <w:color w:val="auto"/>
                      <w:szCs w:val="21"/>
                    </w:rPr>
                  </w:pPr>
                </w:p>
              </w:tc>
              <w:tc>
                <w:tcPr>
                  <w:tcW w:w="1142" w:type="dxa"/>
                  <w:noWrap w:val="0"/>
                  <w:vAlign w:val="center"/>
                </w:tcPr>
                <w:p>
                  <w:pPr>
                    <w:jc w:val="center"/>
                    <w:rPr>
                      <w:color w:val="auto"/>
                    </w:rPr>
                  </w:pPr>
                  <w:r>
                    <w:rPr>
                      <w:rFonts w:hint="eastAsia"/>
                      <w:color w:val="auto"/>
                      <w:szCs w:val="21"/>
                    </w:rPr>
                    <w:t>设备顶部</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color w:val="auto"/>
                    </w:rPr>
                    <w:t>/</w:t>
                  </w:r>
                </w:p>
              </w:tc>
              <w:tc>
                <w:tcPr>
                  <w:tcW w:w="1526" w:type="dxa"/>
                  <w:noWrap w:val="0"/>
                  <w:vAlign w:val="center"/>
                </w:tcPr>
                <w:p>
                  <w:pPr>
                    <w:adjustRightInd w:val="0"/>
                    <w:snapToGrid w:val="0"/>
                    <w:jc w:val="center"/>
                    <w:rPr>
                      <w:rFonts w:hint="default" w:hAnsi="宋体"/>
                      <w:color w:val="auto"/>
                      <w:szCs w:val="21"/>
                      <w:lang w:val="en-US"/>
                    </w:rPr>
                  </w:pPr>
                  <w:r>
                    <w:rPr>
                      <w:rFonts w:hint="eastAsia" w:hAnsi="宋体"/>
                      <w:color w:val="auto"/>
                      <w:szCs w:val="21"/>
                      <w:lang w:val="en-US" w:eastAsia="zh-CN"/>
                    </w:rPr>
                    <w:t>3000</w:t>
                  </w:r>
                </w:p>
              </w:tc>
              <w:tc>
                <w:tcPr>
                  <w:tcW w:w="1109" w:type="dxa"/>
                  <w:vMerge w:val="continue"/>
                  <w:noWrap w:val="0"/>
                  <w:vAlign w:val="center"/>
                </w:tcPr>
                <w:p>
                  <w:pPr>
                    <w:adjustRightInd w:val="0"/>
                    <w:snapToGrid w:val="0"/>
                    <w:jc w:val="center"/>
                    <w:rPr>
                      <w:rFonts w:hAnsi="宋体"/>
                      <w:color w:val="auto"/>
                      <w:szCs w:val="21"/>
                      <w:highlight w:val="none"/>
                    </w:rPr>
                  </w:pPr>
                </w:p>
              </w:tc>
              <w:tc>
                <w:tcPr>
                  <w:tcW w:w="1109" w:type="dxa"/>
                  <w:vMerge w:val="continue"/>
                  <w:noWrap w:val="0"/>
                  <w:vAlign w:val="center"/>
                </w:tcPr>
                <w:p>
                  <w:pPr>
                    <w:adjustRightInd w:val="0"/>
                    <w:snapToGrid w:val="0"/>
                    <w:jc w:val="center"/>
                    <w:rPr>
                      <w:rFonts w:hAnsi="宋体"/>
                      <w:color w:val="auto"/>
                      <w:szCs w:val="21"/>
                    </w:rPr>
                  </w:pPr>
                </w:p>
              </w:tc>
              <w:tc>
                <w:tcPr>
                  <w:tcW w:w="1373" w:type="dxa"/>
                  <w:vMerge w:val="continue"/>
                  <w:noWrap w:val="0"/>
                  <w:vAlign w:val="center"/>
                </w:tcPr>
                <w:p>
                  <w:pPr>
                    <w:adjustRightInd w:val="0"/>
                    <w:snapToGrid w:val="0"/>
                    <w:jc w:val="center"/>
                    <w:rPr>
                      <w:rFonts w:hint="eastAsia"/>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7"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int="eastAsia"/>
                      <w:color w:val="auto"/>
                      <w:kern w:val="0"/>
                      <w:szCs w:val="21"/>
                    </w:rPr>
                  </w:pPr>
                  <w:r>
                    <w:rPr>
                      <w:rFonts w:hint="eastAsia"/>
                      <w:color w:val="auto"/>
                      <w:kern w:val="0"/>
                      <w:szCs w:val="21"/>
                    </w:rPr>
                    <w:t>8台层压机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rPr>
                    <w:t>10.18</w:t>
                  </w:r>
                </w:p>
              </w:tc>
              <w:tc>
                <w:tcPr>
                  <w:tcW w:w="1385" w:type="dxa"/>
                  <w:noWrap w:val="0"/>
                  <w:vAlign w:val="center"/>
                </w:tcPr>
                <w:p>
                  <w:pPr>
                    <w:adjustRightInd w:val="0"/>
                    <w:snapToGrid w:val="0"/>
                    <w:jc w:val="center"/>
                    <w:rPr>
                      <w:rFonts w:hAnsi="宋体"/>
                      <w:bCs/>
                      <w:color w:val="auto"/>
                      <w:szCs w:val="21"/>
                    </w:rPr>
                  </w:pPr>
                  <w:r>
                    <w:rPr>
                      <w:rFonts w:hint="eastAsia" w:hAnsi="宋体"/>
                      <w:bCs/>
                      <w:color w:val="auto"/>
                      <w:szCs w:val="21"/>
                    </w:rPr>
                    <w:t>层压</w:t>
                  </w:r>
                </w:p>
              </w:tc>
              <w:tc>
                <w:tcPr>
                  <w:tcW w:w="1142" w:type="dxa"/>
                  <w:noWrap w:val="0"/>
                  <w:vAlign w:val="center"/>
                </w:tcPr>
                <w:p>
                  <w:pPr>
                    <w:jc w:val="center"/>
                    <w:rPr>
                      <w:color w:val="auto"/>
                    </w:rPr>
                  </w:pPr>
                  <w:r>
                    <w:rPr>
                      <w:rFonts w:hint="eastAsia"/>
                      <w:color w:val="auto"/>
                      <w:szCs w:val="21"/>
                    </w:rPr>
                    <w:t>设备顶部</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color w:val="auto"/>
                    </w:rPr>
                    <w:t>/</w:t>
                  </w:r>
                </w:p>
              </w:tc>
              <w:tc>
                <w:tcPr>
                  <w:tcW w:w="1526" w:type="dxa"/>
                  <w:noWrap w:val="0"/>
                  <w:vAlign w:val="center"/>
                </w:tcPr>
                <w:p>
                  <w:pPr>
                    <w:adjustRightInd w:val="0"/>
                    <w:snapToGrid w:val="0"/>
                    <w:jc w:val="center"/>
                    <w:rPr>
                      <w:rFonts w:hint="eastAsia"/>
                      <w:color w:val="auto"/>
                      <w:szCs w:val="21"/>
                    </w:rPr>
                  </w:pPr>
                  <w:r>
                    <w:rPr>
                      <w:rFonts w:hint="eastAsia"/>
                      <w:color w:val="auto"/>
                      <w:szCs w:val="21"/>
                    </w:rPr>
                    <w:t>1</w:t>
                  </w:r>
                  <w:r>
                    <w:rPr>
                      <w:rFonts w:hint="eastAsia"/>
                      <w:color w:val="auto"/>
                      <w:szCs w:val="21"/>
                      <w:lang w:val="en-US" w:eastAsia="zh-CN"/>
                    </w:rPr>
                    <w:t>2</w:t>
                  </w:r>
                  <w:r>
                    <w:rPr>
                      <w:rFonts w:hint="eastAsia"/>
                      <w:color w:val="auto"/>
                      <w:szCs w:val="21"/>
                    </w:rPr>
                    <w:t>00</w:t>
                  </w:r>
                </w:p>
              </w:tc>
              <w:tc>
                <w:tcPr>
                  <w:tcW w:w="1109" w:type="dxa"/>
                  <w:noWrap w:val="0"/>
                  <w:vAlign w:val="center"/>
                </w:tcPr>
                <w:p>
                  <w:pPr>
                    <w:adjustRightInd w:val="0"/>
                    <w:snapToGrid w:val="0"/>
                    <w:jc w:val="center"/>
                    <w:rPr>
                      <w:rFonts w:hint="default" w:hAnsi="宋体" w:eastAsia="宋体"/>
                      <w:color w:val="auto"/>
                      <w:szCs w:val="21"/>
                      <w:highlight w:val="none"/>
                      <w:lang w:val="en-US" w:eastAsia="zh-CN"/>
                    </w:rPr>
                  </w:pPr>
                  <w:r>
                    <w:rPr>
                      <w:rFonts w:hint="eastAsia" w:hAnsi="宋体"/>
                      <w:color w:val="auto"/>
                      <w:szCs w:val="21"/>
                      <w:highlight w:val="none"/>
                      <w:lang w:val="en-US" w:eastAsia="zh-CN"/>
                    </w:rPr>
                    <w:t>9600</w:t>
                  </w:r>
                </w:p>
              </w:tc>
              <w:tc>
                <w:tcPr>
                  <w:tcW w:w="1109" w:type="dxa"/>
                  <w:noWrap w:val="0"/>
                  <w:vAlign w:val="center"/>
                </w:tcPr>
                <w:p>
                  <w:pPr>
                    <w:adjustRightInd w:val="0"/>
                    <w:snapToGrid w:val="0"/>
                    <w:jc w:val="center"/>
                    <w:rPr>
                      <w:rFonts w:hAnsi="宋体"/>
                      <w:color w:val="auto"/>
                      <w:szCs w:val="21"/>
                    </w:rPr>
                  </w:pPr>
                  <w:r>
                    <w:rPr>
                      <w:rFonts w:hAnsi="宋体"/>
                      <w:color w:val="auto"/>
                      <w:szCs w:val="21"/>
                    </w:rPr>
                    <w:t>13000</w:t>
                  </w:r>
                </w:p>
              </w:tc>
              <w:tc>
                <w:tcPr>
                  <w:tcW w:w="1373" w:type="dxa"/>
                  <w:noWrap w:val="0"/>
                  <w:vAlign w:val="center"/>
                </w:tcPr>
                <w:p>
                  <w:pPr>
                    <w:adjustRightInd w:val="0"/>
                    <w:snapToGrid w:val="0"/>
                    <w:jc w:val="center"/>
                    <w:rPr>
                      <w:rFonts w:hint="default"/>
                      <w:color w:val="auto"/>
                      <w:szCs w:val="21"/>
                      <w:lang w:val="en-US"/>
                    </w:rPr>
                  </w:pPr>
                  <w:r>
                    <w:rPr>
                      <w:rFonts w:hint="eastAsia"/>
                      <w:color w:val="auto"/>
                      <w:lang w:val="en-US" w:eastAsia="zh-CN"/>
                    </w:rPr>
                    <w:t>DA019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7"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int="eastAsia"/>
                      <w:color w:val="auto"/>
                      <w:kern w:val="0"/>
                      <w:szCs w:val="21"/>
                    </w:rPr>
                  </w:pPr>
                  <w:r>
                    <w:rPr>
                      <w:rFonts w:hint="eastAsia"/>
                      <w:color w:val="auto"/>
                      <w:kern w:val="0"/>
                      <w:szCs w:val="21"/>
                    </w:rPr>
                    <w:t>4台接线盒焊接机</w:t>
                  </w:r>
                </w:p>
              </w:tc>
              <w:tc>
                <w:tcPr>
                  <w:tcW w:w="1724" w:type="dxa"/>
                  <w:noWrap w:val="0"/>
                  <w:vAlign w:val="center"/>
                </w:tcPr>
                <w:p>
                  <w:pPr>
                    <w:adjustRightInd w:val="0"/>
                    <w:snapToGrid w:val="0"/>
                    <w:jc w:val="center"/>
                    <w:rPr>
                      <w:rFonts w:hint="eastAsia"/>
                      <w:bCs/>
                      <w:color w:val="auto"/>
                      <w:szCs w:val="21"/>
                    </w:rPr>
                  </w:pPr>
                  <w:r>
                    <w:rPr>
                      <w:rFonts w:hint="eastAsia"/>
                      <w:bCs/>
                      <w:color w:val="auto"/>
                      <w:szCs w:val="21"/>
                    </w:rPr>
                    <w:t>11.06</w:t>
                  </w:r>
                </w:p>
              </w:tc>
              <w:tc>
                <w:tcPr>
                  <w:tcW w:w="1385" w:type="dxa"/>
                  <w:noWrap w:val="0"/>
                  <w:vAlign w:val="center"/>
                </w:tcPr>
                <w:p>
                  <w:pPr>
                    <w:adjustRightInd w:val="0"/>
                    <w:snapToGrid w:val="0"/>
                    <w:jc w:val="center"/>
                    <w:rPr>
                      <w:rFonts w:hAnsi="宋体"/>
                      <w:bCs/>
                      <w:color w:val="auto"/>
                      <w:szCs w:val="21"/>
                    </w:rPr>
                  </w:pPr>
                  <w:r>
                    <w:rPr>
                      <w:rFonts w:hint="eastAsia" w:hAnsi="宋体"/>
                      <w:bCs/>
                      <w:color w:val="auto"/>
                      <w:szCs w:val="21"/>
                    </w:rPr>
                    <w:t>接线盒焊接</w:t>
                  </w:r>
                </w:p>
              </w:tc>
              <w:tc>
                <w:tcPr>
                  <w:tcW w:w="1142" w:type="dxa"/>
                  <w:noWrap w:val="0"/>
                  <w:vAlign w:val="center"/>
                </w:tcPr>
                <w:p>
                  <w:pPr>
                    <w:jc w:val="center"/>
                    <w:rPr>
                      <w:color w:val="auto"/>
                    </w:rPr>
                  </w:pPr>
                  <w:r>
                    <w:rPr>
                      <w:rFonts w:hint="eastAsia"/>
                      <w:color w:val="auto"/>
                      <w:szCs w:val="21"/>
                    </w:rPr>
                    <w:t>设备顶部</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color w:val="auto"/>
                    </w:rPr>
                    <w:t>/</w:t>
                  </w:r>
                </w:p>
              </w:tc>
              <w:tc>
                <w:tcPr>
                  <w:tcW w:w="1526" w:type="dxa"/>
                  <w:noWrap w:val="0"/>
                  <w:vAlign w:val="center"/>
                </w:tcPr>
                <w:p>
                  <w:pPr>
                    <w:adjustRightInd w:val="0"/>
                    <w:snapToGrid w:val="0"/>
                    <w:jc w:val="center"/>
                    <w:rPr>
                      <w:rFonts w:hint="eastAsia"/>
                      <w:color w:val="auto"/>
                      <w:szCs w:val="21"/>
                    </w:rPr>
                  </w:pPr>
                  <w:r>
                    <w:rPr>
                      <w:rFonts w:hint="eastAsia"/>
                      <w:color w:val="auto"/>
                      <w:szCs w:val="21"/>
                    </w:rPr>
                    <w:t>1</w:t>
                  </w:r>
                  <w:r>
                    <w:rPr>
                      <w:rFonts w:hint="eastAsia"/>
                      <w:color w:val="auto"/>
                      <w:szCs w:val="21"/>
                      <w:lang w:val="en-US" w:eastAsia="zh-CN"/>
                    </w:rPr>
                    <w:t>2</w:t>
                  </w:r>
                  <w:r>
                    <w:rPr>
                      <w:rFonts w:hint="eastAsia"/>
                      <w:color w:val="auto"/>
                      <w:szCs w:val="21"/>
                    </w:rPr>
                    <w:t>00</w:t>
                  </w:r>
                </w:p>
              </w:tc>
              <w:tc>
                <w:tcPr>
                  <w:tcW w:w="1109" w:type="dxa"/>
                  <w:vMerge w:val="restart"/>
                  <w:noWrap w:val="0"/>
                  <w:vAlign w:val="center"/>
                </w:tcPr>
                <w:p>
                  <w:pPr>
                    <w:adjustRightInd w:val="0"/>
                    <w:snapToGrid w:val="0"/>
                    <w:jc w:val="center"/>
                    <w:rPr>
                      <w:rFonts w:hint="default" w:hAnsi="宋体" w:eastAsia="宋体"/>
                      <w:color w:val="auto"/>
                      <w:szCs w:val="21"/>
                      <w:lang w:val="en-US" w:eastAsia="zh-CN"/>
                    </w:rPr>
                  </w:pPr>
                  <w:r>
                    <w:rPr>
                      <w:rFonts w:hint="eastAsia" w:hAnsi="宋体"/>
                      <w:color w:val="auto"/>
                      <w:szCs w:val="21"/>
                      <w:lang w:val="en-US" w:eastAsia="zh-CN"/>
                    </w:rPr>
                    <w:t>9360</w:t>
                  </w:r>
                </w:p>
              </w:tc>
              <w:tc>
                <w:tcPr>
                  <w:tcW w:w="1109" w:type="dxa"/>
                  <w:vMerge w:val="restart"/>
                  <w:noWrap w:val="0"/>
                  <w:vAlign w:val="center"/>
                </w:tcPr>
                <w:p>
                  <w:pPr>
                    <w:adjustRightInd w:val="0"/>
                    <w:snapToGrid w:val="0"/>
                    <w:jc w:val="center"/>
                    <w:rPr>
                      <w:rFonts w:hAnsi="宋体"/>
                      <w:color w:val="auto"/>
                      <w:szCs w:val="21"/>
                    </w:rPr>
                  </w:pPr>
                  <w:r>
                    <w:rPr>
                      <w:rFonts w:hAnsi="宋体"/>
                      <w:color w:val="auto"/>
                      <w:szCs w:val="21"/>
                    </w:rPr>
                    <w:t>13000</w:t>
                  </w:r>
                </w:p>
              </w:tc>
              <w:tc>
                <w:tcPr>
                  <w:tcW w:w="1373" w:type="dxa"/>
                  <w:vMerge w:val="restart"/>
                  <w:noWrap w:val="0"/>
                  <w:vAlign w:val="center"/>
                </w:tcPr>
                <w:p>
                  <w:pPr>
                    <w:adjustRightInd w:val="0"/>
                    <w:snapToGrid w:val="0"/>
                    <w:jc w:val="center"/>
                    <w:rPr>
                      <w:rFonts w:hint="default"/>
                      <w:color w:val="auto"/>
                      <w:szCs w:val="21"/>
                      <w:lang w:val="en-US"/>
                    </w:rPr>
                  </w:pPr>
                  <w:r>
                    <w:rPr>
                      <w:rFonts w:hint="eastAsia"/>
                      <w:color w:val="auto"/>
                      <w:lang w:val="en-US" w:eastAsia="zh-CN"/>
                    </w:rPr>
                    <w:t>DA020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3" w:hRule="atLeast"/>
                <w:jc w:val="center"/>
              </w:trPr>
              <w:tc>
                <w:tcPr>
                  <w:tcW w:w="1375" w:type="dxa"/>
                  <w:vMerge w:val="continue"/>
                  <w:noWrap w:val="0"/>
                  <w:vAlign w:val="center"/>
                </w:tcPr>
                <w:p>
                  <w:pPr>
                    <w:adjustRightInd w:val="0"/>
                    <w:snapToGrid w:val="0"/>
                    <w:jc w:val="center"/>
                    <w:rPr>
                      <w:rFonts w:hAnsi="宋体"/>
                      <w:b/>
                      <w:bCs/>
                      <w:color w:val="auto"/>
                      <w:szCs w:val="21"/>
                    </w:rPr>
                  </w:pPr>
                </w:p>
              </w:tc>
              <w:tc>
                <w:tcPr>
                  <w:tcW w:w="2110" w:type="dxa"/>
                  <w:noWrap w:val="0"/>
                  <w:vAlign w:val="center"/>
                </w:tcPr>
                <w:p>
                  <w:pPr>
                    <w:adjustRightInd w:val="0"/>
                    <w:snapToGrid w:val="0"/>
                    <w:jc w:val="center"/>
                    <w:rPr>
                      <w:rFonts w:hint="eastAsia"/>
                      <w:color w:val="auto"/>
                      <w:kern w:val="0"/>
                      <w:szCs w:val="21"/>
                    </w:rPr>
                  </w:pPr>
                  <w:r>
                    <w:rPr>
                      <w:rFonts w:hint="eastAsia"/>
                      <w:color w:val="auto"/>
                      <w:kern w:val="0"/>
                      <w:szCs w:val="21"/>
                    </w:rPr>
                    <w:t>1间固化间</w:t>
                  </w:r>
                </w:p>
              </w:tc>
              <w:tc>
                <w:tcPr>
                  <w:tcW w:w="1724" w:type="dxa"/>
                  <w:noWrap w:val="0"/>
                  <w:vAlign w:val="center"/>
                </w:tcPr>
                <w:p>
                  <w:pPr>
                    <w:adjustRightInd w:val="0"/>
                    <w:snapToGrid w:val="0"/>
                    <w:jc w:val="center"/>
                    <w:rPr>
                      <w:color w:val="auto"/>
                      <w:szCs w:val="21"/>
                    </w:rPr>
                  </w:pPr>
                  <w:r>
                    <w:rPr>
                      <w:color w:val="auto"/>
                      <w:szCs w:val="21"/>
                    </w:rPr>
                    <w:t>256</w:t>
                  </w:r>
                </w:p>
              </w:tc>
              <w:tc>
                <w:tcPr>
                  <w:tcW w:w="1385" w:type="dxa"/>
                  <w:noWrap w:val="0"/>
                  <w:vAlign w:val="center"/>
                </w:tcPr>
                <w:p>
                  <w:pPr>
                    <w:adjustRightInd w:val="0"/>
                    <w:snapToGrid w:val="0"/>
                    <w:jc w:val="center"/>
                    <w:rPr>
                      <w:rFonts w:hint="eastAsia"/>
                      <w:color w:val="auto"/>
                      <w:szCs w:val="21"/>
                    </w:rPr>
                  </w:pPr>
                  <w:r>
                    <w:rPr>
                      <w:rFonts w:hint="eastAsia"/>
                      <w:color w:val="auto"/>
                      <w:szCs w:val="21"/>
                    </w:rPr>
                    <w:t>固化</w:t>
                  </w:r>
                </w:p>
              </w:tc>
              <w:tc>
                <w:tcPr>
                  <w:tcW w:w="1142" w:type="dxa"/>
                  <w:noWrap w:val="0"/>
                  <w:vAlign w:val="center"/>
                </w:tcPr>
                <w:p>
                  <w:pPr>
                    <w:adjustRightInd w:val="0"/>
                    <w:snapToGrid w:val="0"/>
                    <w:jc w:val="center"/>
                    <w:rPr>
                      <w:rFonts w:hint="eastAsia"/>
                      <w:color w:val="auto"/>
                      <w:szCs w:val="21"/>
                    </w:rPr>
                  </w:pPr>
                  <w:r>
                    <w:rPr>
                      <w:rFonts w:hint="eastAsia"/>
                      <w:color w:val="auto"/>
                      <w:szCs w:val="21"/>
                    </w:rPr>
                    <w:t>密闭房间</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rFonts w:hint="eastAsia" w:hAnsi="宋体"/>
                      <w:color w:val="auto"/>
                      <w:szCs w:val="21"/>
                    </w:rPr>
                    <w:t>12次</w:t>
                  </w:r>
                </w:p>
              </w:tc>
              <w:tc>
                <w:tcPr>
                  <w:tcW w:w="1526" w:type="dxa"/>
                  <w:noWrap w:val="0"/>
                  <w:vAlign w:val="center"/>
                </w:tcPr>
                <w:p>
                  <w:pPr>
                    <w:adjustRightInd w:val="0"/>
                    <w:snapToGrid w:val="0"/>
                    <w:jc w:val="center"/>
                    <w:rPr>
                      <w:rFonts w:hint="eastAsia"/>
                      <w:color w:val="auto"/>
                      <w:szCs w:val="21"/>
                    </w:rPr>
                  </w:pPr>
                  <w:r>
                    <w:rPr>
                      <w:rFonts w:hint="eastAsia"/>
                      <w:color w:val="auto"/>
                      <w:szCs w:val="21"/>
                    </w:rPr>
                    <w:t>3072</w:t>
                  </w:r>
                </w:p>
              </w:tc>
              <w:tc>
                <w:tcPr>
                  <w:tcW w:w="1109" w:type="dxa"/>
                  <w:vMerge w:val="continue"/>
                  <w:noWrap w:val="0"/>
                  <w:vAlign w:val="top"/>
                </w:tcPr>
                <w:p>
                  <w:pPr>
                    <w:adjustRightInd w:val="0"/>
                    <w:snapToGrid w:val="0"/>
                    <w:jc w:val="center"/>
                    <w:rPr>
                      <w:rFonts w:hAnsi="宋体"/>
                      <w:color w:val="auto"/>
                      <w:szCs w:val="21"/>
                    </w:rPr>
                  </w:pPr>
                </w:p>
              </w:tc>
              <w:tc>
                <w:tcPr>
                  <w:tcW w:w="1109" w:type="dxa"/>
                  <w:vMerge w:val="continue"/>
                  <w:noWrap w:val="0"/>
                  <w:vAlign w:val="center"/>
                </w:tcPr>
                <w:p>
                  <w:pPr>
                    <w:adjustRightInd w:val="0"/>
                    <w:snapToGrid w:val="0"/>
                    <w:jc w:val="center"/>
                    <w:rPr>
                      <w:rFonts w:hAnsi="宋体"/>
                      <w:color w:val="auto"/>
                      <w:szCs w:val="21"/>
                    </w:rPr>
                  </w:pPr>
                </w:p>
              </w:tc>
              <w:tc>
                <w:tcPr>
                  <w:tcW w:w="1373" w:type="dxa"/>
                  <w:vMerge w:val="continue"/>
                  <w:noWrap w:val="0"/>
                  <w:vAlign w:val="center"/>
                </w:tcPr>
                <w:p>
                  <w:pPr>
                    <w:adjustRightInd w:val="0"/>
                    <w:snapToGrid w:val="0"/>
                    <w:jc w:val="center"/>
                    <w:rPr>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22" w:hRule="atLeast"/>
                <w:jc w:val="center"/>
              </w:trPr>
              <w:tc>
                <w:tcPr>
                  <w:tcW w:w="1375" w:type="dxa"/>
                  <w:vMerge w:val="continue"/>
                  <w:noWrap w:val="0"/>
                  <w:vAlign w:val="center"/>
                </w:tcPr>
                <w:p>
                  <w:pPr>
                    <w:adjustRightInd w:val="0"/>
                    <w:snapToGrid w:val="0"/>
                    <w:jc w:val="center"/>
                    <w:rPr>
                      <w:rFonts w:hint="eastAsia" w:hAnsi="宋体"/>
                      <w:color w:val="auto"/>
                      <w:szCs w:val="21"/>
                    </w:rPr>
                  </w:pPr>
                </w:p>
              </w:tc>
              <w:tc>
                <w:tcPr>
                  <w:tcW w:w="2110" w:type="dxa"/>
                  <w:noWrap w:val="0"/>
                  <w:vAlign w:val="center"/>
                </w:tcPr>
                <w:p>
                  <w:pPr>
                    <w:adjustRightInd w:val="0"/>
                    <w:snapToGrid w:val="0"/>
                    <w:jc w:val="center"/>
                    <w:rPr>
                      <w:rFonts w:hint="eastAsia"/>
                      <w:color w:val="auto"/>
                      <w:kern w:val="0"/>
                      <w:szCs w:val="21"/>
                    </w:rPr>
                  </w:pPr>
                  <w:r>
                    <w:rPr>
                      <w:rFonts w:hint="eastAsia"/>
                      <w:color w:val="auto"/>
                      <w:kern w:val="0"/>
                      <w:szCs w:val="21"/>
                    </w:rPr>
                    <w:t>1间酒精擦拭清洗间</w:t>
                  </w:r>
                </w:p>
              </w:tc>
              <w:tc>
                <w:tcPr>
                  <w:tcW w:w="1724" w:type="dxa"/>
                  <w:noWrap w:val="0"/>
                  <w:vAlign w:val="center"/>
                </w:tcPr>
                <w:p>
                  <w:pPr>
                    <w:adjustRightInd w:val="0"/>
                    <w:snapToGrid w:val="0"/>
                    <w:jc w:val="center"/>
                    <w:rPr>
                      <w:color w:val="auto"/>
                      <w:szCs w:val="21"/>
                    </w:rPr>
                  </w:pPr>
                  <w:r>
                    <w:rPr>
                      <w:color w:val="auto"/>
                      <w:szCs w:val="21"/>
                    </w:rPr>
                    <w:t>124</w:t>
                  </w:r>
                </w:p>
              </w:tc>
              <w:tc>
                <w:tcPr>
                  <w:tcW w:w="1385" w:type="dxa"/>
                  <w:noWrap w:val="0"/>
                  <w:vAlign w:val="center"/>
                </w:tcPr>
                <w:p>
                  <w:pPr>
                    <w:adjustRightInd w:val="0"/>
                    <w:snapToGrid w:val="0"/>
                    <w:jc w:val="center"/>
                    <w:rPr>
                      <w:rFonts w:hint="eastAsia"/>
                      <w:color w:val="auto"/>
                      <w:szCs w:val="21"/>
                    </w:rPr>
                  </w:pPr>
                  <w:r>
                    <w:rPr>
                      <w:rFonts w:hint="eastAsia"/>
                      <w:color w:val="auto"/>
                      <w:szCs w:val="21"/>
                    </w:rPr>
                    <w:t>擦拭清洗</w:t>
                  </w:r>
                </w:p>
              </w:tc>
              <w:tc>
                <w:tcPr>
                  <w:tcW w:w="1142" w:type="dxa"/>
                  <w:noWrap w:val="0"/>
                  <w:vAlign w:val="center"/>
                </w:tcPr>
                <w:p>
                  <w:pPr>
                    <w:adjustRightInd w:val="0"/>
                    <w:snapToGrid w:val="0"/>
                    <w:jc w:val="center"/>
                    <w:rPr>
                      <w:rFonts w:hint="eastAsia"/>
                      <w:color w:val="auto"/>
                      <w:szCs w:val="21"/>
                    </w:rPr>
                  </w:pPr>
                  <w:r>
                    <w:rPr>
                      <w:rFonts w:hint="eastAsia"/>
                      <w:color w:val="auto"/>
                      <w:szCs w:val="21"/>
                    </w:rPr>
                    <w:t>密闭房间</w:t>
                  </w:r>
                </w:p>
              </w:tc>
              <w:tc>
                <w:tcPr>
                  <w:tcW w:w="1355" w:type="dxa"/>
                  <w:noWrap w:val="0"/>
                  <w:vAlign w:val="center"/>
                </w:tcPr>
                <w:p>
                  <w:pPr>
                    <w:jc w:val="center"/>
                    <w:rPr>
                      <w:color w:val="auto"/>
                    </w:rPr>
                  </w:pPr>
                  <w:r>
                    <w:rPr>
                      <w:color w:val="auto"/>
                      <w:szCs w:val="21"/>
                    </w:rPr>
                    <w:t>集气风管</w:t>
                  </w:r>
                </w:p>
              </w:tc>
              <w:tc>
                <w:tcPr>
                  <w:tcW w:w="764" w:type="dxa"/>
                  <w:noWrap w:val="0"/>
                  <w:vAlign w:val="center"/>
                </w:tcPr>
                <w:p>
                  <w:pPr>
                    <w:jc w:val="center"/>
                    <w:rPr>
                      <w:color w:val="auto"/>
                    </w:rPr>
                  </w:pPr>
                  <w:r>
                    <w:rPr>
                      <w:rFonts w:hint="eastAsia" w:hAnsi="宋体"/>
                      <w:color w:val="auto"/>
                      <w:szCs w:val="21"/>
                    </w:rPr>
                    <w:t>12次</w:t>
                  </w:r>
                </w:p>
              </w:tc>
              <w:tc>
                <w:tcPr>
                  <w:tcW w:w="1526" w:type="dxa"/>
                  <w:noWrap w:val="0"/>
                  <w:vAlign w:val="center"/>
                </w:tcPr>
                <w:p>
                  <w:pPr>
                    <w:adjustRightInd w:val="0"/>
                    <w:snapToGrid w:val="0"/>
                    <w:jc w:val="center"/>
                    <w:rPr>
                      <w:rFonts w:hint="eastAsia"/>
                      <w:color w:val="auto"/>
                      <w:szCs w:val="21"/>
                    </w:rPr>
                  </w:pPr>
                  <w:r>
                    <w:rPr>
                      <w:rFonts w:hint="eastAsia"/>
                      <w:color w:val="auto"/>
                      <w:szCs w:val="21"/>
                    </w:rPr>
                    <w:t>1488</w:t>
                  </w:r>
                </w:p>
              </w:tc>
              <w:tc>
                <w:tcPr>
                  <w:tcW w:w="1109" w:type="dxa"/>
                  <w:vMerge w:val="continue"/>
                  <w:noWrap w:val="0"/>
                  <w:vAlign w:val="top"/>
                </w:tcPr>
                <w:p>
                  <w:pPr>
                    <w:adjustRightInd w:val="0"/>
                    <w:snapToGrid w:val="0"/>
                    <w:jc w:val="center"/>
                    <w:rPr>
                      <w:rFonts w:hint="eastAsia" w:hAnsi="宋体"/>
                      <w:color w:val="auto"/>
                      <w:szCs w:val="21"/>
                    </w:rPr>
                  </w:pPr>
                </w:p>
              </w:tc>
              <w:tc>
                <w:tcPr>
                  <w:tcW w:w="1109" w:type="dxa"/>
                  <w:vMerge w:val="continue"/>
                  <w:noWrap w:val="0"/>
                  <w:vAlign w:val="center"/>
                </w:tcPr>
                <w:p>
                  <w:pPr>
                    <w:adjustRightInd w:val="0"/>
                    <w:snapToGrid w:val="0"/>
                    <w:jc w:val="center"/>
                    <w:rPr>
                      <w:rFonts w:hint="eastAsia" w:hAnsi="宋体"/>
                      <w:color w:val="auto"/>
                      <w:szCs w:val="21"/>
                    </w:rPr>
                  </w:pPr>
                </w:p>
              </w:tc>
              <w:tc>
                <w:tcPr>
                  <w:tcW w:w="1373" w:type="dxa"/>
                  <w:vMerge w:val="continue"/>
                  <w:noWrap w:val="0"/>
                  <w:vAlign w:val="center"/>
                </w:tcPr>
                <w:p>
                  <w:pPr>
                    <w:adjustRightInd w:val="0"/>
                    <w:snapToGrid w:val="0"/>
                    <w:jc w:val="center"/>
                    <w:rPr>
                      <w:rFonts w:hint="eastAsia"/>
                      <w:color w:val="auto"/>
                      <w:szCs w:val="21"/>
                    </w:rPr>
                  </w:pPr>
                </w:p>
              </w:tc>
            </w:tr>
          </w:tbl>
          <w:p>
            <w:pPr>
              <w:numPr>
                <w:ilvl w:val="4"/>
                <w:numId w:val="0"/>
              </w:numPr>
              <w:spacing w:line="360" w:lineRule="auto"/>
              <w:ind w:firstLine="480" w:firstLineChars="200"/>
              <w:rPr>
                <w:rFonts w:hint="eastAsia"/>
                <w:b/>
                <w:color w:val="auto"/>
                <w:kern w:val="0"/>
                <w:szCs w:val="21"/>
              </w:rPr>
            </w:pPr>
            <w:r>
              <w:rPr>
                <w:color w:val="auto"/>
                <w:sz w:val="24"/>
              </w:rPr>
              <w:t>本项目</w:t>
            </w:r>
            <w:r>
              <w:rPr>
                <w:rFonts w:hint="eastAsia"/>
                <w:color w:val="auto"/>
                <w:sz w:val="24"/>
              </w:rPr>
              <w:t>废气非正常</w:t>
            </w:r>
            <w:r>
              <w:rPr>
                <w:color w:val="auto"/>
                <w:sz w:val="24"/>
              </w:rPr>
              <w:t>排放主要</w:t>
            </w:r>
            <w:r>
              <w:rPr>
                <w:rFonts w:hint="eastAsia"/>
                <w:color w:val="auto"/>
                <w:sz w:val="24"/>
              </w:rPr>
              <w:t>考虑</w:t>
            </w:r>
            <w:r>
              <w:rPr>
                <w:color w:val="auto"/>
                <w:sz w:val="24"/>
              </w:rPr>
              <w:t>废气处理设施发生故障，综合项目</w:t>
            </w:r>
            <w:r>
              <w:rPr>
                <w:rFonts w:hint="eastAsia"/>
                <w:color w:val="auto"/>
                <w:sz w:val="24"/>
              </w:rPr>
              <w:t>废气源强及</w:t>
            </w:r>
            <w:r>
              <w:rPr>
                <w:color w:val="auto"/>
                <w:sz w:val="24"/>
              </w:rPr>
              <w:t>配套的废气处理措施特点，非正常排放考虑</w:t>
            </w:r>
            <w:r>
              <w:rPr>
                <w:rFonts w:hint="eastAsia"/>
                <w:color w:val="auto"/>
                <w:sz w:val="24"/>
              </w:rPr>
              <w:t>接线盒安装、固化、酒精擦拭清洗共用的“</w:t>
            </w:r>
            <w:r>
              <w:rPr>
                <w:rFonts w:hint="eastAsia"/>
                <w:color w:val="auto"/>
                <w:kern w:val="0"/>
                <w:sz w:val="24"/>
                <w:lang w:eastAsia="zh-CN" w:bidi="ar"/>
              </w:rPr>
              <w:t>袋式除尘</w:t>
            </w:r>
            <w:r>
              <w:rPr>
                <w:color w:val="auto"/>
                <w:kern w:val="0"/>
                <w:sz w:val="24"/>
                <w:lang w:bidi="ar"/>
              </w:rPr>
              <w:t>+二级活性炭吸附装置”</w:t>
            </w:r>
            <w:r>
              <w:rPr>
                <w:rFonts w:hint="eastAsia"/>
                <w:color w:val="auto"/>
                <w:kern w:val="0"/>
                <w:sz w:val="24"/>
                <w:lang w:bidi="ar"/>
              </w:rPr>
              <w:t>活性炭饱和，有机废气处理效率为0的情况</w:t>
            </w:r>
            <w:r>
              <w:rPr>
                <w:color w:val="auto"/>
                <w:kern w:val="0"/>
                <w:sz w:val="24"/>
                <w:lang w:bidi="ar"/>
              </w:rPr>
              <w:t>。</w:t>
            </w:r>
            <w:r>
              <w:rPr>
                <w:color w:val="auto"/>
                <w:sz w:val="24"/>
              </w:rPr>
              <w:t>出现以上事故后，企业通过采取及时、有效的应对措施，一般可控制在30min内</w:t>
            </w:r>
            <w:r>
              <w:rPr>
                <w:rFonts w:hint="eastAsia"/>
                <w:color w:val="auto"/>
                <w:sz w:val="24"/>
              </w:rPr>
              <w:t>停止非正常排放</w:t>
            </w:r>
            <w:r>
              <w:rPr>
                <w:color w:val="auto"/>
                <w:sz w:val="24"/>
              </w:rPr>
              <w:t>，因此按30min进行事故排放源强估算，项目废气非正常排放源强见下表。</w:t>
            </w:r>
          </w:p>
          <w:p>
            <w:pPr>
              <w:widowControl/>
              <w:numPr>
                <w:ilvl w:val="0"/>
                <w:numId w:val="2"/>
              </w:numPr>
              <w:jc w:val="center"/>
              <w:rPr>
                <w:b/>
                <w:color w:val="auto"/>
                <w:kern w:val="0"/>
                <w:szCs w:val="21"/>
              </w:rPr>
            </w:pPr>
            <w:r>
              <w:rPr>
                <w:rFonts w:hint="eastAsia"/>
                <w:b/>
                <w:color w:val="auto"/>
                <w:kern w:val="0"/>
                <w:szCs w:val="21"/>
              </w:rPr>
              <w:t>本项目非正常情况排放</w:t>
            </w:r>
            <w:r>
              <w:rPr>
                <w:rFonts w:hint="eastAsia"/>
                <w:b/>
                <w:color w:val="auto"/>
                <w:kern w:val="0"/>
                <w:szCs w:val="21"/>
                <w:lang w:eastAsia="zh-CN"/>
              </w:rPr>
              <w:t>情况</w:t>
            </w:r>
            <w:r>
              <w:rPr>
                <w:rFonts w:hint="eastAsia"/>
                <w:b/>
                <w:color w:val="auto"/>
                <w:kern w:val="0"/>
                <w:szCs w:val="21"/>
              </w:rPr>
              <w:t>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3"/>
              <w:gridCol w:w="1924"/>
              <w:gridCol w:w="2098"/>
              <w:gridCol w:w="1048"/>
              <w:gridCol w:w="1384"/>
              <w:gridCol w:w="2095"/>
              <w:gridCol w:w="1177"/>
              <w:gridCol w:w="1411"/>
              <w:gridCol w:w="2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803"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工序</w:t>
                  </w:r>
                </w:p>
              </w:tc>
              <w:tc>
                <w:tcPr>
                  <w:tcW w:w="1924"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废气处理设施</w:t>
                  </w:r>
                </w:p>
              </w:tc>
              <w:tc>
                <w:tcPr>
                  <w:tcW w:w="2098"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非正常情况</w:t>
                  </w:r>
                </w:p>
              </w:tc>
              <w:tc>
                <w:tcPr>
                  <w:tcW w:w="1048"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频次</w:t>
                  </w:r>
                </w:p>
              </w:tc>
              <w:tc>
                <w:tcPr>
                  <w:tcW w:w="1384"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污染物</w:t>
                  </w:r>
                </w:p>
              </w:tc>
              <w:tc>
                <w:tcPr>
                  <w:tcW w:w="2095"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0"/>
                      <w:sz w:val="21"/>
                      <w:szCs w:val="21"/>
                      <w:lang w:bidi="ar"/>
                    </w:rPr>
                    <w:t>）</w:t>
                  </w:r>
                </w:p>
              </w:tc>
              <w:tc>
                <w:tcPr>
                  <w:tcW w:w="1177"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持续时间</w:t>
                  </w:r>
                </w:p>
              </w:tc>
              <w:tc>
                <w:tcPr>
                  <w:tcW w:w="1411" w:type="dxa"/>
                  <w:noWrap w:val="0"/>
                  <w:vAlign w:val="center"/>
                </w:tcPr>
                <w:p>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bidi="ar"/>
                    </w:rPr>
                    <w:t>排放量（kg）</w:t>
                  </w:r>
                </w:p>
              </w:tc>
              <w:tc>
                <w:tcPr>
                  <w:tcW w:w="2059" w:type="dxa"/>
                  <w:noWrap w:val="0"/>
                  <w:vAlign w:val="center"/>
                </w:tcPr>
                <w:p>
                  <w:pPr>
                    <w:widowControl/>
                    <w:jc w:val="center"/>
                    <w:textAlignment w:val="center"/>
                    <w:rPr>
                      <w:rFonts w:hint="eastAsia"/>
                      <w:b/>
                      <w:bCs/>
                      <w:color w:val="auto"/>
                      <w:kern w:val="0"/>
                      <w:szCs w:val="21"/>
                      <w:lang w:bidi="ar"/>
                    </w:rPr>
                  </w:pPr>
                  <w:r>
                    <w:rPr>
                      <w:rFonts w:hint="eastAsia"/>
                      <w:b/>
                      <w:bCs/>
                      <w:color w:val="auto"/>
                      <w:kern w:val="0"/>
                      <w:szCs w:val="21"/>
                      <w:lang w:bidi="ar"/>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1803"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接线盒焊接、固化、酒精擦拭</w:t>
                  </w:r>
                </w:p>
              </w:tc>
              <w:tc>
                <w:tcPr>
                  <w:tcW w:w="1924"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eastAsia="zh-CN" w:bidi="ar"/>
                    </w:rPr>
                    <w:t>袋式除尘</w:t>
                  </w:r>
                  <w:r>
                    <w:rPr>
                      <w:rFonts w:hint="default" w:ascii="Times New Roman" w:hAnsi="Times New Roman" w:eastAsia="宋体" w:cs="Times New Roman"/>
                      <w:color w:val="auto"/>
                      <w:kern w:val="0"/>
                      <w:sz w:val="21"/>
                      <w:szCs w:val="21"/>
                      <w:lang w:bidi="ar"/>
                    </w:rPr>
                    <w:t>+二级活性炭吸附装置</w:t>
                  </w:r>
                </w:p>
              </w:tc>
              <w:tc>
                <w:tcPr>
                  <w:tcW w:w="2098"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活性炭饱和，有机废气处理效率为0</w:t>
                  </w:r>
                </w:p>
              </w:tc>
              <w:tc>
                <w:tcPr>
                  <w:tcW w:w="1048"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1次/3年</w:t>
                  </w:r>
                </w:p>
              </w:tc>
              <w:tc>
                <w:tcPr>
                  <w:tcW w:w="1384"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sz w:val="21"/>
                      <w:szCs w:val="21"/>
                    </w:rPr>
                    <w:t>非甲烷总烃</w:t>
                  </w:r>
                </w:p>
              </w:tc>
              <w:tc>
                <w:tcPr>
                  <w:tcW w:w="2095"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98.718</w:t>
                  </w:r>
                </w:p>
              </w:tc>
              <w:tc>
                <w:tcPr>
                  <w:tcW w:w="1177" w:type="dxa"/>
                  <w:noWrap w:val="0"/>
                  <w:vAlign w:val="center"/>
                </w:tcPr>
                <w:p>
                  <w:pPr>
                    <w:widowControl/>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30min</w:t>
                  </w:r>
                </w:p>
              </w:tc>
              <w:tc>
                <w:tcPr>
                  <w:tcW w:w="1411" w:type="dxa"/>
                  <w:noWrap w:val="0"/>
                  <w:vAlign w:val="center"/>
                </w:tcPr>
                <w:p>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0.642</w:t>
                  </w:r>
                </w:p>
              </w:tc>
              <w:tc>
                <w:tcPr>
                  <w:tcW w:w="2059" w:type="dxa"/>
                  <w:noWrap w:val="0"/>
                  <w:vAlign w:val="center"/>
                </w:tcPr>
                <w:p>
                  <w:pPr>
                    <w:widowControl/>
                    <w:jc w:val="center"/>
                    <w:textAlignment w:val="center"/>
                    <w:rPr>
                      <w:rFonts w:hint="eastAsia"/>
                      <w:color w:val="auto"/>
                      <w:kern w:val="0"/>
                      <w:szCs w:val="21"/>
                      <w:lang w:bidi="ar"/>
                    </w:rPr>
                  </w:pPr>
                  <w:r>
                    <w:rPr>
                      <w:rFonts w:hint="eastAsia"/>
                      <w:color w:val="auto"/>
                      <w:kern w:val="0"/>
                      <w:szCs w:val="21"/>
                      <w:lang w:bidi="ar"/>
                    </w:rPr>
                    <w:t>接线盒焊接、固化、酒精擦拭工序停产</w:t>
                  </w:r>
                </w:p>
              </w:tc>
            </w:tr>
          </w:tbl>
          <w:p>
            <w:pPr>
              <w:widowControl/>
              <w:numPr>
                <w:ilvl w:val="0"/>
                <w:numId w:val="2"/>
              </w:numPr>
              <w:jc w:val="center"/>
              <w:rPr>
                <w:rFonts w:hint="eastAsia"/>
                <w:b/>
                <w:color w:val="auto"/>
                <w:kern w:val="0"/>
                <w:szCs w:val="21"/>
              </w:rPr>
            </w:pPr>
            <w:r>
              <w:rPr>
                <w:rFonts w:hint="eastAsia"/>
                <w:b/>
                <w:color w:val="auto"/>
                <w:kern w:val="0"/>
                <w:szCs w:val="21"/>
              </w:rPr>
              <w:t>本</w:t>
            </w:r>
            <w:r>
              <w:rPr>
                <w:b/>
                <w:color w:val="auto"/>
                <w:kern w:val="0"/>
                <w:szCs w:val="21"/>
              </w:rPr>
              <w:t>项目大气</w:t>
            </w:r>
            <w:r>
              <w:rPr>
                <w:rFonts w:hint="eastAsia"/>
                <w:b/>
                <w:color w:val="auto"/>
                <w:kern w:val="0"/>
                <w:szCs w:val="21"/>
              </w:rPr>
              <w:t>排放口基本</w:t>
            </w:r>
            <w:r>
              <w:rPr>
                <w:b/>
                <w:color w:val="auto"/>
                <w:kern w:val="0"/>
                <w:szCs w:val="21"/>
              </w:rPr>
              <w:t>情况一览表</w:t>
            </w:r>
          </w:p>
          <w:tbl>
            <w:tblPr>
              <w:tblStyle w:val="20"/>
              <w:tblW w:w="0" w:type="auto"/>
              <w:tblInd w:w="0" w:type="dxa"/>
              <w:tblLayout w:type="fixed"/>
              <w:tblCellMar>
                <w:top w:w="0" w:type="dxa"/>
                <w:left w:w="0" w:type="dxa"/>
                <w:bottom w:w="0" w:type="dxa"/>
                <w:right w:w="0" w:type="dxa"/>
              </w:tblCellMar>
            </w:tblPr>
            <w:tblGrid>
              <w:gridCol w:w="561"/>
              <w:gridCol w:w="873"/>
              <w:gridCol w:w="1333"/>
              <w:gridCol w:w="1333"/>
              <w:gridCol w:w="939"/>
              <w:gridCol w:w="917"/>
              <w:gridCol w:w="1411"/>
              <w:gridCol w:w="1334"/>
              <w:gridCol w:w="861"/>
              <w:gridCol w:w="887"/>
              <w:gridCol w:w="724"/>
              <w:gridCol w:w="1241"/>
              <w:gridCol w:w="1713"/>
              <w:gridCol w:w="866"/>
            </w:tblGrid>
            <w:tr>
              <w:tblPrEx>
                <w:tblCellMar>
                  <w:top w:w="0" w:type="dxa"/>
                  <w:left w:w="0" w:type="dxa"/>
                  <w:bottom w:w="0" w:type="dxa"/>
                  <w:right w:w="0" w:type="dxa"/>
                </w:tblCellMar>
              </w:tblPrEx>
              <w:trPr>
                <w:trHeight w:val="316" w:hRule="atLeast"/>
              </w:trPr>
              <w:tc>
                <w:tcPr>
                  <w:tcW w:w="56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rPr>
                  </w:pPr>
                  <w:r>
                    <w:rPr>
                      <w:rFonts w:hint="eastAsia"/>
                      <w:b/>
                      <w:bCs/>
                      <w:color w:val="auto"/>
                    </w:rPr>
                    <w:t>序号</w:t>
                  </w:r>
                </w:p>
              </w:tc>
              <w:tc>
                <w:tcPr>
                  <w:tcW w:w="87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排放口编号</w:t>
                  </w:r>
                </w:p>
              </w:tc>
              <w:tc>
                <w:tcPr>
                  <w:tcW w:w="133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p>
              </w:tc>
              <w:tc>
                <w:tcPr>
                  <w:tcW w:w="13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污染物种类</w:t>
                  </w:r>
                </w:p>
              </w:tc>
              <w:tc>
                <w:tcPr>
                  <w:tcW w:w="1856"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排放标准</w:t>
                  </w:r>
                </w:p>
              </w:tc>
              <w:tc>
                <w:tcPr>
                  <w:tcW w:w="2745"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排放口地理坐标</w:t>
                  </w:r>
                </w:p>
              </w:tc>
              <w:tc>
                <w:tcPr>
                  <w:tcW w:w="2472"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排气筒参数</w:t>
                  </w:r>
                </w:p>
              </w:tc>
              <w:tc>
                <w:tcPr>
                  <w:tcW w:w="3820"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监测要求</w:t>
                  </w:r>
                </w:p>
              </w:tc>
            </w:tr>
            <w:tr>
              <w:tblPrEx>
                <w:tblCellMar>
                  <w:top w:w="0" w:type="dxa"/>
                  <w:left w:w="0" w:type="dxa"/>
                  <w:bottom w:w="0" w:type="dxa"/>
                  <w:right w:w="0" w:type="dxa"/>
                </w:tblCellMar>
              </w:tblPrEx>
              <w:trPr>
                <w:trHeight w:val="610" w:hRule="atLeast"/>
              </w:trPr>
              <w:tc>
                <w:tcPr>
                  <w:tcW w:w="56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p>
              </w:tc>
              <w:tc>
                <w:tcPr>
                  <w:tcW w:w="87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p>
              </w:tc>
              <w:tc>
                <w:tcPr>
                  <w:tcW w:w="1333" w:type="dxa"/>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b/>
                      <w:bCs/>
                      <w:color w:val="auto"/>
                      <w:lang w:val="en-US" w:eastAsia="zh-CN"/>
                    </w:rPr>
                  </w:pPr>
                  <w:r>
                    <w:rPr>
                      <w:rFonts w:hint="eastAsia"/>
                      <w:b/>
                      <w:bCs/>
                      <w:color w:val="auto"/>
                      <w:lang w:val="en-US" w:eastAsia="zh-CN"/>
                    </w:rPr>
                    <w:t>排放口类型</w:t>
                  </w:r>
                </w:p>
              </w:tc>
              <w:tc>
                <w:tcPr>
                  <w:tcW w:w="13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rPr>
                  </w:pPr>
                  <w:r>
                    <w:rPr>
                      <w:b/>
                      <w:bCs/>
                      <w:color w:val="auto"/>
                    </w:rPr>
                    <w:t>浓度</w:t>
                  </w:r>
                </w:p>
                <w:p>
                  <w:pPr>
                    <w:widowControl/>
                    <w:jc w:val="center"/>
                    <w:textAlignment w:val="center"/>
                    <w:rPr>
                      <w:rFonts w:hint="eastAsia"/>
                      <w:b/>
                      <w:bCs/>
                      <w:color w:val="auto"/>
                    </w:rPr>
                  </w:pPr>
                  <w:r>
                    <w:rPr>
                      <w:b/>
                      <w:bCs/>
                      <w:color w:val="auto"/>
                    </w:rPr>
                    <w:t>(mg/m</w:t>
                  </w:r>
                  <w:r>
                    <w:rPr>
                      <w:b/>
                      <w:bCs/>
                      <w:color w:val="auto"/>
                      <w:vertAlign w:val="superscript"/>
                    </w:rPr>
                    <w:t>3</w:t>
                  </w:r>
                  <w:r>
                    <w:rPr>
                      <w:b/>
                      <w:bCs/>
                      <w:color w:val="auto"/>
                    </w:rPr>
                    <w:t>)</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b/>
                      <w:bCs/>
                      <w:color w:val="auto"/>
                    </w:rPr>
                  </w:pPr>
                  <w:r>
                    <w:rPr>
                      <w:b/>
                      <w:bCs/>
                      <w:color w:val="auto"/>
                    </w:rPr>
                    <w:t>速率</w:t>
                  </w:r>
                </w:p>
                <w:p>
                  <w:pPr>
                    <w:widowControl/>
                    <w:jc w:val="center"/>
                    <w:textAlignment w:val="center"/>
                    <w:rPr>
                      <w:rFonts w:hint="eastAsia"/>
                      <w:b/>
                      <w:bCs/>
                      <w:color w:val="auto"/>
                    </w:rPr>
                  </w:pPr>
                  <w:r>
                    <w:rPr>
                      <w:b/>
                      <w:bCs/>
                      <w:color w:val="auto"/>
                    </w:rPr>
                    <w:t>(kg/h)</w:t>
                  </w:r>
                </w:p>
              </w:tc>
              <w:tc>
                <w:tcPr>
                  <w:tcW w:w="1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经度</w:t>
                  </w:r>
                </w:p>
              </w:tc>
              <w:tc>
                <w:tcPr>
                  <w:tcW w:w="13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纬度</w:t>
                  </w:r>
                </w:p>
              </w:tc>
              <w:tc>
                <w:tcPr>
                  <w:tcW w:w="8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高度</w:t>
                  </w:r>
                </w:p>
                <w:p>
                  <w:pPr>
                    <w:widowControl/>
                    <w:jc w:val="center"/>
                    <w:textAlignment w:val="center"/>
                    <w:rPr>
                      <w:rFonts w:hint="eastAsia"/>
                      <w:b/>
                      <w:bCs/>
                      <w:color w:val="auto"/>
                    </w:rPr>
                  </w:pPr>
                  <w:r>
                    <w:rPr>
                      <w:rFonts w:hint="eastAsia"/>
                      <w:b/>
                      <w:bCs/>
                      <w:color w:val="auto"/>
                    </w:rPr>
                    <w:t>（m）</w:t>
                  </w:r>
                </w:p>
              </w:tc>
              <w:tc>
                <w:tcPr>
                  <w:tcW w:w="88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出口内径（m）</w:t>
                  </w:r>
                </w:p>
              </w:tc>
              <w:tc>
                <w:tcPr>
                  <w:tcW w:w="7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温度</w:t>
                  </w:r>
                </w:p>
                <w:p>
                  <w:pPr>
                    <w:widowControl/>
                    <w:jc w:val="center"/>
                    <w:textAlignment w:val="center"/>
                    <w:rPr>
                      <w:rFonts w:hint="eastAsia"/>
                      <w:b/>
                      <w:bCs/>
                      <w:color w:val="auto"/>
                    </w:rPr>
                  </w:pPr>
                  <w:r>
                    <w:rPr>
                      <w:rFonts w:hint="eastAsia"/>
                      <w:b/>
                      <w:bCs/>
                      <w:color w:val="auto"/>
                    </w:rPr>
                    <w:t>（℃）</w:t>
                  </w:r>
                </w:p>
              </w:tc>
              <w:tc>
                <w:tcPr>
                  <w:tcW w:w="12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监测点位</w:t>
                  </w:r>
                </w:p>
              </w:tc>
              <w:tc>
                <w:tcPr>
                  <w:tcW w:w="1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监测因子</w:t>
                  </w:r>
                </w:p>
              </w:tc>
              <w:tc>
                <w:tcPr>
                  <w:tcW w:w="8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b/>
                      <w:bCs/>
                      <w:color w:val="auto"/>
                    </w:rPr>
                  </w:pPr>
                  <w:r>
                    <w:rPr>
                      <w:rFonts w:hint="eastAsia"/>
                      <w:b/>
                      <w:bCs/>
                      <w:color w:val="auto"/>
                    </w:rPr>
                    <w:t>监测频次</w:t>
                  </w:r>
                </w:p>
              </w:tc>
            </w:tr>
            <w:tr>
              <w:tblPrEx>
                <w:tblCellMar>
                  <w:top w:w="0" w:type="dxa"/>
                  <w:left w:w="0" w:type="dxa"/>
                  <w:bottom w:w="0" w:type="dxa"/>
                  <w:right w:w="0" w:type="dxa"/>
                </w:tblCellMar>
              </w:tblPrEx>
              <w:trPr>
                <w:trHeight w:val="316" w:hRule="atLeast"/>
              </w:trPr>
              <w:tc>
                <w:tcPr>
                  <w:tcW w:w="561"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w:t>
                  </w:r>
                </w:p>
              </w:tc>
              <w:tc>
                <w:tcPr>
                  <w:tcW w:w="87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rPr>
                    <w:t>DA0</w:t>
                  </w:r>
                  <w:r>
                    <w:rPr>
                      <w:rFonts w:hint="eastAsia"/>
                      <w:color w:val="auto"/>
                      <w:lang w:val="en-US" w:eastAsia="zh-CN"/>
                    </w:rPr>
                    <w:t>17</w:t>
                  </w:r>
                </w:p>
              </w:tc>
              <w:tc>
                <w:tcPr>
                  <w:tcW w:w="13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lang w:eastAsia="zh-CN"/>
                    </w:rPr>
                  </w:pPr>
                  <w:r>
                    <w:rPr>
                      <w:rFonts w:hint="eastAsia"/>
                      <w:color w:val="auto"/>
                      <w:lang w:eastAsia="zh-CN"/>
                    </w:rPr>
                    <w:t>一般排放口</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颗粒物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20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0.8</w:t>
                  </w:r>
                </w:p>
              </w:tc>
              <w:tc>
                <w:tcPr>
                  <w:tcW w:w="1411"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117.111020</w:t>
                  </w:r>
                </w:p>
              </w:tc>
              <w:tc>
                <w:tcPr>
                  <w:tcW w:w="133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31.806766</w:t>
                  </w:r>
                </w:p>
              </w:tc>
              <w:tc>
                <w:tcPr>
                  <w:tcW w:w="861"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23</w:t>
                  </w:r>
                </w:p>
              </w:tc>
              <w:tc>
                <w:tcPr>
                  <w:tcW w:w="887"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lang w:val="en-US" w:eastAsia="zh-CN"/>
                    </w:rPr>
                  </w:pPr>
                  <w:r>
                    <w:rPr>
                      <w:rFonts w:hint="eastAsia"/>
                      <w:color w:val="auto"/>
                    </w:rPr>
                    <w:t>1.</w:t>
                  </w:r>
                  <w:r>
                    <w:rPr>
                      <w:rFonts w:hint="eastAsia"/>
                      <w:color w:val="auto"/>
                      <w:lang w:val="en-US" w:eastAsia="zh-CN"/>
                    </w:rPr>
                    <w:t>0</w:t>
                  </w:r>
                </w:p>
              </w:tc>
              <w:tc>
                <w:tcPr>
                  <w:tcW w:w="72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常温</w:t>
                  </w:r>
                </w:p>
              </w:tc>
              <w:tc>
                <w:tcPr>
                  <w:tcW w:w="1241"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排气筒出口</w:t>
                  </w:r>
                </w:p>
              </w:tc>
              <w:tc>
                <w:tcPr>
                  <w:tcW w:w="1713"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颗粒物、锡及其化合物、非甲烷总烃</w:t>
                  </w:r>
                </w:p>
              </w:tc>
              <w:tc>
                <w:tcPr>
                  <w:tcW w:w="866"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rPr>
                  </w:pPr>
                  <w:r>
                    <w:rPr>
                      <w:rFonts w:hint="eastAsia"/>
                      <w:color w:val="auto"/>
                    </w:rPr>
                    <w:t>1次/季</w:t>
                  </w:r>
                </w:p>
              </w:tc>
            </w:tr>
            <w:tr>
              <w:tblPrEx>
                <w:tblCellMar>
                  <w:top w:w="0" w:type="dxa"/>
                  <w:left w:w="0" w:type="dxa"/>
                  <w:bottom w:w="0" w:type="dxa"/>
                  <w:right w:w="0" w:type="dxa"/>
                </w:tblCellMar>
              </w:tblPrEx>
              <w:trPr>
                <w:trHeight w:val="316" w:hRule="atLeast"/>
              </w:trPr>
              <w:tc>
                <w:tcPr>
                  <w:tcW w:w="56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p>
              </w:tc>
              <w:tc>
                <w:tcPr>
                  <w:tcW w:w="87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p>
              </w:tc>
              <w:tc>
                <w:tcPr>
                  <w:tcW w:w="133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锡及其化合物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5</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0.22</w:t>
                  </w:r>
                </w:p>
              </w:tc>
              <w:tc>
                <w:tcPr>
                  <w:tcW w:w="141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4"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6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16" w:hRule="atLeast"/>
              </w:trPr>
              <w:tc>
                <w:tcPr>
                  <w:tcW w:w="56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7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非甲烷总烃</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70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3.0</w:t>
                  </w:r>
                </w:p>
              </w:tc>
              <w:tc>
                <w:tcPr>
                  <w:tcW w:w="141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6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16" w:hRule="atLeast"/>
              </w:trPr>
              <w:tc>
                <w:tcPr>
                  <w:tcW w:w="561"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2</w:t>
                  </w:r>
                </w:p>
              </w:tc>
              <w:tc>
                <w:tcPr>
                  <w:tcW w:w="873"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DA018</w:t>
                  </w:r>
                </w:p>
              </w:tc>
              <w:tc>
                <w:tcPr>
                  <w:tcW w:w="13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lang w:eastAsia="zh-CN"/>
                    </w:rPr>
                    <w:t>一般排放口</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颗粒物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20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0.8</w:t>
                  </w:r>
                </w:p>
              </w:tc>
              <w:tc>
                <w:tcPr>
                  <w:tcW w:w="1411"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117.111277</w:t>
                  </w:r>
                </w:p>
              </w:tc>
              <w:tc>
                <w:tcPr>
                  <w:tcW w:w="1334"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31.806766</w:t>
                  </w:r>
                </w:p>
              </w:tc>
              <w:tc>
                <w:tcPr>
                  <w:tcW w:w="861"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23</w:t>
                  </w:r>
                </w:p>
              </w:tc>
              <w:tc>
                <w:tcPr>
                  <w:tcW w:w="887"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1.0</w:t>
                  </w:r>
                </w:p>
              </w:tc>
              <w:tc>
                <w:tcPr>
                  <w:tcW w:w="724" w:type="dxa"/>
                  <w:vMerge w:val="restart"/>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常温</w:t>
                  </w:r>
                </w:p>
              </w:tc>
              <w:tc>
                <w:tcPr>
                  <w:tcW w:w="1241" w:type="dxa"/>
                  <w:vMerge w:val="restart"/>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排气筒出口</w:t>
                  </w:r>
                </w:p>
              </w:tc>
              <w:tc>
                <w:tcPr>
                  <w:tcW w:w="1713" w:type="dxa"/>
                  <w:vMerge w:val="restart"/>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颗粒物、锡及其化合物、非甲烷总烃</w:t>
                  </w:r>
                </w:p>
              </w:tc>
              <w:tc>
                <w:tcPr>
                  <w:tcW w:w="866" w:type="dxa"/>
                  <w:vMerge w:val="restart"/>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1次/季</w:t>
                  </w:r>
                </w:p>
              </w:tc>
            </w:tr>
            <w:tr>
              <w:tblPrEx>
                <w:tblCellMar>
                  <w:top w:w="0" w:type="dxa"/>
                  <w:left w:w="0" w:type="dxa"/>
                  <w:bottom w:w="0" w:type="dxa"/>
                  <w:right w:w="0" w:type="dxa"/>
                </w:tblCellMar>
              </w:tblPrEx>
              <w:trPr>
                <w:trHeight w:val="316" w:hRule="atLeast"/>
              </w:trPr>
              <w:tc>
                <w:tcPr>
                  <w:tcW w:w="56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7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锡及其化合物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5</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0.22</w:t>
                  </w:r>
                </w:p>
              </w:tc>
              <w:tc>
                <w:tcPr>
                  <w:tcW w:w="141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4"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61"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16" w:hRule="atLeast"/>
              </w:trPr>
              <w:tc>
                <w:tcPr>
                  <w:tcW w:w="56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7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非甲烷总烃</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70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3.0</w:t>
                  </w:r>
                </w:p>
              </w:tc>
              <w:tc>
                <w:tcPr>
                  <w:tcW w:w="141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61"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16" w:hRule="atLeast"/>
              </w:trPr>
              <w:tc>
                <w:tcPr>
                  <w:tcW w:w="5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lang w:val="en-US" w:eastAsia="zh-CN"/>
                    </w:rPr>
                  </w:pPr>
                  <w:r>
                    <w:rPr>
                      <w:rFonts w:hint="eastAsia"/>
                      <w:color w:val="auto"/>
                      <w:lang w:val="en-US" w:eastAsia="zh-CN"/>
                    </w:rPr>
                    <w:t>3</w:t>
                  </w:r>
                </w:p>
              </w:tc>
              <w:tc>
                <w:tcPr>
                  <w:tcW w:w="87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color w:val="auto"/>
                      <w:lang w:val="en-US"/>
                    </w:rPr>
                  </w:pPr>
                  <w:r>
                    <w:rPr>
                      <w:rFonts w:hint="eastAsia"/>
                      <w:color w:val="auto"/>
                    </w:rPr>
                    <w:t>DA0</w:t>
                  </w:r>
                  <w:r>
                    <w:rPr>
                      <w:rFonts w:hint="eastAsia"/>
                      <w:color w:val="auto"/>
                      <w:lang w:val="en-US" w:eastAsia="zh-CN"/>
                    </w:rPr>
                    <w:t>19</w:t>
                  </w:r>
                </w:p>
              </w:tc>
              <w:tc>
                <w:tcPr>
                  <w:tcW w:w="1333" w:type="dxa"/>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lang w:eastAsia="zh-CN"/>
                    </w:rPr>
                  </w:pPr>
                  <w:r>
                    <w:rPr>
                      <w:rFonts w:hint="eastAsia"/>
                      <w:color w:val="auto"/>
                      <w:lang w:eastAsia="zh-CN"/>
                    </w:rPr>
                    <w:t>一般排放口</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非甲烷总烃</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70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3.0</w:t>
                  </w:r>
                </w:p>
              </w:tc>
              <w:tc>
                <w:tcPr>
                  <w:tcW w:w="1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117.111020</w:t>
                  </w:r>
                </w:p>
              </w:tc>
              <w:tc>
                <w:tcPr>
                  <w:tcW w:w="13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31.808483</w:t>
                  </w:r>
                </w:p>
              </w:tc>
              <w:tc>
                <w:tcPr>
                  <w:tcW w:w="8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lang w:val="en-US" w:eastAsia="zh-CN"/>
                    </w:rPr>
                  </w:pPr>
                  <w:r>
                    <w:rPr>
                      <w:rFonts w:hint="eastAsia"/>
                      <w:color w:val="auto"/>
                      <w:lang w:val="en-US" w:eastAsia="zh-CN"/>
                    </w:rPr>
                    <w:t>23</w:t>
                  </w:r>
                </w:p>
              </w:tc>
              <w:tc>
                <w:tcPr>
                  <w:tcW w:w="88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lang w:val="en-US" w:eastAsia="zh-CN"/>
                    </w:rPr>
                    <w:t>0.6</w:t>
                  </w:r>
                </w:p>
              </w:tc>
              <w:tc>
                <w:tcPr>
                  <w:tcW w:w="7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常温</w:t>
                  </w:r>
                </w:p>
              </w:tc>
              <w:tc>
                <w:tcPr>
                  <w:tcW w:w="12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排气筒出口</w:t>
                  </w:r>
                </w:p>
              </w:tc>
              <w:tc>
                <w:tcPr>
                  <w:tcW w:w="1713" w:type="dxa"/>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非甲烷总烃</w:t>
                  </w:r>
                </w:p>
              </w:tc>
              <w:tc>
                <w:tcPr>
                  <w:tcW w:w="866" w:type="dxa"/>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1次/季</w:t>
                  </w:r>
                </w:p>
              </w:tc>
            </w:tr>
            <w:tr>
              <w:tblPrEx>
                <w:tblCellMar>
                  <w:top w:w="0" w:type="dxa"/>
                  <w:left w:w="0" w:type="dxa"/>
                  <w:bottom w:w="0" w:type="dxa"/>
                  <w:right w:w="0" w:type="dxa"/>
                </w:tblCellMar>
              </w:tblPrEx>
              <w:trPr>
                <w:trHeight w:val="316" w:hRule="atLeast"/>
              </w:trPr>
              <w:tc>
                <w:tcPr>
                  <w:tcW w:w="56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lang w:eastAsia="zh-CN"/>
                    </w:rPr>
                  </w:pPr>
                  <w:r>
                    <w:rPr>
                      <w:rFonts w:hint="eastAsia"/>
                      <w:color w:val="auto"/>
                      <w:lang w:val="en-US" w:eastAsia="zh-CN"/>
                    </w:rPr>
                    <w:t>4</w:t>
                  </w:r>
                </w:p>
              </w:tc>
              <w:tc>
                <w:tcPr>
                  <w:tcW w:w="87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rPr>
                    <w:t>DA0</w:t>
                  </w:r>
                  <w:r>
                    <w:rPr>
                      <w:rFonts w:hint="eastAsia"/>
                      <w:color w:val="auto"/>
                      <w:lang w:val="en-US" w:eastAsia="zh-CN"/>
                    </w:rPr>
                    <w:t>20</w:t>
                  </w:r>
                </w:p>
              </w:tc>
              <w:tc>
                <w:tcPr>
                  <w:tcW w:w="13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lang w:eastAsia="zh-CN"/>
                    </w:rPr>
                    <w:t>一般排放口</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颗粒物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20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0.8</w:t>
                  </w:r>
                </w:p>
              </w:tc>
              <w:tc>
                <w:tcPr>
                  <w:tcW w:w="141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117.111417</w:t>
                  </w:r>
                </w:p>
              </w:tc>
              <w:tc>
                <w:tcPr>
                  <w:tcW w:w="133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31.808504</w:t>
                  </w:r>
                </w:p>
              </w:tc>
              <w:tc>
                <w:tcPr>
                  <w:tcW w:w="861"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lang w:val="en-US" w:eastAsia="zh-CN"/>
                    </w:rPr>
                    <w:t>23</w:t>
                  </w:r>
                </w:p>
              </w:tc>
              <w:tc>
                <w:tcPr>
                  <w:tcW w:w="887"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0.6</w:t>
                  </w:r>
                </w:p>
              </w:tc>
              <w:tc>
                <w:tcPr>
                  <w:tcW w:w="724"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常温</w:t>
                  </w:r>
                </w:p>
              </w:tc>
              <w:tc>
                <w:tcPr>
                  <w:tcW w:w="1241"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排气筒出口</w:t>
                  </w:r>
                </w:p>
              </w:tc>
              <w:tc>
                <w:tcPr>
                  <w:tcW w:w="1713"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颗粒物、锡及其化合物、非甲烷总烃</w:t>
                  </w:r>
                </w:p>
              </w:tc>
              <w:tc>
                <w:tcPr>
                  <w:tcW w:w="866"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1次/季</w:t>
                  </w:r>
                </w:p>
              </w:tc>
            </w:tr>
            <w:tr>
              <w:tblPrEx>
                <w:tblCellMar>
                  <w:top w:w="0" w:type="dxa"/>
                  <w:left w:w="0" w:type="dxa"/>
                  <w:bottom w:w="0" w:type="dxa"/>
                  <w:right w:w="0" w:type="dxa"/>
                </w:tblCellMar>
              </w:tblPrEx>
              <w:trPr>
                <w:trHeight w:val="316" w:hRule="atLeast"/>
              </w:trPr>
              <w:tc>
                <w:tcPr>
                  <w:tcW w:w="56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7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锡及其化合物</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5</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0.22</w:t>
                  </w:r>
                </w:p>
              </w:tc>
              <w:tc>
                <w:tcPr>
                  <w:tcW w:w="141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133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86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16" w:hRule="atLeast"/>
              </w:trPr>
              <w:tc>
                <w:tcPr>
                  <w:tcW w:w="56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7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非甲烷总烃</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70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3.0</w:t>
                  </w:r>
                </w:p>
              </w:tc>
              <w:tc>
                <w:tcPr>
                  <w:tcW w:w="141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133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861"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887"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724"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p>
              </w:tc>
              <w:tc>
                <w:tcPr>
                  <w:tcW w:w="1241"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1713"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c>
                <w:tcPr>
                  <w:tcW w:w="866"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p>
              </w:tc>
            </w:tr>
            <w:tr>
              <w:tblPrEx>
                <w:tblCellMar>
                  <w:top w:w="0" w:type="dxa"/>
                  <w:left w:w="0" w:type="dxa"/>
                  <w:bottom w:w="0" w:type="dxa"/>
                  <w:right w:w="0" w:type="dxa"/>
                </w:tblCellMar>
              </w:tblPrEx>
              <w:trPr>
                <w:trHeight w:val="327" w:hRule="atLeast"/>
              </w:trPr>
              <w:tc>
                <w:tcPr>
                  <w:tcW w:w="5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5</w:t>
                  </w:r>
                </w:p>
              </w:tc>
              <w:tc>
                <w:tcPr>
                  <w:tcW w:w="87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lang w:val="en-US" w:eastAsia="zh-CN"/>
                    </w:rPr>
                  </w:pPr>
                  <w:r>
                    <w:rPr>
                      <w:rFonts w:hint="eastAsia"/>
                      <w:color w:val="auto"/>
                    </w:rPr>
                    <w:t>DA0</w:t>
                  </w:r>
                  <w:r>
                    <w:rPr>
                      <w:rFonts w:hint="eastAsia"/>
                      <w:color w:val="auto"/>
                      <w:lang w:val="en-US" w:eastAsia="zh-CN"/>
                    </w:rPr>
                    <w:t>10</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lang w:eastAsia="zh-CN"/>
                    </w:rPr>
                    <w:t>一般排放口</w:t>
                  </w:r>
                </w:p>
              </w:tc>
              <w:tc>
                <w:tcPr>
                  <w:tcW w:w="13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二甲苯</w:t>
                  </w:r>
                </w:p>
              </w:tc>
              <w:tc>
                <w:tcPr>
                  <w:tcW w:w="93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20</w:t>
                  </w:r>
                </w:p>
              </w:tc>
              <w:tc>
                <w:tcPr>
                  <w:tcW w:w="91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0.8</w:t>
                  </w:r>
                </w:p>
              </w:tc>
              <w:tc>
                <w:tcPr>
                  <w:tcW w:w="141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117.114389</w:t>
                  </w:r>
                </w:p>
              </w:tc>
              <w:tc>
                <w:tcPr>
                  <w:tcW w:w="13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31.80800</w:t>
                  </w:r>
                </w:p>
              </w:tc>
              <w:tc>
                <w:tcPr>
                  <w:tcW w:w="861"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15</w:t>
                  </w:r>
                </w:p>
              </w:tc>
              <w:tc>
                <w:tcPr>
                  <w:tcW w:w="88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rPr>
                  </w:pPr>
                  <w:r>
                    <w:rPr>
                      <w:rFonts w:hint="eastAsia"/>
                      <w:color w:val="auto"/>
                    </w:rPr>
                    <w:t>0.3</w:t>
                  </w:r>
                </w:p>
              </w:tc>
              <w:tc>
                <w:tcPr>
                  <w:tcW w:w="72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常温</w:t>
                  </w:r>
                </w:p>
              </w:tc>
              <w:tc>
                <w:tcPr>
                  <w:tcW w:w="124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排气筒出口</w:t>
                  </w:r>
                </w:p>
              </w:tc>
              <w:tc>
                <w:tcPr>
                  <w:tcW w:w="171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二甲苯</w:t>
                  </w:r>
                </w:p>
              </w:tc>
              <w:tc>
                <w:tcPr>
                  <w:tcW w:w="866"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color w:val="auto"/>
                    </w:rPr>
                  </w:pPr>
                  <w:r>
                    <w:rPr>
                      <w:rFonts w:hint="eastAsia"/>
                      <w:color w:val="auto"/>
                    </w:rPr>
                    <w:t>1次/季</w:t>
                  </w:r>
                </w:p>
              </w:tc>
            </w:tr>
          </w:tbl>
          <w:p>
            <w:pPr>
              <w:rPr>
                <w:rFonts w:hint="eastAsia"/>
                <w:color w:val="auto"/>
              </w:rPr>
            </w:pPr>
          </w:p>
        </w:tc>
      </w:tr>
    </w:tbl>
    <w:p>
      <w:pPr>
        <w:pStyle w:val="3"/>
        <w:rPr>
          <w:rFonts w:hint="eastAsia"/>
          <w:color w:val="auto"/>
        </w:rPr>
        <w:sectPr>
          <w:pgSz w:w="16840" w:h="11907" w:orient="landscape"/>
          <w:pgMar w:top="1418" w:right="850" w:bottom="1418" w:left="850"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7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pPr>
              <w:adjustRightInd w:val="0"/>
              <w:snapToGrid w:val="0"/>
              <w:jc w:val="center"/>
              <w:rPr>
                <w:rFonts w:hint="eastAsia"/>
                <w:color w:val="auto"/>
              </w:rPr>
            </w:pPr>
            <w:r>
              <w:rPr>
                <w:rFonts w:hint="eastAsia" w:ascii="宋体" w:hAnsi="宋体" w:cs="宋体"/>
                <w:b/>
                <w:bCs/>
                <w:color w:val="auto"/>
                <w:szCs w:val="21"/>
              </w:rPr>
              <w:t>措施</w:t>
            </w:r>
          </w:p>
        </w:tc>
        <w:tc>
          <w:tcPr>
            <w:tcW w:w="7999" w:type="dxa"/>
            <w:noWrap w:val="0"/>
            <w:vAlign w:val="center"/>
          </w:tcPr>
          <w:p>
            <w:pPr>
              <w:spacing w:line="360" w:lineRule="auto"/>
              <w:ind w:firstLine="482" w:firstLineChars="200"/>
              <w:rPr>
                <w:b/>
                <w:bCs/>
                <w:color w:val="auto"/>
                <w:sz w:val="24"/>
              </w:rPr>
            </w:pPr>
            <w:r>
              <w:rPr>
                <w:rFonts w:hint="eastAsia"/>
                <w:b/>
                <w:bCs/>
                <w:color w:val="auto"/>
                <w:sz w:val="24"/>
              </w:rPr>
              <w:t>大气环境影响分析：</w:t>
            </w:r>
          </w:p>
          <w:p>
            <w:pPr>
              <w:spacing w:line="360" w:lineRule="auto"/>
              <w:ind w:firstLine="480" w:firstLineChars="200"/>
              <w:rPr>
                <w:rFonts w:hint="eastAsia"/>
                <w:color w:val="auto"/>
                <w:sz w:val="24"/>
              </w:rPr>
            </w:pPr>
            <w:r>
              <w:rPr>
                <w:color w:val="auto"/>
                <w:sz w:val="24"/>
              </w:rPr>
              <w:t>本项目</w:t>
            </w:r>
            <w:r>
              <w:rPr>
                <w:rFonts w:hint="eastAsia"/>
                <w:color w:val="auto"/>
                <w:sz w:val="24"/>
              </w:rPr>
              <w:t>有组织废气处理措施如下：</w:t>
            </w:r>
          </w:p>
          <w:p>
            <w:pPr>
              <w:spacing w:line="360" w:lineRule="auto"/>
              <w:ind w:firstLine="480" w:firstLineChars="200"/>
              <w:rPr>
                <w:color w:val="auto"/>
                <w:sz w:val="24"/>
              </w:rPr>
            </w:pPr>
            <w:r>
              <w:rPr>
                <w:rFonts w:hint="eastAsia"/>
                <w:color w:val="auto"/>
                <w:sz w:val="24"/>
              </w:rPr>
              <w:t>自动</w:t>
            </w:r>
            <w:r>
              <w:rPr>
                <w:color w:val="auto"/>
                <w:sz w:val="24"/>
              </w:rPr>
              <w:t>划焊工序</w:t>
            </w:r>
            <w:r>
              <w:rPr>
                <w:rFonts w:hint="eastAsia"/>
                <w:color w:val="auto"/>
                <w:sz w:val="24"/>
              </w:rPr>
              <w:t>废气</w:t>
            </w:r>
            <w:r>
              <w:rPr>
                <w:color w:val="auto"/>
                <w:sz w:val="24"/>
              </w:rPr>
              <w:t>通过经密闭设备顶部风管收集</w:t>
            </w:r>
            <w:r>
              <w:rPr>
                <w:rFonts w:hint="eastAsia"/>
                <w:color w:val="auto"/>
                <w:sz w:val="24"/>
              </w:rPr>
              <w:t>后经两套“</w:t>
            </w:r>
            <w:r>
              <w:rPr>
                <w:rFonts w:hint="eastAsia"/>
                <w:color w:val="auto"/>
                <w:sz w:val="24"/>
                <w:lang w:eastAsia="zh-CN"/>
              </w:rPr>
              <w:t>袋式除尘</w:t>
            </w:r>
            <w:r>
              <w:rPr>
                <w:rFonts w:hint="eastAsia"/>
                <w:color w:val="auto"/>
                <w:sz w:val="24"/>
              </w:rPr>
              <w:t>+二级活性炭吸附”处理后通过两根23m高排气筒（DA01</w:t>
            </w:r>
            <w:r>
              <w:rPr>
                <w:rFonts w:hint="eastAsia"/>
                <w:color w:val="auto"/>
                <w:sz w:val="24"/>
                <w:lang w:val="en-US" w:eastAsia="zh-CN"/>
              </w:rPr>
              <w:t>7</w:t>
            </w:r>
            <w:r>
              <w:rPr>
                <w:rFonts w:hint="eastAsia"/>
                <w:color w:val="auto"/>
                <w:sz w:val="24"/>
              </w:rPr>
              <w:t>、DA01</w:t>
            </w:r>
            <w:r>
              <w:rPr>
                <w:rFonts w:hint="eastAsia"/>
                <w:color w:val="auto"/>
                <w:sz w:val="24"/>
                <w:lang w:val="en-US" w:eastAsia="zh-CN"/>
              </w:rPr>
              <w:t>8</w:t>
            </w:r>
            <w:r>
              <w:rPr>
                <w:rFonts w:hint="eastAsia"/>
                <w:color w:val="auto"/>
                <w:sz w:val="24"/>
              </w:rPr>
              <w:t>）排放</w:t>
            </w:r>
            <w:r>
              <w:rPr>
                <w:color w:val="auto"/>
                <w:sz w:val="24"/>
              </w:rPr>
              <w:t>，</w:t>
            </w:r>
            <w:r>
              <w:rPr>
                <w:rFonts w:hint="eastAsia"/>
                <w:color w:val="auto"/>
                <w:sz w:val="24"/>
              </w:rPr>
              <w:t>层压废气经设备风管收集后经一套“静电除油+二级活性炭吸附”处理后通过1根23m高排气筒（DA01</w:t>
            </w:r>
            <w:r>
              <w:rPr>
                <w:rFonts w:hint="eastAsia"/>
                <w:color w:val="auto"/>
                <w:sz w:val="24"/>
                <w:lang w:val="en-US" w:eastAsia="zh-CN"/>
              </w:rPr>
              <w:t>9</w:t>
            </w:r>
            <w:r>
              <w:rPr>
                <w:rFonts w:hint="eastAsia"/>
                <w:color w:val="auto"/>
                <w:sz w:val="24"/>
              </w:rPr>
              <w:t>）排放</w:t>
            </w:r>
            <w:r>
              <w:rPr>
                <w:color w:val="auto"/>
                <w:sz w:val="24"/>
              </w:rPr>
              <w:t>，装框固化</w:t>
            </w:r>
            <w:r>
              <w:rPr>
                <w:rFonts w:hint="eastAsia"/>
                <w:color w:val="auto"/>
                <w:sz w:val="24"/>
              </w:rPr>
              <w:t>、接线盒焊接及</w:t>
            </w:r>
            <w:r>
              <w:rPr>
                <w:rFonts w:hint="eastAsia"/>
                <w:color w:val="auto"/>
                <w:sz w:val="24"/>
                <w:lang w:eastAsia="zh-CN"/>
              </w:rPr>
              <w:t>酒精擦拭</w:t>
            </w:r>
            <w:r>
              <w:rPr>
                <w:rFonts w:hint="eastAsia"/>
                <w:color w:val="auto"/>
                <w:sz w:val="24"/>
              </w:rPr>
              <w:t>清洗</w:t>
            </w:r>
            <w:r>
              <w:rPr>
                <w:color w:val="auto"/>
                <w:sz w:val="24"/>
              </w:rPr>
              <w:t>过程产生的有机废气经密闭</w:t>
            </w:r>
            <w:r>
              <w:rPr>
                <w:rFonts w:hint="eastAsia"/>
                <w:color w:val="auto"/>
                <w:sz w:val="24"/>
              </w:rPr>
              <w:t>设备/房间收集后</w:t>
            </w:r>
            <w:r>
              <w:rPr>
                <w:color w:val="auto"/>
                <w:sz w:val="24"/>
              </w:rPr>
              <w:t>汇总经一套</w:t>
            </w:r>
            <w:r>
              <w:rPr>
                <w:rFonts w:hint="eastAsia"/>
                <w:color w:val="auto"/>
                <w:sz w:val="24"/>
              </w:rPr>
              <w:t>“</w:t>
            </w:r>
            <w:r>
              <w:rPr>
                <w:rFonts w:hint="eastAsia"/>
                <w:color w:val="auto"/>
                <w:sz w:val="24"/>
                <w:lang w:eastAsia="zh-CN"/>
              </w:rPr>
              <w:t>袋式除尘</w:t>
            </w:r>
            <w:r>
              <w:rPr>
                <w:rFonts w:hint="eastAsia"/>
                <w:color w:val="auto"/>
                <w:sz w:val="24"/>
              </w:rPr>
              <w:t>+</w:t>
            </w:r>
            <w:r>
              <w:rPr>
                <w:color w:val="auto"/>
                <w:sz w:val="24"/>
              </w:rPr>
              <w:t>二级活性炭吸附</w:t>
            </w:r>
            <w:r>
              <w:rPr>
                <w:rFonts w:hint="eastAsia"/>
                <w:color w:val="auto"/>
                <w:sz w:val="24"/>
              </w:rPr>
              <w:t>”</w:t>
            </w:r>
            <w:r>
              <w:rPr>
                <w:color w:val="auto"/>
                <w:sz w:val="24"/>
              </w:rPr>
              <w:t>处理后通过1根</w:t>
            </w:r>
            <w:r>
              <w:rPr>
                <w:rFonts w:hint="eastAsia"/>
                <w:color w:val="auto"/>
                <w:sz w:val="24"/>
              </w:rPr>
              <w:t>23</w:t>
            </w:r>
            <w:r>
              <w:rPr>
                <w:color w:val="auto"/>
                <w:sz w:val="24"/>
              </w:rPr>
              <w:t>m高排气筒（DA0</w:t>
            </w:r>
            <w:r>
              <w:rPr>
                <w:rFonts w:hint="eastAsia"/>
                <w:color w:val="auto"/>
                <w:sz w:val="24"/>
                <w:lang w:val="en-US" w:eastAsia="zh-CN"/>
              </w:rPr>
              <w:t>20</w:t>
            </w:r>
            <w:r>
              <w:rPr>
                <w:color w:val="auto"/>
                <w:sz w:val="24"/>
              </w:rPr>
              <w:t>），</w:t>
            </w:r>
            <w:r>
              <w:rPr>
                <w:rFonts w:hint="eastAsia"/>
                <w:color w:val="auto"/>
                <w:sz w:val="24"/>
              </w:rPr>
              <w:t>EVA抽检二甲苯废气依托实验室现有</w:t>
            </w:r>
            <w:r>
              <w:rPr>
                <w:color w:val="auto"/>
                <w:sz w:val="24"/>
              </w:rPr>
              <w:t>一套</w:t>
            </w:r>
            <w:r>
              <w:rPr>
                <w:rFonts w:hint="eastAsia"/>
                <w:color w:val="auto"/>
                <w:sz w:val="24"/>
              </w:rPr>
              <w:t>“</w:t>
            </w:r>
            <w:r>
              <w:rPr>
                <w:color w:val="auto"/>
                <w:sz w:val="24"/>
              </w:rPr>
              <w:t>二级活性炭吸附</w:t>
            </w:r>
            <w:r>
              <w:rPr>
                <w:rFonts w:hint="eastAsia"/>
                <w:color w:val="auto"/>
                <w:sz w:val="24"/>
              </w:rPr>
              <w:t>”</w:t>
            </w:r>
            <w:r>
              <w:rPr>
                <w:color w:val="auto"/>
                <w:sz w:val="24"/>
              </w:rPr>
              <w:t>处理后通过1根</w:t>
            </w:r>
            <w:r>
              <w:rPr>
                <w:rFonts w:hint="eastAsia"/>
                <w:color w:val="auto"/>
                <w:sz w:val="24"/>
                <w:lang w:val="en-US" w:eastAsia="zh-CN"/>
              </w:rPr>
              <w:t>15</w:t>
            </w:r>
            <w:r>
              <w:rPr>
                <w:color w:val="auto"/>
                <w:sz w:val="24"/>
              </w:rPr>
              <w:t>m高排气筒（DA0</w:t>
            </w:r>
            <w:r>
              <w:rPr>
                <w:rFonts w:hint="eastAsia"/>
                <w:color w:val="auto"/>
                <w:sz w:val="24"/>
              </w:rPr>
              <w:t>1</w:t>
            </w:r>
            <w:r>
              <w:rPr>
                <w:rFonts w:hint="eastAsia"/>
                <w:color w:val="auto"/>
                <w:sz w:val="24"/>
                <w:lang w:val="en-US" w:eastAsia="zh-CN"/>
              </w:rPr>
              <w:t>0</w:t>
            </w:r>
            <w:r>
              <w:rPr>
                <w:color w:val="auto"/>
                <w:sz w:val="24"/>
              </w:rPr>
              <w:t>）。</w:t>
            </w:r>
          </w:p>
          <w:p>
            <w:pPr>
              <w:spacing w:line="360" w:lineRule="auto"/>
              <w:ind w:firstLine="480" w:firstLineChars="200"/>
              <w:rPr>
                <w:rFonts w:hint="eastAsia" w:eastAsia="宋体"/>
                <w:color w:val="auto"/>
                <w:sz w:val="24"/>
                <w:lang w:eastAsia="zh-CN"/>
              </w:rPr>
            </w:pPr>
            <w:r>
              <w:rPr>
                <w:rFonts w:hint="eastAsia" w:ascii="Times New Roman" w:hAnsi="Times New Roman" w:eastAsia="宋体" w:cs="Times New Roman"/>
                <w:color w:val="auto"/>
                <w:sz w:val="24"/>
                <w:lang w:eastAsia="zh-CN"/>
              </w:rPr>
              <w:t>本</w:t>
            </w:r>
            <w:r>
              <w:rPr>
                <w:rFonts w:ascii="Times New Roman" w:hAnsi="Times New Roman" w:eastAsia="宋体" w:cs="Times New Roman"/>
                <w:color w:val="auto"/>
                <w:sz w:val="24"/>
              </w:rPr>
              <w:t>项目废气收集</w:t>
            </w:r>
            <w:r>
              <w:rPr>
                <w:rFonts w:hint="eastAsia" w:ascii="Times New Roman" w:hAnsi="Times New Roman" w:eastAsia="宋体" w:cs="Times New Roman"/>
                <w:color w:val="auto"/>
                <w:sz w:val="24"/>
                <w:lang w:eastAsia="zh-CN"/>
              </w:rPr>
              <w:t>、处理</w:t>
            </w:r>
            <w:r>
              <w:rPr>
                <w:rFonts w:ascii="Times New Roman" w:hAnsi="Times New Roman" w:eastAsia="宋体" w:cs="Times New Roman"/>
                <w:color w:val="auto"/>
                <w:sz w:val="24"/>
              </w:rPr>
              <w:t>示意图</w:t>
            </w:r>
            <w:r>
              <w:rPr>
                <w:rFonts w:hint="eastAsia" w:ascii="Times New Roman" w:hAnsi="Times New Roman" w:eastAsia="宋体" w:cs="Times New Roman"/>
                <w:color w:val="auto"/>
                <w:sz w:val="24"/>
                <w:lang w:eastAsia="zh-CN"/>
              </w:rPr>
              <w:t>如下：</w:t>
            </w:r>
          </w:p>
          <w:p>
            <w:pPr>
              <w:pStyle w:val="3"/>
              <w:ind w:left="0" w:leftChars="0" w:firstLine="0" w:firstLineChars="0"/>
              <w:rPr>
                <w:color w:val="auto"/>
                <w:sz w:val="24"/>
              </w:rPr>
            </w:pPr>
            <w:r>
              <w:rPr>
                <w:color w:val="auto"/>
                <w:sz w:val="24"/>
              </w:rPr>
              <w:object>
                <v:shape id="_x0000_i1031" o:spt="75" type="#_x0000_t75" style="height:327.7pt;width:384.85pt;" o:ole="t" filled="f" o:preferrelative="t" stroked="f" coordsize="21600,21600">
                  <v:path/>
                  <v:fill on="f" focussize="0,0"/>
                  <v:stroke on="f"/>
                  <v:imagedata r:id="rId21" o:title=""/>
                  <o:lock v:ext="edit" aspectratio="t"/>
                  <w10:wrap type="none"/>
                  <w10:anchorlock/>
                </v:shape>
                <o:OLEObject Type="Embed" ProgID="" ShapeID="_x0000_i1031" DrawAspect="Content" ObjectID="_1468075729" r:id="rId20">
                  <o:LockedField>false</o:LockedField>
                </o:OLEObject>
              </w:object>
            </w:r>
          </w:p>
          <w:p>
            <w:pPr>
              <w:spacing w:line="360" w:lineRule="auto"/>
              <w:ind w:firstLine="422" w:firstLineChars="200"/>
              <w:jc w:val="center"/>
              <w:rPr>
                <w:rFonts w:hint="eastAsia"/>
                <w:color w:val="auto"/>
              </w:rPr>
            </w:pPr>
            <w:r>
              <w:rPr>
                <w:b/>
                <w:bCs/>
                <w:color w:val="auto"/>
                <w:szCs w:val="21"/>
              </w:rPr>
              <w:t>图</w:t>
            </w:r>
            <w:r>
              <w:rPr>
                <w:rFonts w:hint="eastAsia"/>
                <w:b/>
                <w:bCs/>
                <w:color w:val="auto"/>
                <w:szCs w:val="21"/>
                <w:lang w:val="en-US" w:eastAsia="zh-CN"/>
              </w:rPr>
              <w:t>8</w:t>
            </w:r>
            <w:r>
              <w:rPr>
                <w:b/>
                <w:bCs/>
                <w:color w:val="auto"/>
                <w:szCs w:val="21"/>
              </w:rPr>
              <w:t xml:space="preserve"> 项目废气收集</w:t>
            </w:r>
            <w:r>
              <w:rPr>
                <w:rFonts w:hint="eastAsia"/>
                <w:b/>
                <w:bCs/>
                <w:color w:val="auto"/>
                <w:szCs w:val="21"/>
                <w:lang w:eastAsia="zh-CN"/>
              </w:rPr>
              <w:t>、处理</w:t>
            </w:r>
            <w:r>
              <w:rPr>
                <w:b/>
                <w:bCs/>
                <w:color w:val="auto"/>
                <w:szCs w:val="21"/>
              </w:rPr>
              <w:t>示意图</w:t>
            </w:r>
          </w:p>
          <w:p>
            <w:pPr>
              <w:spacing w:line="360" w:lineRule="auto"/>
              <w:ind w:firstLine="480" w:firstLineChars="200"/>
              <w:rPr>
                <w:rFonts w:hint="eastAsia"/>
                <w:color w:val="auto"/>
                <w:sz w:val="24"/>
              </w:rPr>
            </w:pPr>
            <w:r>
              <w:rPr>
                <w:rFonts w:hint="eastAsia"/>
                <w:color w:val="auto"/>
                <w:sz w:val="24"/>
              </w:rPr>
              <w:t>本项目提出</w:t>
            </w:r>
            <w:r>
              <w:rPr>
                <w:color w:val="auto"/>
                <w:sz w:val="24"/>
              </w:rPr>
              <w:t>VOCs物料储存、转移等无组织排放控制要求</w:t>
            </w:r>
            <w:r>
              <w:rPr>
                <w:rFonts w:hint="eastAsia"/>
                <w:color w:val="auto"/>
                <w:sz w:val="24"/>
              </w:rPr>
              <w:t>如下：</w:t>
            </w:r>
          </w:p>
          <w:p>
            <w:pPr>
              <w:spacing w:line="360" w:lineRule="auto"/>
              <w:ind w:firstLine="480" w:firstLineChars="200"/>
              <w:rPr>
                <w:color w:val="auto"/>
                <w:sz w:val="24"/>
              </w:rPr>
            </w:pPr>
            <w:r>
              <w:rPr>
                <w:rFonts w:hint="eastAsia"/>
                <w:color w:val="auto"/>
                <w:sz w:val="24"/>
              </w:rPr>
              <w:t>1</w:t>
            </w:r>
            <w:r>
              <w:rPr>
                <w:color w:val="auto"/>
                <w:sz w:val="24"/>
              </w:rPr>
              <w:t>、助焊剂、酒精、二甲苯等物料应储存于密闭的包装桶中。</w:t>
            </w:r>
          </w:p>
          <w:p>
            <w:pPr>
              <w:spacing w:line="360" w:lineRule="auto"/>
              <w:ind w:firstLine="480" w:firstLineChars="200"/>
              <w:rPr>
                <w:color w:val="auto"/>
                <w:sz w:val="24"/>
              </w:rPr>
            </w:pPr>
            <w:r>
              <w:rPr>
                <w:rFonts w:hint="eastAsia"/>
                <w:color w:val="auto"/>
                <w:sz w:val="24"/>
              </w:rPr>
              <w:t>2</w:t>
            </w:r>
            <w:r>
              <w:rPr>
                <w:color w:val="auto"/>
                <w:sz w:val="24"/>
              </w:rPr>
              <w:t>、盛装助焊剂、酒精、二甲苯等物料的包装桶应存放于化学品仓库内。盛装助焊剂、酒精、二甲苯等物料包装桶在非取用状态时应加盖、封口，保持密闭。</w:t>
            </w:r>
          </w:p>
          <w:p>
            <w:pPr>
              <w:spacing w:line="360" w:lineRule="auto"/>
              <w:ind w:firstLine="480" w:firstLineChars="200"/>
              <w:rPr>
                <w:color w:val="auto"/>
                <w:sz w:val="24"/>
              </w:rPr>
            </w:pPr>
            <w:r>
              <w:rPr>
                <w:rFonts w:hint="eastAsia"/>
                <w:color w:val="auto"/>
                <w:sz w:val="24"/>
              </w:rPr>
              <w:t>3</w:t>
            </w:r>
            <w:r>
              <w:rPr>
                <w:color w:val="auto"/>
                <w:sz w:val="24"/>
              </w:rPr>
              <w:t>、化学品仓库位于单独密闭间，除人员、车辆、设备、物料进出时，以及依法设立的通风口外，门窗应随时保持关闭状态。</w:t>
            </w:r>
          </w:p>
          <w:p>
            <w:pPr>
              <w:spacing w:line="360" w:lineRule="auto"/>
              <w:ind w:firstLine="480" w:firstLineChars="200"/>
              <w:rPr>
                <w:color w:val="auto"/>
                <w:sz w:val="24"/>
              </w:rPr>
            </w:pPr>
            <w:r>
              <w:rPr>
                <w:rFonts w:hint="eastAsia"/>
                <w:color w:val="auto"/>
                <w:sz w:val="24"/>
              </w:rPr>
              <w:t>4</w:t>
            </w:r>
            <w:r>
              <w:rPr>
                <w:color w:val="auto"/>
                <w:sz w:val="24"/>
              </w:rPr>
              <w:t>、助焊剂、酒精、二甲苯等物料在运输过程采用非管道输送方式转移时，应采用密闭容器进行转移。</w:t>
            </w:r>
          </w:p>
          <w:p>
            <w:pPr>
              <w:spacing w:line="360" w:lineRule="auto"/>
              <w:ind w:firstLine="480" w:firstLineChars="200"/>
              <w:rPr>
                <w:color w:val="auto"/>
                <w:sz w:val="24"/>
              </w:rPr>
            </w:pPr>
            <w:r>
              <w:rPr>
                <w:rFonts w:hint="eastAsia"/>
                <w:bCs/>
                <w:color w:val="auto"/>
                <w:sz w:val="24"/>
              </w:rPr>
              <w:t>对照《2020年挥发性有机物治理攻坚方案》、《挥发性有机物治理实用手册》，本项目废气污染物治理措施为可行技术，根据表</w:t>
            </w:r>
            <w:r>
              <w:rPr>
                <w:rFonts w:hint="eastAsia"/>
                <w:bCs/>
                <w:color w:val="auto"/>
                <w:sz w:val="24"/>
                <w:lang w:val="en-US" w:eastAsia="zh-CN"/>
              </w:rPr>
              <w:t>28</w:t>
            </w:r>
            <w:r>
              <w:rPr>
                <w:rFonts w:hint="eastAsia"/>
                <w:bCs/>
                <w:color w:val="auto"/>
                <w:sz w:val="24"/>
              </w:rPr>
              <w:t>废气源强、废气治理措施、污染物去除效率及废气排放计算结果，本项目</w:t>
            </w:r>
            <w:r>
              <w:rPr>
                <w:color w:val="auto"/>
                <w:sz w:val="24"/>
              </w:rPr>
              <w:t>废气污染物排放能够满足上海市《大气污染物综合排放标准》（DB31/933-2015）、《挥发性有机物无组织排放控制标准》（GB37822-2019）中排放限值要求。</w:t>
            </w:r>
          </w:p>
          <w:p>
            <w:pPr>
              <w:spacing w:line="360" w:lineRule="auto"/>
              <w:ind w:firstLine="480" w:firstLineChars="200"/>
              <w:rPr>
                <w:rFonts w:hint="eastAsia"/>
                <w:color w:val="auto"/>
              </w:rPr>
            </w:pPr>
            <w:r>
              <w:rPr>
                <w:rFonts w:hint="eastAsia"/>
                <w:color w:val="auto"/>
                <w:sz w:val="24"/>
              </w:rPr>
              <w:t>本项目位于环境质量达标区，</w:t>
            </w:r>
            <w:r>
              <w:rPr>
                <w:color w:val="auto"/>
                <w:sz w:val="24"/>
              </w:rPr>
              <w:t>环境空气非甲烷总烃</w:t>
            </w:r>
            <w:r>
              <w:rPr>
                <w:rFonts w:hint="eastAsia"/>
                <w:color w:val="auto"/>
                <w:sz w:val="24"/>
              </w:rPr>
              <w:t>、锡及其化合物</w:t>
            </w:r>
            <w:r>
              <w:rPr>
                <w:rFonts w:hint="eastAsia"/>
                <w:color w:val="auto"/>
                <w:sz w:val="24"/>
                <w:lang w:eastAsia="zh-CN"/>
              </w:rPr>
              <w:t>、二甲苯质量浓度</w:t>
            </w:r>
            <w:r>
              <w:rPr>
                <w:rFonts w:hint="eastAsia"/>
                <w:color w:val="auto"/>
                <w:sz w:val="24"/>
              </w:rPr>
              <w:t>能够满足</w:t>
            </w:r>
            <w:r>
              <w:rPr>
                <w:rFonts w:hint="eastAsia"/>
                <w:color w:val="auto"/>
                <w:sz w:val="24"/>
                <w:lang w:eastAsia="zh-CN"/>
              </w:rPr>
              <w:t>相应质量标准</w:t>
            </w:r>
            <w:r>
              <w:rPr>
                <w:rFonts w:hint="eastAsia"/>
                <w:color w:val="auto"/>
                <w:sz w:val="24"/>
              </w:rPr>
              <w:t>，根据源强核算，项目废气颗粒物、锡及其化合物、非甲烷总烃经处理后排放量较小，且项目周边500m范围内无大气环境保护目标，故本项目对周边大气环境影响较小。</w:t>
            </w:r>
          </w:p>
          <w:p>
            <w:pPr>
              <w:numPr>
                <w:ilvl w:val="0"/>
                <w:numId w:val="0"/>
              </w:numPr>
              <w:spacing w:line="360" w:lineRule="auto"/>
              <w:ind w:firstLine="482" w:firstLineChars="200"/>
              <w:rPr>
                <w:rFonts w:hint="eastAsia"/>
                <w:b/>
                <w:bCs/>
                <w:color w:val="auto"/>
                <w:sz w:val="24"/>
              </w:rPr>
            </w:pPr>
            <w:r>
              <w:rPr>
                <w:rFonts w:hint="eastAsia"/>
                <w:b/>
                <w:bCs/>
                <w:color w:val="auto"/>
                <w:sz w:val="24"/>
                <w:lang w:eastAsia="zh-CN"/>
              </w:rPr>
              <w:t>（二）废</w:t>
            </w:r>
            <w:r>
              <w:rPr>
                <w:rFonts w:hint="eastAsia"/>
                <w:b/>
                <w:bCs/>
                <w:color w:val="auto"/>
                <w:sz w:val="24"/>
              </w:rPr>
              <w:t>水</w:t>
            </w:r>
          </w:p>
          <w:p>
            <w:pPr>
              <w:pStyle w:val="3"/>
              <w:spacing w:line="360" w:lineRule="auto"/>
              <w:ind w:left="0" w:leftChars="0" w:firstLine="480"/>
              <w:rPr>
                <w:rFonts w:hint="eastAsia"/>
                <w:bCs/>
                <w:color w:val="auto"/>
                <w:sz w:val="24"/>
              </w:rPr>
            </w:pPr>
            <w:r>
              <w:rPr>
                <w:color w:val="auto"/>
                <w:sz w:val="24"/>
              </w:rPr>
              <w:t>本项目</w:t>
            </w:r>
            <w:r>
              <w:rPr>
                <w:rFonts w:hint="eastAsia"/>
                <w:color w:val="auto"/>
                <w:sz w:val="24"/>
              </w:rPr>
              <w:t>废水主要有</w:t>
            </w:r>
            <w:r>
              <w:rPr>
                <w:color w:val="auto"/>
                <w:sz w:val="24"/>
              </w:rPr>
              <w:t>生活污水、保洁废水、</w:t>
            </w:r>
            <w:r>
              <w:rPr>
                <w:rFonts w:hint="eastAsia"/>
                <w:color w:val="auto"/>
                <w:sz w:val="24"/>
                <w:lang w:eastAsia="zh-CN"/>
              </w:rPr>
              <w:t>循环</w:t>
            </w:r>
            <w:r>
              <w:rPr>
                <w:color w:val="auto"/>
                <w:sz w:val="24"/>
              </w:rPr>
              <w:t>冷却系统排水、</w:t>
            </w:r>
            <w:r>
              <w:rPr>
                <w:rFonts w:hint="eastAsia"/>
                <w:color w:val="auto"/>
                <w:sz w:val="24"/>
                <w:lang w:eastAsia="zh-CN"/>
              </w:rPr>
              <w:t>蒸汽冷凝水</w:t>
            </w:r>
            <w:r>
              <w:rPr>
                <w:color w:val="auto"/>
                <w:sz w:val="24"/>
              </w:rPr>
              <w:t>等</w:t>
            </w:r>
            <w:r>
              <w:rPr>
                <w:bCs/>
                <w:color w:val="auto"/>
                <w:sz w:val="24"/>
              </w:rPr>
              <w:t>，</w:t>
            </w:r>
            <w:r>
              <w:rPr>
                <w:rFonts w:hint="eastAsia"/>
                <w:bCs/>
                <w:color w:val="auto"/>
                <w:sz w:val="24"/>
              </w:rPr>
              <w:t>废水污染物产生情况见下表。</w:t>
            </w:r>
          </w:p>
          <w:p>
            <w:pPr>
              <w:widowControl/>
              <w:numPr>
                <w:ilvl w:val="0"/>
                <w:numId w:val="2"/>
              </w:numPr>
              <w:jc w:val="center"/>
              <w:rPr>
                <w:rFonts w:hint="eastAsia"/>
                <w:b/>
                <w:bCs w:val="0"/>
                <w:color w:val="auto"/>
              </w:rPr>
            </w:pPr>
            <w:r>
              <w:rPr>
                <w:b/>
                <w:bCs w:val="0"/>
                <w:color w:val="auto"/>
                <w:kern w:val="0"/>
                <w:szCs w:val="21"/>
              </w:rPr>
              <w:t>项目</w:t>
            </w:r>
            <w:r>
              <w:rPr>
                <w:rFonts w:hint="eastAsia"/>
                <w:b/>
                <w:bCs w:val="0"/>
                <w:color w:val="auto"/>
                <w:kern w:val="0"/>
                <w:szCs w:val="21"/>
              </w:rPr>
              <w:t>废水</w:t>
            </w:r>
            <w:r>
              <w:rPr>
                <w:b/>
                <w:bCs w:val="0"/>
                <w:color w:val="auto"/>
                <w:kern w:val="0"/>
                <w:szCs w:val="21"/>
              </w:rPr>
              <w:t>污染物</w:t>
            </w:r>
            <w:r>
              <w:rPr>
                <w:rFonts w:hint="eastAsia"/>
                <w:b/>
                <w:bCs w:val="0"/>
                <w:color w:val="auto"/>
                <w:kern w:val="0"/>
                <w:szCs w:val="21"/>
                <w:lang w:eastAsia="zh-CN"/>
              </w:rPr>
              <w:t>产生</w:t>
            </w:r>
            <w:r>
              <w:rPr>
                <w:b/>
                <w:bCs w:val="0"/>
                <w:color w:val="auto"/>
                <w:kern w:val="0"/>
                <w:szCs w:val="21"/>
              </w:rPr>
              <w:t>情况一览表</w:t>
            </w:r>
          </w:p>
          <w:tbl>
            <w:tblPr>
              <w:tblStyle w:val="20"/>
              <w:tblW w:w="77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25"/>
              <w:gridCol w:w="1146"/>
              <w:gridCol w:w="600"/>
              <w:gridCol w:w="760"/>
              <w:gridCol w:w="800"/>
              <w:gridCol w:w="794"/>
              <w:gridCol w:w="732"/>
              <w:gridCol w:w="663"/>
              <w:gridCol w:w="6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8" w:hRule="atLeast"/>
                <w:jc w:val="center"/>
              </w:trPr>
              <w:tc>
                <w:tcPr>
                  <w:tcW w:w="1625" w:type="dxa"/>
                  <w:vMerge w:val="restart"/>
                  <w:tcBorders>
                    <w:top w:val="single" w:color="000000" w:sz="8" w:space="0"/>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项目</w:t>
                  </w:r>
                </w:p>
              </w:tc>
              <w:tc>
                <w:tcPr>
                  <w:tcW w:w="1146" w:type="dxa"/>
                  <w:vMerge w:val="restart"/>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废水量（</w:t>
                  </w:r>
                  <w:r>
                    <w:rPr>
                      <w:rFonts w:hint="default" w:ascii="Times New Roman" w:hAnsi="Times New Roman" w:eastAsia="宋体" w:cs="Times New Roman"/>
                      <w:b/>
                      <w:bCs/>
                      <w:i w:val="0"/>
                      <w:iCs w:val="0"/>
                      <w:color w:val="auto"/>
                      <w:kern w:val="0"/>
                      <w:sz w:val="21"/>
                      <w:szCs w:val="21"/>
                      <w:u w:val="none"/>
                      <w:lang w:val="en-US" w:eastAsia="zh-CN" w:bidi="ar"/>
                    </w:rPr>
                    <w:t>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/d</w:t>
                  </w:r>
                  <w:r>
                    <w:rPr>
                      <w:rFonts w:hint="eastAsia" w:ascii="宋体" w:hAnsi="宋体" w:eastAsia="宋体" w:cs="宋体"/>
                      <w:b/>
                      <w:bCs/>
                      <w:i w:val="0"/>
                      <w:iCs w:val="0"/>
                      <w:color w:val="auto"/>
                      <w:kern w:val="0"/>
                      <w:sz w:val="21"/>
                      <w:szCs w:val="21"/>
                      <w:u w:val="none"/>
                      <w:lang w:val="en-US" w:eastAsia="zh-CN" w:bidi="ar"/>
                    </w:rPr>
                    <w:t>）</w:t>
                  </w:r>
                </w:p>
              </w:tc>
              <w:tc>
                <w:tcPr>
                  <w:tcW w:w="5009" w:type="dxa"/>
                  <w:gridSpan w:val="7"/>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污染物（</w:t>
                  </w:r>
                  <w:r>
                    <w:rPr>
                      <w:rFonts w:hint="default" w:ascii="Times New Roman" w:hAnsi="Times New Roman" w:eastAsia="宋体" w:cs="Times New Roman"/>
                      <w:b/>
                      <w:bCs/>
                      <w:i w:val="0"/>
                      <w:iCs w:val="0"/>
                      <w:color w:val="auto"/>
                      <w:kern w:val="0"/>
                      <w:sz w:val="21"/>
                      <w:szCs w:val="21"/>
                      <w:u w:val="none"/>
                      <w:lang w:val="en-US" w:eastAsia="zh-CN" w:bidi="ar"/>
                    </w:rPr>
                    <w:t>mg/L</w:t>
                  </w:r>
                  <w:r>
                    <w:rPr>
                      <w:rFonts w:hint="eastAsia" w:ascii="宋体" w:hAnsi="宋体" w:eastAsia="宋体" w:cs="宋体"/>
                      <w:b/>
                      <w:bCs/>
                      <w:i w:val="0"/>
                      <w:iCs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1625" w:type="dxa"/>
                  <w:vMerge w:val="continue"/>
                  <w:tcBorders>
                    <w:top w:val="single" w:color="000000" w:sz="8" w:space="0"/>
                    <w:left w:val="single" w:color="000000" w:sz="8" w:space="0"/>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21"/>
                      <w:szCs w:val="21"/>
                      <w:u w:val="none"/>
                    </w:rPr>
                  </w:pPr>
                </w:p>
              </w:tc>
              <w:tc>
                <w:tcPr>
                  <w:tcW w:w="1146" w:type="dxa"/>
                  <w:vMerge w:val="continue"/>
                  <w:tcBorders>
                    <w:top w:val="single" w:color="000000" w:sz="8" w:space="0"/>
                    <w:left w:val="nil"/>
                    <w:bottom w:val="single" w:color="000000" w:sz="8" w:space="0"/>
                    <w:right w:val="single" w:color="000000" w:sz="8" w:space="0"/>
                  </w:tcBorders>
                  <w:noWrap w:val="0"/>
                  <w:vAlign w:val="center"/>
                </w:tcPr>
                <w:p>
                  <w:pPr>
                    <w:jc w:val="center"/>
                    <w:rPr>
                      <w:rFonts w:hint="eastAsia" w:ascii="宋体" w:hAnsi="宋体" w:eastAsia="宋体" w:cs="宋体"/>
                      <w:b/>
                      <w:bCs/>
                      <w:i w:val="0"/>
                      <w:iCs w:val="0"/>
                      <w:color w:val="auto"/>
                      <w:sz w:val="21"/>
                      <w:szCs w:val="21"/>
                      <w:u w:val="none"/>
                    </w:rPr>
                  </w:pP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pH</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COD</w:t>
                  </w:r>
                </w:p>
              </w:tc>
              <w:tc>
                <w:tcPr>
                  <w:tcW w:w="800"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BOD</w:t>
                  </w:r>
                  <w:r>
                    <w:rPr>
                      <w:rFonts w:hint="default" w:ascii="Times New Roman" w:hAnsi="Times New Roman" w:eastAsia="宋体" w:cs="Times New Roman"/>
                      <w:b/>
                      <w:bCs/>
                      <w:i w:val="0"/>
                      <w:iCs w:val="0"/>
                      <w:color w:val="auto"/>
                      <w:kern w:val="0"/>
                      <w:sz w:val="21"/>
                      <w:szCs w:val="21"/>
                      <w:u w:val="none"/>
                      <w:vertAlign w:val="subscript"/>
                      <w:lang w:val="en-US" w:eastAsia="zh-CN" w:bidi="ar"/>
                    </w:rPr>
                    <w:t>5</w:t>
                  </w:r>
                </w:p>
              </w:tc>
              <w:tc>
                <w:tcPr>
                  <w:tcW w:w="794"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SS</w:t>
                  </w:r>
                </w:p>
              </w:tc>
              <w:tc>
                <w:tcPr>
                  <w:tcW w:w="732"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氨氮</w:t>
                  </w:r>
                </w:p>
              </w:tc>
              <w:tc>
                <w:tcPr>
                  <w:tcW w:w="663"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TP</w:t>
                  </w:r>
                </w:p>
              </w:tc>
              <w:tc>
                <w:tcPr>
                  <w:tcW w:w="660" w:type="dxa"/>
                  <w:tcBorders>
                    <w:top w:val="single" w:color="000000" w:sz="8" w:space="0"/>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TN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625"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生活污水</w:t>
                  </w:r>
                </w:p>
              </w:tc>
              <w:tc>
                <w:tcPr>
                  <w:tcW w:w="1146"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17.472</w:t>
                  </w: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794"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3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6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6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625"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冷却系统排水</w:t>
                  </w:r>
                </w:p>
              </w:tc>
              <w:tc>
                <w:tcPr>
                  <w:tcW w:w="1146"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76</w:t>
                  </w: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8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94"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73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66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6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625"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保洁废水</w:t>
                  </w:r>
                </w:p>
              </w:tc>
              <w:tc>
                <w:tcPr>
                  <w:tcW w:w="1146"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7.246</w:t>
                  </w: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350</w:t>
                  </w:r>
                </w:p>
              </w:tc>
              <w:tc>
                <w:tcPr>
                  <w:tcW w:w="8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794"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1500</w:t>
                  </w:r>
                </w:p>
              </w:tc>
              <w:tc>
                <w:tcPr>
                  <w:tcW w:w="73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1625"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蒸汽冷凝水</w:t>
                  </w:r>
                </w:p>
              </w:tc>
              <w:tc>
                <w:tcPr>
                  <w:tcW w:w="1146"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16.65</w:t>
                  </w: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794"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3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jc w:val="center"/>
              </w:trPr>
              <w:tc>
                <w:tcPr>
                  <w:tcW w:w="1625" w:type="dxa"/>
                  <w:tcBorders>
                    <w:top w:val="nil"/>
                    <w:left w:val="single" w:color="000000" w:sz="8" w:space="0"/>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混合废水</w:t>
                  </w:r>
                </w:p>
              </w:tc>
              <w:tc>
                <w:tcPr>
                  <w:tcW w:w="1146"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117.368</w:t>
                  </w:r>
                </w:p>
              </w:tc>
              <w:tc>
                <w:tcPr>
                  <w:tcW w:w="6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7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167.0</w:t>
                  </w:r>
                </w:p>
              </w:tc>
              <w:tc>
                <w:tcPr>
                  <w:tcW w:w="80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87.8</w:t>
                  </w:r>
                </w:p>
              </w:tc>
              <w:tc>
                <w:tcPr>
                  <w:tcW w:w="794"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246.1</w:t>
                  </w:r>
                </w:p>
              </w:tc>
              <w:tc>
                <w:tcPr>
                  <w:tcW w:w="732"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663"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60" w:type="dxa"/>
                  <w:tcBorders>
                    <w:top w:val="nil"/>
                    <w:left w:val="nil"/>
                    <w:bottom w:val="single" w:color="000000" w:sz="8" w:space="0"/>
                    <w:right w:val="single" w:color="000000" w:sz="8"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w:t>
                  </w:r>
                </w:p>
              </w:tc>
            </w:tr>
          </w:tbl>
          <w:p>
            <w:pPr>
              <w:pStyle w:val="3"/>
              <w:rPr>
                <w:rFonts w:hint="eastAsia"/>
                <w:color w:val="auto"/>
              </w:rPr>
            </w:pPr>
          </w:p>
        </w:tc>
      </w:tr>
    </w:tbl>
    <w:p>
      <w:pPr>
        <w:pStyle w:val="18"/>
        <w:jc w:val="center"/>
        <w:outlineLvl w:val="0"/>
        <w:rPr>
          <w:rFonts w:hint="eastAsia" w:ascii="黑体" w:hAnsi="黑体" w:eastAsia="黑体"/>
          <w:snapToGrid w:val="0"/>
          <w:color w:val="auto"/>
          <w:sz w:val="30"/>
          <w:szCs w:val="30"/>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62" w:hRule="atLeast"/>
          <w:jc w:val="center"/>
        </w:trPr>
        <w:tc>
          <w:tcPr>
            <w:tcW w:w="75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黑体" w:hAnsi="黑体" w:eastAsia="黑体"/>
                <w:snapToGrid w:val="0"/>
                <w:color w:val="auto"/>
                <w:sz w:val="30"/>
                <w:szCs w:val="30"/>
              </w:rPr>
            </w:pPr>
            <w:r>
              <w:rPr>
                <w:rFonts w:hint="eastAsia" w:ascii="宋体" w:hAnsi="宋体" w:cs="宋体"/>
                <w:b/>
                <w:bCs/>
                <w:color w:val="auto"/>
                <w:szCs w:val="21"/>
              </w:rPr>
              <w:t>保护措施</w:t>
            </w:r>
          </w:p>
        </w:tc>
        <w:tc>
          <w:tcPr>
            <w:tcW w:w="13557" w:type="dxa"/>
            <w:noWrap w:val="0"/>
            <w:vAlign w:val="top"/>
          </w:tcPr>
          <w:p>
            <w:pPr>
              <w:widowControl/>
              <w:numPr>
                <w:ilvl w:val="0"/>
                <w:numId w:val="2"/>
              </w:numPr>
              <w:jc w:val="center"/>
              <w:rPr>
                <w:b/>
                <w:color w:val="auto"/>
                <w:kern w:val="0"/>
                <w:szCs w:val="21"/>
              </w:rPr>
            </w:pPr>
            <w:r>
              <w:rPr>
                <w:b/>
                <w:color w:val="auto"/>
                <w:kern w:val="0"/>
                <w:szCs w:val="21"/>
              </w:rPr>
              <w:t>项目</w:t>
            </w:r>
            <w:r>
              <w:rPr>
                <w:rFonts w:hint="eastAsia"/>
                <w:b/>
                <w:color w:val="auto"/>
                <w:kern w:val="0"/>
                <w:szCs w:val="21"/>
              </w:rPr>
              <w:t>废水</w:t>
            </w:r>
            <w:r>
              <w:rPr>
                <w:b/>
                <w:color w:val="auto"/>
                <w:kern w:val="0"/>
                <w:szCs w:val="21"/>
              </w:rPr>
              <w:t>污染物</w:t>
            </w:r>
            <w:r>
              <w:rPr>
                <w:rFonts w:hint="eastAsia"/>
                <w:b/>
                <w:color w:val="auto"/>
                <w:kern w:val="0"/>
                <w:szCs w:val="21"/>
                <w:lang w:eastAsia="zh-CN"/>
              </w:rPr>
              <w:t>处理及</w:t>
            </w:r>
            <w:r>
              <w:rPr>
                <w:b/>
                <w:color w:val="auto"/>
                <w:kern w:val="0"/>
                <w:szCs w:val="21"/>
              </w:rPr>
              <w:t>排放情况一览表</w:t>
            </w:r>
          </w:p>
          <w:tbl>
            <w:tblPr>
              <w:tblStyle w:val="20"/>
              <w:tblW w:w="133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8"/>
              <w:gridCol w:w="572"/>
              <w:gridCol w:w="980"/>
              <w:gridCol w:w="1352"/>
              <w:gridCol w:w="796"/>
              <w:gridCol w:w="884"/>
              <w:gridCol w:w="706"/>
              <w:gridCol w:w="717"/>
              <w:gridCol w:w="961"/>
              <w:gridCol w:w="699"/>
              <w:gridCol w:w="820"/>
              <w:gridCol w:w="782"/>
              <w:gridCol w:w="751"/>
              <w:gridCol w:w="752"/>
              <w:gridCol w:w="950"/>
              <w:gridCol w:w="9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658" w:type="dxa"/>
                  <w:vMerge w:val="restart"/>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产污</w:t>
                  </w:r>
                </w:p>
                <w:p>
                  <w:pPr>
                    <w:widowControl/>
                    <w:jc w:val="center"/>
                    <w:textAlignment w:val="center"/>
                    <w:rPr>
                      <w:rFonts w:hint="eastAsia"/>
                      <w:color w:val="auto"/>
                    </w:rPr>
                  </w:pPr>
                  <w:r>
                    <w:rPr>
                      <w:rFonts w:hint="eastAsia"/>
                      <w:color w:val="auto"/>
                    </w:rPr>
                    <w:t>环节</w:t>
                  </w:r>
                </w:p>
              </w:tc>
              <w:tc>
                <w:tcPr>
                  <w:tcW w:w="572"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类别</w:t>
                  </w:r>
                </w:p>
              </w:tc>
              <w:tc>
                <w:tcPr>
                  <w:tcW w:w="980" w:type="dxa"/>
                  <w:vMerge w:val="restart"/>
                  <w:noWrap w:val="0"/>
                  <w:tcMar>
                    <w:top w:w="12" w:type="dxa"/>
                    <w:left w:w="12" w:type="dxa"/>
                    <w:right w:w="12" w:type="dxa"/>
                  </w:tcMar>
                  <w:vAlign w:val="center"/>
                </w:tcPr>
                <w:p>
                  <w:pPr>
                    <w:widowControl/>
                    <w:jc w:val="center"/>
                    <w:textAlignment w:val="center"/>
                    <w:rPr>
                      <w:color w:val="auto"/>
                    </w:rPr>
                  </w:pPr>
                  <w:r>
                    <w:rPr>
                      <w:color w:val="auto"/>
                    </w:rPr>
                    <w:t>污染物</w:t>
                  </w:r>
                </w:p>
                <w:p>
                  <w:pPr>
                    <w:widowControl/>
                    <w:jc w:val="center"/>
                    <w:textAlignment w:val="center"/>
                    <w:rPr>
                      <w:color w:val="auto"/>
                    </w:rPr>
                  </w:pPr>
                  <w:r>
                    <w:rPr>
                      <w:rFonts w:hint="eastAsia"/>
                      <w:color w:val="auto"/>
                    </w:rPr>
                    <w:t>种类</w:t>
                  </w:r>
                </w:p>
              </w:tc>
              <w:tc>
                <w:tcPr>
                  <w:tcW w:w="2148" w:type="dxa"/>
                  <w:gridSpan w:val="2"/>
                  <w:noWrap w:val="0"/>
                  <w:tcMar>
                    <w:top w:w="12" w:type="dxa"/>
                    <w:left w:w="12" w:type="dxa"/>
                    <w:right w:w="12" w:type="dxa"/>
                  </w:tcMar>
                  <w:vAlign w:val="center"/>
                </w:tcPr>
                <w:p>
                  <w:pPr>
                    <w:widowControl/>
                    <w:jc w:val="center"/>
                    <w:textAlignment w:val="center"/>
                    <w:rPr>
                      <w:color w:val="auto"/>
                    </w:rPr>
                  </w:pPr>
                  <w:r>
                    <w:rPr>
                      <w:color w:val="auto"/>
                    </w:rPr>
                    <w:t>产生情况</w:t>
                  </w:r>
                </w:p>
              </w:tc>
              <w:tc>
                <w:tcPr>
                  <w:tcW w:w="3967" w:type="dxa"/>
                  <w:gridSpan w:val="5"/>
                  <w:noWrap w:val="0"/>
                  <w:tcMar>
                    <w:top w:w="12" w:type="dxa"/>
                    <w:left w:w="12" w:type="dxa"/>
                    <w:right w:w="12" w:type="dxa"/>
                  </w:tcMar>
                  <w:vAlign w:val="center"/>
                </w:tcPr>
                <w:p>
                  <w:pPr>
                    <w:widowControl/>
                    <w:jc w:val="center"/>
                    <w:textAlignment w:val="center"/>
                    <w:rPr>
                      <w:color w:val="auto"/>
                    </w:rPr>
                  </w:pPr>
                  <w:r>
                    <w:rPr>
                      <w:rFonts w:hint="eastAsia"/>
                      <w:color w:val="auto"/>
                    </w:rPr>
                    <w:t>治理设施</w:t>
                  </w:r>
                </w:p>
              </w:tc>
              <w:tc>
                <w:tcPr>
                  <w:tcW w:w="5012" w:type="dxa"/>
                  <w:gridSpan w:val="6"/>
                  <w:noWrap w:val="0"/>
                  <w:tcMar>
                    <w:top w:w="12" w:type="dxa"/>
                    <w:left w:w="12" w:type="dxa"/>
                    <w:right w:w="12" w:type="dxa"/>
                  </w:tcMar>
                  <w:vAlign w:val="center"/>
                </w:tcPr>
                <w:p>
                  <w:pPr>
                    <w:widowControl/>
                    <w:jc w:val="center"/>
                    <w:textAlignment w:val="center"/>
                    <w:rPr>
                      <w:color w:val="auto"/>
                    </w:rPr>
                  </w:pPr>
                  <w:r>
                    <w:rPr>
                      <w:rFonts w:hint="eastAsia"/>
                      <w:color w:val="auto"/>
                    </w:rPr>
                    <w:t>排放情况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jc w:val="center"/>
              </w:trPr>
              <w:tc>
                <w:tcPr>
                  <w:tcW w:w="658" w:type="dxa"/>
                  <w:vMerge w:val="continue"/>
                  <w:noWrap w:val="0"/>
                  <w:tcMar>
                    <w:top w:w="12" w:type="dxa"/>
                    <w:left w:w="12" w:type="dxa"/>
                    <w:right w:w="12" w:type="dxa"/>
                  </w:tcMar>
                  <w:vAlign w:val="center"/>
                </w:tcPr>
                <w:p>
                  <w:pPr>
                    <w:jc w:val="center"/>
                    <w:rPr>
                      <w:color w:val="auto"/>
                    </w:rPr>
                  </w:pPr>
                </w:p>
              </w:tc>
              <w:tc>
                <w:tcPr>
                  <w:tcW w:w="572" w:type="dxa"/>
                  <w:vMerge w:val="continue"/>
                  <w:noWrap w:val="0"/>
                  <w:tcMar>
                    <w:top w:w="12" w:type="dxa"/>
                    <w:left w:w="12" w:type="dxa"/>
                    <w:right w:w="12" w:type="dxa"/>
                  </w:tcMar>
                  <w:vAlign w:val="center"/>
                </w:tcPr>
                <w:p>
                  <w:pPr>
                    <w:jc w:val="center"/>
                    <w:rPr>
                      <w:color w:val="auto"/>
                    </w:rPr>
                  </w:pPr>
                </w:p>
              </w:tc>
              <w:tc>
                <w:tcPr>
                  <w:tcW w:w="980" w:type="dxa"/>
                  <w:vMerge w:val="continue"/>
                  <w:noWrap w:val="0"/>
                  <w:tcMar>
                    <w:top w:w="12" w:type="dxa"/>
                    <w:left w:w="12" w:type="dxa"/>
                    <w:right w:w="12" w:type="dxa"/>
                  </w:tcMar>
                  <w:vAlign w:val="center"/>
                </w:tcPr>
                <w:p>
                  <w:pPr>
                    <w:jc w:val="center"/>
                    <w:rPr>
                      <w:color w:val="auto"/>
                    </w:rPr>
                  </w:pPr>
                </w:p>
              </w:tc>
              <w:tc>
                <w:tcPr>
                  <w:tcW w:w="1352" w:type="dxa"/>
                  <w:noWrap w:val="0"/>
                  <w:tcMar>
                    <w:top w:w="12" w:type="dxa"/>
                    <w:left w:w="12" w:type="dxa"/>
                    <w:right w:w="12" w:type="dxa"/>
                  </w:tcMar>
                  <w:vAlign w:val="center"/>
                </w:tcPr>
                <w:p>
                  <w:pPr>
                    <w:widowControl/>
                    <w:jc w:val="center"/>
                    <w:textAlignment w:val="center"/>
                    <w:rPr>
                      <w:color w:val="auto"/>
                    </w:rPr>
                  </w:pPr>
                  <w:r>
                    <w:rPr>
                      <w:color w:val="auto"/>
                    </w:rPr>
                    <w:t>产生量</w:t>
                  </w:r>
                </w:p>
                <w:p>
                  <w:pPr>
                    <w:widowControl/>
                    <w:jc w:val="center"/>
                    <w:textAlignment w:val="center"/>
                    <w:rPr>
                      <w:color w:val="auto"/>
                    </w:rPr>
                  </w:pPr>
                  <w:r>
                    <w:rPr>
                      <w:color w:val="auto"/>
                    </w:rPr>
                    <w:t>(t/a)</w:t>
                  </w:r>
                </w:p>
              </w:tc>
              <w:tc>
                <w:tcPr>
                  <w:tcW w:w="796" w:type="dxa"/>
                  <w:noWrap w:val="0"/>
                  <w:tcMar>
                    <w:top w:w="12" w:type="dxa"/>
                    <w:left w:w="12" w:type="dxa"/>
                    <w:right w:w="12" w:type="dxa"/>
                  </w:tcMar>
                  <w:vAlign w:val="center"/>
                </w:tcPr>
                <w:p>
                  <w:pPr>
                    <w:widowControl/>
                    <w:jc w:val="center"/>
                    <w:textAlignment w:val="center"/>
                    <w:rPr>
                      <w:color w:val="auto"/>
                    </w:rPr>
                  </w:pPr>
                  <w:r>
                    <w:rPr>
                      <w:color w:val="auto"/>
                    </w:rPr>
                    <w:t>浓度</w:t>
                  </w:r>
                </w:p>
                <w:p>
                  <w:pPr>
                    <w:widowControl/>
                    <w:jc w:val="center"/>
                    <w:textAlignment w:val="center"/>
                    <w:rPr>
                      <w:color w:val="auto"/>
                    </w:rPr>
                  </w:pPr>
                  <w:r>
                    <w:rPr>
                      <w:color w:val="auto"/>
                    </w:rPr>
                    <w:t>(mg/</w:t>
                  </w:r>
                  <w:r>
                    <w:rPr>
                      <w:rFonts w:hint="eastAsia"/>
                      <w:color w:val="auto"/>
                    </w:rPr>
                    <w:t>L</w:t>
                  </w:r>
                  <w:r>
                    <w:rPr>
                      <w:color w:val="auto"/>
                    </w:rPr>
                    <w:t>)</w:t>
                  </w:r>
                </w:p>
              </w:tc>
              <w:tc>
                <w:tcPr>
                  <w:tcW w:w="884" w:type="dxa"/>
                  <w:noWrap w:val="0"/>
                  <w:tcMar>
                    <w:top w:w="12" w:type="dxa"/>
                    <w:left w:w="12" w:type="dxa"/>
                    <w:right w:w="12" w:type="dxa"/>
                  </w:tcMar>
                  <w:vAlign w:val="center"/>
                </w:tcPr>
                <w:p>
                  <w:pPr>
                    <w:widowControl/>
                    <w:jc w:val="center"/>
                    <w:textAlignment w:val="center"/>
                    <w:rPr>
                      <w:color w:val="auto"/>
                    </w:rPr>
                  </w:pPr>
                  <w:r>
                    <w:rPr>
                      <w:rFonts w:hint="eastAsia"/>
                      <w:color w:val="auto"/>
                    </w:rPr>
                    <w:t>处理措施</w:t>
                  </w:r>
                </w:p>
              </w:tc>
              <w:tc>
                <w:tcPr>
                  <w:tcW w:w="706"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处理</w:t>
                  </w:r>
                </w:p>
                <w:p>
                  <w:pPr>
                    <w:widowControl/>
                    <w:jc w:val="center"/>
                    <w:textAlignment w:val="center"/>
                    <w:rPr>
                      <w:rFonts w:hint="eastAsia"/>
                      <w:color w:val="auto"/>
                    </w:rPr>
                  </w:pPr>
                  <w:r>
                    <w:rPr>
                      <w:rFonts w:hint="eastAsia"/>
                      <w:color w:val="auto"/>
                    </w:rPr>
                    <w:t>效率</w:t>
                  </w:r>
                </w:p>
              </w:tc>
              <w:tc>
                <w:tcPr>
                  <w:tcW w:w="717"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处理</w:t>
                  </w:r>
                </w:p>
                <w:p>
                  <w:pPr>
                    <w:widowControl/>
                    <w:jc w:val="center"/>
                    <w:textAlignment w:val="center"/>
                    <w:rPr>
                      <w:rFonts w:hint="eastAsia"/>
                      <w:color w:val="auto"/>
                    </w:rPr>
                  </w:pPr>
                  <w:r>
                    <w:rPr>
                      <w:rFonts w:hint="eastAsia"/>
                      <w:color w:val="auto"/>
                    </w:rPr>
                    <w:t>工艺</w:t>
                  </w:r>
                </w:p>
              </w:tc>
              <w:tc>
                <w:tcPr>
                  <w:tcW w:w="961"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处理能力</w:t>
                  </w:r>
                </w:p>
                <w:p>
                  <w:pPr>
                    <w:widowControl/>
                    <w:jc w:val="center"/>
                    <w:textAlignment w:val="center"/>
                    <w:rPr>
                      <w:color w:val="auto"/>
                    </w:rPr>
                  </w:pPr>
                  <w:r>
                    <w:rPr>
                      <w:rFonts w:hint="eastAsia"/>
                      <w:color w:val="auto"/>
                    </w:rPr>
                    <w:t>(m</w:t>
                  </w:r>
                  <w:r>
                    <w:rPr>
                      <w:rFonts w:hint="eastAsia"/>
                      <w:color w:val="auto"/>
                      <w:vertAlign w:val="superscript"/>
                    </w:rPr>
                    <w:t>3</w:t>
                  </w:r>
                  <w:r>
                    <w:rPr>
                      <w:rFonts w:hint="eastAsia"/>
                      <w:color w:val="auto"/>
                    </w:rPr>
                    <w:t>/d)</w:t>
                  </w:r>
                </w:p>
              </w:tc>
              <w:tc>
                <w:tcPr>
                  <w:tcW w:w="699"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是否可</w:t>
                  </w:r>
                </w:p>
                <w:p>
                  <w:pPr>
                    <w:widowControl/>
                    <w:jc w:val="center"/>
                    <w:textAlignment w:val="center"/>
                    <w:rPr>
                      <w:rFonts w:hint="eastAsia"/>
                      <w:color w:val="auto"/>
                    </w:rPr>
                  </w:pPr>
                  <w:r>
                    <w:rPr>
                      <w:rFonts w:hint="eastAsia"/>
                      <w:color w:val="auto"/>
                    </w:rPr>
                    <w:t>行技术</w:t>
                  </w:r>
                </w:p>
              </w:tc>
              <w:tc>
                <w:tcPr>
                  <w:tcW w:w="820" w:type="dxa"/>
                  <w:noWrap w:val="0"/>
                  <w:tcMar>
                    <w:top w:w="12" w:type="dxa"/>
                    <w:left w:w="12" w:type="dxa"/>
                    <w:right w:w="12" w:type="dxa"/>
                  </w:tcMar>
                  <w:vAlign w:val="center"/>
                </w:tcPr>
                <w:p>
                  <w:pPr>
                    <w:widowControl/>
                    <w:jc w:val="center"/>
                    <w:textAlignment w:val="center"/>
                    <w:rPr>
                      <w:color w:val="auto"/>
                    </w:rPr>
                  </w:pPr>
                  <w:r>
                    <w:rPr>
                      <w:color w:val="auto"/>
                    </w:rPr>
                    <w:t>排放量</w:t>
                  </w:r>
                </w:p>
                <w:p>
                  <w:pPr>
                    <w:widowControl/>
                    <w:jc w:val="center"/>
                    <w:textAlignment w:val="center"/>
                    <w:rPr>
                      <w:color w:val="auto"/>
                    </w:rPr>
                  </w:pPr>
                  <w:r>
                    <w:rPr>
                      <w:color w:val="auto"/>
                    </w:rPr>
                    <w:t>(t/a)</w:t>
                  </w:r>
                </w:p>
              </w:tc>
              <w:tc>
                <w:tcPr>
                  <w:tcW w:w="782" w:type="dxa"/>
                  <w:noWrap w:val="0"/>
                  <w:tcMar>
                    <w:top w:w="12" w:type="dxa"/>
                    <w:left w:w="12" w:type="dxa"/>
                    <w:right w:w="12" w:type="dxa"/>
                  </w:tcMar>
                  <w:vAlign w:val="center"/>
                </w:tcPr>
                <w:p>
                  <w:pPr>
                    <w:widowControl/>
                    <w:jc w:val="center"/>
                    <w:textAlignment w:val="center"/>
                    <w:rPr>
                      <w:color w:val="auto"/>
                    </w:rPr>
                  </w:pPr>
                  <w:r>
                    <w:rPr>
                      <w:color w:val="auto"/>
                    </w:rPr>
                    <w:t>浓度</w:t>
                  </w:r>
                </w:p>
                <w:p>
                  <w:pPr>
                    <w:widowControl/>
                    <w:jc w:val="center"/>
                    <w:textAlignment w:val="center"/>
                    <w:rPr>
                      <w:color w:val="auto"/>
                    </w:rPr>
                  </w:pPr>
                  <w:r>
                    <w:rPr>
                      <w:color w:val="auto"/>
                    </w:rPr>
                    <w:t>(mg/</w:t>
                  </w:r>
                  <w:r>
                    <w:rPr>
                      <w:rFonts w:hint="eastAsia"/>
                      <w:color w:val="auto"/>
                    </w:rPr>
                    <w:t>L</w:t>
                  </w:r>
                  <w:r>
                    <w:rPr>
                      <w:color w:val="auto"/>
                    </w:rPr>
                    <w:t>)</w:t>
                  </w:r>
                </w:p>
              </w:tc>
              <w:tc>
                <w:tcPr>
                  <w:tcW w:w="751" w:type="dxa"/>
                  <w:noWrap w:val="0"/>
                  <w:tcMar>
                    <w:top w:w="12" w:type="dxa"/>
                    <w:left w:w="12" w:type="dxa"/>
                    <w:right w:w="12" w:type="dxa"/>
                  </w:tcMar>
                  <w:vAlign w:val="center"/>
                </w:tcPr>
                <w:p>
                  <w:pPr>
                    <w:widowControl/>
                    <w:jc w:val="center"/>
                    <w:textAlignment w:val="center"/>
                    <w:rPr>
                      <w:color w:val="auto"/>
                    </w:rPr>
                  </w:pPr>
                  <w:r>
                    <w:rPr>
                      <w:rFonts w:hint="eastAsia"/>
                      <w:color w:val="auto"/>
                    </w:rPr>
                    <w:t>排放口编号</w:t>
                  </w:r>
                </w:p>
              </w:tc>
              <w:tc>
                <w:tcPr>
                  <w:tcW w:w="752"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排放</w:t>
                  </w:r>
                </w:p>
                <w:p>
                  <w:pPr>
                    <w:widowControl/>
                    <w:jc w:val="center"/>
                    <w:textAlignment w:val="center"/>
                    <w:rPr>
                      <w:rFonts w:hint="eastAsia"/>
                      <w:color w:val="auto"/>
                    </w:rPr>
                  </w:pPr>
                  <w:r>
                    <w:rPr>
                      <w:rFonts w:hint="eastAsia"/>
                      <w:color w:val="auto"/>
                    </w:rPr>
                    <w:t>方式</w:t>
                  </w:r>
                </w:p>
              </w:tc>
              <w:tc>
                <w:tcPr>
                  <w:tcW w:w="950" w:type="dxa"/>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排放去向</w:t>
                  </w:r>
                </w:p>
              </w:tc>
              <w:tc>
                <w:tcPr>
                  <w:tcW w:w="957" w:type="dxa"/>
                  <w:noWrap w:val="0"/>
                  <w:tcMar>
                    <w:top w:w="12" w:type="dxa"/>
                    <w:left w:w="12" w:type="dxa"/>
                    <w:right w:w="12" w:type="dxa"/>
                  </w:tcMar>
                  <w:vAlign w:val="center"/>
                </w:tcPr>
                <w:p>
                  <w:pPr>
                    <w:widowControl/>
                    <w:jc w:val="center"/>
                    <w:textAlignment w:val="center"/>
                    <w:rPr>
                      <w:color w:val="auto"/>
                    </w:rPr>
                  </w:pPr>
                  <w:r>
                    <w:rPr>
                      <w:rFonts w:hint="eastAsia"/>
                      <w:color w:val="auto"/>
                    </w:rPr>
                    <w:t>排放规律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58" w:type="dxa"/>
                  <w:vMerge w:val="restart"/>
                  <w:noWrap w:val="0"/>
                  <w:tcMar>
                    <w:top w:w="12" w:type="dxa"/>
                    <w:left w:w="12" w:type="dxa"/>
                    <w:right w:w="12" w:type="dxa"/>
                  </w:tcMar>
                  <w:vAlign w:val="center"/>
                </w:tcPr>
                <w:p>
                  <w:pPr>
                    <w:jc w:val="center"/>
                    <w:rPr>
                      <w:rFonts w:hint="eastAsia"/>
                      <w:color w:val="auto"/>
                    </w:rPr>
                  </w:pPr>
                  <w:r>
                    <w:rPr>
                      <w:rFonts w:hint="eastAsia"/>
                      <w:color w:val="auto"/>
                    </w:rPr>
                    <w:t>生产、</w:t>
                  </w:r>
                </w:p>
                <w:p>
                  <w:pPr>
                    <w:jc w:val="center"/>
                    <w:rPr>
                      <w:rFonts w:hint="eastAsia"/>
                      <w:color w:val="auto"/>
                    </w:rPr>
                  </w:pPr>
                  <w:r>
                    <w:rPr>
                      <w:rFonts w:hint="eastAsia"/>
                      <w:color w:val="auto"/>
                    </w:rPr>
                    <w:t>生活</w:t>
                  </w:r>
                </w:p>
              </w:tc>
              <w:tc>
                <w:tcPr>
                  <w:tcW w:w="572" w:type="dxa"/>
                  <w:vMerge w:val="restart"/>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综合</w:t>
                  </w:r>
                </w:p>
                <w:p>
                  <w:pPr>
                    <w:widowControl/>
                    <w:jc w:val="center"/>
                    <w:textAlignment w:val="center"/>
                    <w:rPr>
                      <w:rFonts w:hint="eastAsia"/>
                      <w:color w:val="auto"/>
                    </w:rPr>
                  </w:pPr>
                  <w:r>
                    <w:rPr>
                      <w:rFonts w:hint="eastAsia"/>
                      <w:color w:val="auto"/>
                    </w:rPr>
                    <w:t>废水</w:t>
                  </w: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废水量</w:t>
                  </w:r>
                </w:p>
              </w:tc>
              <w:tc>
                <w:tcPr>
                  <w:tcW w:w="1352"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41078.8</w:t>
                  </w:r>
                </w:p>
              </w:tc>
              <w:tc>
                <w:tcPr>
                  <w:tcW w:w="796"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w:t>
                  </w:r>
                </w:p>
              </w:tc>
              <w:tc>
                <w:tcPr>
                  <w:tcW w:w="884" w:type="dxa"/>
                  <w:vMerge w:val="restart"/>
                  <w:noWrap w:val="0"/>
                  <w:tcMar>
                    <w:top w:w="12" w:type="dxa"/>
                    <w:left w:w="12" w:type="dxa"/>
                    <w:right w:w="12" w:type="dxa"/>
                  </w:tcMar>
                  <w:vAlign w:val="center"/>
                </w:tcPr>
                <w:p>
                  <w:pPr>
                    <w:widowControl/>
                    <w:textAlignment w:val="center"/>
                    <w:rPr>
                      <w:color w:val="auto"/>
                    </w:rPr>
                  </w:pPr>
                  <w:r>
                    <w:rPr>
                      <w:rFonts w:hint="eastAsia"/>
                      <w:color w:val="auto"/>
                    </w:rPr>
                    <w:t>综合污水处理设施</w:t>
                  </w:r>
                </w:p>
              </w:tc>
              <w:tc>
                <w:tcPr>
                  <w:tcW w:w="706" w:type="dxa"/>
                  <w:noWrap w:val="0"/>
                  <w:tcMar>
                    <w:top w:w="12" w:type="dxa"/>
                    <w:left w:w="12" w:type="dxa"/>
                    <w:right w:w="12" w:type="dxa"/>
                  </w:tcMar>
                  <w:vAlign w:val="center"/>
                </w:tcPr>
                <w:p>
                  <w:pPr>
                    <w:widowControl/>
                    <w:jc w:val="center"/>
                    <w:textAlignment w:val="center"/>
                    <w:rPr>
                      <w:color w:val="auto"/>
                    </w:rPr>
                  </w:pPr>
                  <w:r>
                    <w:rPr>
                      <w:rFonts w:hint="eastAsia"/>
                      <w:color w:val="auto"/>
                      <w:kern w:val="0"/>
                      <w:szCs w:val="21"/>
                      <w:lang w:bidi="ar"/>
                    </w:rPr>
                    <w:t>/</w:t>
                  </w:r>
                </w:p>
              </w:tc>
              <w:tc>
                <w:tcPr>
                  <w:tcW w:w="717" w:type="dxa"/>
                  <w:vMerge w:val="restart"/>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水解酸化+好氧（A/O）</w:t>
                  </w:r>
                </w:p>
              </w:tc>
              <w:tc>
                <w:tcPr>
                  <w:tcW w:w="961"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lang w:val="en-US" w:eastAsia="zh-CN"/>
                    </w:rPr>
                    <w:t>10</w:t>
                  </w:r>
                  <w:r>
                    <w:rPr>
                      <w:rFonts w:hint="eastAsia"/>
                      <w:color w:val="auto"/>
                    </w:rPr>
                    <w:t>00m</w:t>
                  </w:r>
                  <w:r>
                    <w:rPr>
                      <w:rFonts w:hint="eastAsia"/>
                      <w:color w:val="auto"/>
                      <w:vertAlign w:val="superscript"/>
                    </w:rPr>
                    <w:t>3</w:t>
                  </w:r>
                  <w:r>
                    <w:rPr>
                      <w:rFonts w:hint="eastAsia"/>
                      <w:color w:val="auto"/>
                    </w:rPr>
                    <w:t>/d</w:t>
                  </w:r>
                </w:p>
              </w:tc>
              <w:tc>
                <w:tcPr>
                  <w:tcW w:w="699"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是</w:t>
                  </w: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cs="Times New Roman"/>
                      <w:i w:val="0"/>
                      <w:iCs w:val="0"/>
                      <w:color w:val="auto"/>
                      <w:kern w:val="0"/>
                      <w:sz w:val="21"/>
                      <w:szCs w:val="21"/>
                      <w:highlight w:val="none"/>
                      <w:u w:val="none"/>
                      <w:lang w:val="en-US" w:eastAsia="zh-CN" w:bidi="ar"/>
                    </w:rPr>
                    <w:t>41078.8</w:t>
                  </w:r>
                </w:p>
              </w:tc>
              <w:tc>
                <w:tcPr>
                  <w:tcW w:w="782" w:type="dxa"/>
                  <w:noWrap w:val="0"/>
                  <w:tcMar>
                    <w:top w:w="12" w:type="dxa"/>
                    <w:left w:w="12" w:type="dxa"/>
                    <w:right w:w="12" w:type="dxa"/>
                  </w:tcMar>
                  <w:vAlign w:val="center"/>
                </w:tcPr>
                <w:p>
                  <w:pPr>
                    <w:jc w:val="center"/>
                    <w:rPr>
                      <w:rFonts w:hint="eastAsia" w:eastAsia="宋体"/>
                      <w:color w:val="auto"/>
                      <w:lang w:val="en-US" w:eastAsia="zh-CN"/>
                    </w:rPr>
                  </w:pPr>
                  <w:r>
                    <w:rPr>
                      <w:rFonts w:hint="eastAsia"/>
                      <w:color w:val="auto"/>
                      <w:highlight w:val="none"/>
                      <w:lang w:val="en-US" w:eastAsia="zh-CN"/>
                    </w:rPr>
                    <w:t>/</w:t>
                  </w:r>
                </w:p>
              </w:tc>
              <w:tc>
                <w:tcPr>
                  <w:tcW w:w="751"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DW001</w:t>
                  </w:r>
                </w:p>
              </w:tc>
              <w:tc>
                <w:tcPr>
                  <w:tcW w:w="752" w:type="dxa"/>
                  <w:vMerge w:val="restart"/>
                  <w:noWrap w:val="0"/>
                  <w:tcMar>
                    <w:top w:w="12" w:type="dxa"/>
                    <w:left w:w="12" w:type="dxa"/>
                    <w:right w:w="12" w:type="dxa"/>
                  </w:tcMar>
                  <w:vAlign w:val="center"/>
                </w:tcPr>
                <w:p>
                  <w:pPr>
                    <w:widowControl/>
                    <w:jc w:val="center"/>
                    <w:textAlignment w:val="center"/>
                    <w:rPr>
                      <w:rFonts w:hint="eastAsia"/>
                      <w:color w:val="auto"/>
                    </w:rPr>
                  </w:pPr>
                  <w:r>
                    <w:rPr>
                      <w:rFonts w:hint="eastAsia"/>
                      <w:color w:val="auto"/>
                    </w:rPr>
                    <w:t>间接排放</w:t>
                  </w:r>
                </w:p>
              </w:tc>
              <w:tc>
                <w:tcPr>
                  <w:tcW w:w="950" w:type="dxa"/>
                  <w:vMerge w:val="restart"/>
                  <w:noWrap w:val="0"/>
                  <w:tcMar>
                    <w:top w:w="12" w:type="dxa"/>
                    <w:left w:w="12" w:type="dxa"/>
                    <w:right w:w="12" w:type="dxa"/>
                  </w:tcMar>
                  <w:vAlign w:val="center"/>
                </w:tcPr>
                <w:p>
                  <w:pPr>
                    <w:widowControl/>
                    <w:jc w:val="center"/>
                    <w:textAlignment w:val="center"/>
                    <w:rPr>
                      <w:color w:val="auto"/>
                    </w:rPr>
                  </w:pPr>
                  <w:r>
                    <w:rPr>
                      <w:rFonts w:hint="eastAsia"/>
                      <w:color w:val="auto"/>
                    </w:rPr>
                    <w:t>合肥市西部组团污水处理厂</w:t>
                  </w:r>
                </w:p>
              </w:tc>
              <w:tc>
                <w:tcPr>
                  <w:tcW w:w="957" w:type="dxa"/>
                  <w:vMerge w:val="restart"/>
                  <w:noWrap w:val="0"/>
                  <w:tcMar>
                    <w:top w:w="12" w:type="dxa"/>
                    <w:left w:w="12" w:type="dxa"/>
                    <w:right w:w="12" w:type="dxa"/>
                  </w:tcMar>
                  <w:vAlign w:val="center"/>
                </w:tcPr>
                <w:p>
                  <w:pPr>
                    <w:widowControl/>
                    <w:textAlignment w:val="center"/>
                    <w:rPr>
                      <w:color w:val="auto"/>
                    </w:rPr>
                  </w:pPr>
                  <w:r>
                    <w:rPr>
                      <w:rFonts w:hint="eastAsia" w:ascii="宋体" w:hAnsi="宋体"/>
                      <w:color w:val="auto"/>
                    </w:rPr>
                    <w:t>间断排放，排放期间流量不稳定，但有周期性规律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658" w:type="dxa"/>
                  <w:vMerge w:val="continue"/>
                  <w:noWrap w:val="0"/>
                  <w:tcMar>
                    <w:top w:w="12" w:type="dxa"/>
                    <w:left w:w="12" w:type="dxa"/>
                    <w:right w:w="12" w:type="dxa"/>
                  </w:tcMar>
                  <w:vAlign w:val="center"/>
                </w:tcPr>
                <w:p>
                  <w:pPr>
                    <w:jc w:val="center"/>
                    <w:rPr>
                      <w:rFonts w:hint="eastAsia"/>
                      <w:color w:val="auto"/>
                    </w:rPr>
                  </w:pPr>
                </w:p>
              </w:tc>
              <w:tc>
                <w:tcPr>
                  <w:tcW w:w="572"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pH</w:t>
                  </w:r>
                </w:p>
              </w:tc>
              <w:tc>
                <w:tcPr>
                  <w:tcW w:w="1352"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6"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6~9</w:t>
                  </w:r>
                </w:p>
              </w:tc>
              <w:tc>
                <w:tcPr>
                  <w:tcW w:w="884" w:type="dxa"/>
                  <w:vMerge w:val="continue"/>
                  <w:noWrap w:val="0"/>
                  <w:tcMar>
                    <w:top w:w="12" w:type="dxa"/>
                    <w:left w:w="12" w:type="dxa"/>
                    <w:right w:w="12" w:type="dxa"/>
                  </w:tcMar>
                  <w:vAlign w:val="center"/>
                </w:tcPr>
                <w:p>
                  <w:pPr>
                    <w:widowControl/>
                    <w:textAlignment w:val="center"/>
                    <w:rPr>
                      <w:rFonts w:hint="eastAsia"/>
                      <w:color w:val="auto"/>
                    </w:rPr>
                  </w:pPr>
                </w:p>
              </w:tc>
              <w:tc>
                <w:tcPr>
                  <w:tcW w:w="706" w:type="dxa"/>
                  <w:noWrap w:val="0"/>
                  <w:tcMar>
                    <w:top w:w="12" w:type="dxa"/>
                    <w:left w:w="12" w:type="dxa"/>
                    <w:right w:w="12" w:type="dxa"/>
                  </w:tcMar>
                  <w:vAlign w:val="center"/>
                </w:tcPr>
                <w:p>
                  <w:pPr>
                    <w:widowControl/>
                    <w:jc w:val="center"/>
                    <w:textAlignment w:val="center"/>
                    <w:rPr>
                      <w:color w:val="auto"/>
                    </w:rPr>
                  </w:pPr>
                  <w:r>
                    <w:rPr>
                      <w:rFonts w:hint="eastAsia"/>
                      <w:color w:val="auto"/>
                      <w:kern w:val="0"/>
                      <w:szCs w:val="21"/>
                      <w:lang w:bidi="ar"/>
                    </w:rPr>
                    <w:t>/</w:t>
                  </w:r>
                </w:p>
              </w:tc>
              <w:tc>
                <w:tcPr>
                  <w:tcW w:w="717"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961" w:type="dxa"/>
                  <w:vMerge w:val="continue"/>
                  <w:noWrap w:val="0"/>
                  <w:tcMar>
                    <w:top w:w="12" w:type="dxa"/>
                    <w:left w:w="12" w:type="dxa"/>
                    <w:right w:w="12" w:type="dxa"/>
                  </w:tcMar>
                  <w:vAlign w:val="center"/>
                </w:tcPr>
                <w:p>
                  <w:pPr>
                    <w:widowControl/>
                    <w:jc w:val="center"/>
                    <w:textAlignment w:val="center"/>
                    <w:rPr>
                      <w:rFonts w:hint="eastAsia"/>
                      <w:color w:val="auto"/>
                      <w:lang w:val="en-US" w:eastAsia="zh-CN"/>
                    </w:rPr>
                  </w:pPr>
                </w:p>
              </w:tc>
              <w:tc>
                <w:tcPr>
                  <w:tcW w:w="699"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751"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752"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950" w:type="dxa"/>
                  <w:vMerge w:val="continue"/>
                  <w:noWrap w:val="0"/>
                  <w:tcMar>
                    <w:top w:w="12" w:type="dxa"/>
                    <w:left w:w="12" w:type="dxa"/>
                    <w:right w:w="12" w:type="dxa"/>
                  </w:tcMar>
                  <w:vAlign w:val="center"/>
                </w:tcPr>
                <w:p>
                  <w:pPr>
                    <w:widowControl/>
                    <w:jc w:val="center"/>
                    <w:textAlignment w:val="center"/>
                    <w:rPr>
                      <w:rFonts w:hint="eastAsia"/>
                      <w:color w:val="auto"/>
                    </w:rPr>
                  </w:pPr>
                </w:p>
              </w:tc>
              <w:tc>
                <w:tcPr>
                  <w:tcW w:w="957" w:type="dxa"/>
                  <w:vMerge w:val="continue"/>
                  <w:noWrap w:val="0"/>
                  <w:tcMar>
                    <w:top w:w="12" w:type="dxa"/>
                    <w:left w:w="12" w:type="dxa"/>
                    <w:right w:w="12" w:type="dxa"/>
                  </w:tcMar>
                  <w:vAlign w:val="center"/>
                </w:tcPr>
                <w:p>
                  <w:pPr>
                    <w:widowControl/>
                    <w:textAlignment w:val="center"/>
                    <w:rPr>
                      <w:rFonts w:hint="eastAsia" w:ascii="宋体" w:hAnsi="宋体"/>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jc w:val="center"/>
              </w:trPr>
              <w:tc>
                <w:tcPr>
                  <w:tcW w:w="658" w:type="dxa"/>
                  <w:vMerge w:val="continue"/>
                  <w:noWrap w:val="0"/>
                  <w:tcMar>
                    <w:top w:w="12" w:type="dxa"/>
                    <w:left w:w="12" w:type="dxa"/>
                    <w:right w:w="12" w:type="dxa"/>
                  </w:tcMar>
                  <w:vAlign w:val="center"/>
                </w:tcPr>
                <w:p>
                  <w:pPr>
                    <w:widowControl/>
                    <w:jc w:val="center"/>
                    <w:textAlignment w:val="center"/>
                    <w:rPr>
                      <w:color w:val="auto"/>
                    </w:rPr>
                  </w:pPr>
                </w:p>
              </w:tc>
              <w:tc>
                <w:tcPr>
                  <w:tcW w:w="572" w:type="dxa"/>
                  <w:vMerge w:val="continue"/>
                  <w:noWrap w:val="0"/>
                  <w:tcMar>
                    <w:top w:w="12" w:type="dxa"/>
                    <w:left w:w="12" w:type="dxa"/>
                    <w:right w:w="12" w:type="dxa"/>
                  </w:tcMar>
                  <w:vAlign w:val="center"/>
                </w:tcPr>
                <w:p>
                  <w:pPr>
                    <w:widowControl/>
                    <w:jc w:val="center"/>
                    <w:textAlignment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7.776</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189.3</w:t>
                  </w:r>
                </w:p>
              </w:tc>
              <w:tc>
                <w:tcPr>
                  <w:tcW w:w="884" w:type="dxa"/>
                  <w:vMerge w:val="continue"/>
                  <w:noWrap/>
                  <w:tcMar>
                    <w:top w:w="12" w:type="dxa"/>
                    <w:left w:w="12" w:type="dxa"/>
                    <w:right w:w="12" w:type="dxa"/>
                  </w:tcMar>
                  <w:vAlign w:val="center"/>
                </w:tcPr>
                <w:p>
                  <w:pPr>
                    <w:widowControl/>
                    <w:jc w:val="center"/>
                    <w:textAlignment w:val="center"/>
                    <w:rPr>
                      <w:color w:val="auto"/>
                    </w:rPr>
                  </w:pPr>
                </w:p>
              </w:tc>
              <w:tc>
                <w:tcPr>
                  <w:tcW w:w="706" w:type="dxa"/>
                  <w:noWrap/>
                  <w:tcMar>
                    <w:top w:w="12" w:type="dxa"/>
                    <w:left w:w="12" w:type="dxa"/>
                    <w:right w:w="12" w:type="dxa"/>
                  </w:tcMar>
                  <w:vAlign w:val="center"/>
                </w:tcPr>
                <w:p>
                  <w:pPr>
                    <w:widowControl/>
                    <w:jc w:val="center"/>
                    <w:textAlignment w:val="center"/>
                    <w:rPr>
                      <w:color w:val="auto"/>
                    </w:rPr>
                  </w:pPr>
                  <w:r>
                    <w:rPr>
                      <w:color w:val="auto"/>
                      <w:kern w:val="0"/>
                      <w:szCs w:val="21"/>
                      <w:lang w:bidi="ar"/>
                    </w:rPr>
                    <w:t>52%</w:t>
                  </w:r>
                </w:p>
              </w:tc>
              <w:tc>
                <w:tcPr>
                  <w:tcW w:w="717" w:type="dxa"/>
                  <w:vMerge w:val="continue"/>
                  <w:noWrap/>
                  <w:tcMar>
                    <w:top w:w="12" w:type="dxa"/>
                    <w:left w:w="12" w:type="dxa"/>
                    <w:right w:w="12" w:type="dxa"/>
                  </w:tcMar>
                  <w:vAlign w:val="center"/>
                </w:tcPr>
                <w:p>
                  <w:pPr>
                    <w:widowControl/>
                    <w:jc w:val="center"/>
                    <w:textAlignment w:val="center"/>
                    <w:rPr>
                      <w:color w:val="auto"/>
                    </w:rPr>
                  </w:pPr>
                </w:p>
              </w:tc>
              <w:tc>
                <w:tcPr>
                  <w:tcW w:w="961" w:type="dxa"/>
                  <w:vMerge w:val="continue"/>
                  <w:noWrap/>
                  <w:tcMar>
                    <w:top w:w="12" w:type="dxa"/>
                    <w:left w:w="12" w:type="dxa"/>
                    <w:right w:w="12" w:type="dxa"/>
                  </w:tcMar>
                  <w:vAlign w:val="center"/>
                </w:tcPr>
                <w:p>
                  <w:pPr>
                    <w:widowControl/>
                    <w:jc w:val="center"/>
                    <w:textAlignment w:val="center"/>
                    <w:rPr>
                      <w:color w:val="auto"/>
                    </w:rPr>
                  </w:pPr>
                </w:p>
              </w:tc>
              <w:tc>
                <w:tcPr>
                  <w:tcW w:w="699" w:type="dxa"/>
                  <w:vMerge w:val="continue"/>
                  <w:noWrap/>
                  <w:tcMar>
                    <w:top w:w="12" w:type="dxa"/>
                    <w:left w:w="12" w:type="dxa"/>
                    <w:right w:w="12" w:type="dxa"/>
                  </w:tcMar>
                  <w:vAlign w:val="center"/>
                </w:tcPr>
                <w:p>
                  <w:pPr>
                    <w:widowControl/>
                    <w:jc w:val="center"/>
                    <w:textAlignment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3.733</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90.864</w:t>
                  </w:r>
                </w:p>
              </w:tc>
              <w:tc>
                <w:tcPr>
                  <w:tcW w:w="751" w:type="dxa"/>
                  <w:vMerge w:val="continue"/>
                  <w:noWrap w:val="0"/>
                  <w:tcMar>
                    <w:top w:w="12" w:type="dxa"/>
                    <w:left w:w="12" w:type="dxa"/>
                    <w:right w:w="12" w:type="dxa"/>
                  </w:tcMar>
                  <w:vAlign w:val="center"/>
                </w:tcPr>
                <w:p>
                  <w:pPr>
                    <w:widowControl/>
                    <w:jc w:val="center"/>
                    <w:textAlignment w:val="center"/>
                    <w:rPr>
                      <w:color w:val="auto"/>
                    </w:rPr>
                  </w:pPr>
                </w:p>
              </w:tc>
              <w:tc>
                <w:tcPr>
                  <w:tcW w:w="752" w:type="dxa"/>
                  <w:vMerge w:val="continue"/>
                  <w:noWrap w:val="0"/>
                  <w:tcMar>
                    <w:top w:w="12" w:type="dxa"/>
                    <w:left w:w="12" w:type="dxa"/>
                    <w:right w:w="12" w:type="dxa"/>
                  </w:tcMar>
                  <w:vAlign w:val="center"/>
                </w:tcPr>
                <w:p>
                  <w:pPr>
                    <w:widowControl/>
                    <w:jc w:val="center"/>
                    <w:textAlignment w:val="center"/>
                    <w:rPr>
                      <w:color w:val="auto"/>
                    </w:rPr>
                  </w:pPr>
                </w:p>
              </w:tc>
              <w:tc>
                <w:tcPr>
                  <w:tcW w:w="950" w:type="dxa"/>
                  <w:vMerge w:val="continue"/>
                  <w:noWrap w:val="0"/>
                  <w:tcMar>
                    <w:top w:w="12" w:type="dxa"/>
                    <w:left w:w="12" w:type="dxa"/>
                    <w:right w:w="12" w:type="dxa"/>
                  </w:tcMar>
                  <w:vAlign w:val="center"/>
                </w:tcPr>
                <w:p>
                  <w:pPr>
                    <w:widowControl/>
                    <w:jc w:val="center"/>
                    <w:textAlignment w:val="center"/>
                    <w:rPr>
                      <w:color w:val="auto"/>
                    </w:rPr>
                  </w:pPr>
                </w:p>
              </w:tc>
              <w:tc>
                <w:tcPr>
                  <w:tcW w:w="957" w:type="dxa"/>
                  <w:vMerge w:val="continue"/>
                  <w:noWrap w:val="0"/>
                  <w:tcMar>
                    <w:top w:w="12" w:type="dxa"/>
                    <w:left w:w="12" w:type="dxa"/>
                    <w:right w:w="12" w:type="dxa"/>
                  </w:tcMar>
                  <w:vAlign w:val="center"/>
                </w:tcPr>
                <w:p>
                  <w:pPr>
                    <w:widowControl/>
                    <w:jc w:val="center"/>
                    <w:textAlignment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658" w:type="dxa"/>
                  <w:vMerge w:val="continue"/>
                  <w:noWrap w:val="0"/>
                  <w:tcMar>
                    <w:top w:w="12" w:type="dxa"/>
                    <w:left w:w="12" w:type="dxa"/>
                    <w:right w:w="12" w:type="dxa"/>
                  </w:tcMar>
                  <w:vAlign w:val="center"/>
                </w:tcPr>
                <w:p>
                  <w:pPr>
                    <w:jc w:val="center"/>
                    <w:rPr>
                      <w:color w:val="auto"/>
                    </w:rPr>
                  </w:pPr>
                </w:p>
              </w:tc>
              <w:tc>
                <w:tcPr>
                  <w:tcW w:w="572" w:type="dxa"/>
                  <w:vMerge w:val="continue"/>
                  <w:noWrap w:val="0"/>
                  <w:tcMar>
                    <w:top w:w="12" w:type="dxa"/>
                    <w:left w:w="12" w:type="dxa"/>
                    <w:right w:w="12" w:type="dxa"/>
                  </w:tcMar>
                  <w:vAlign w:val="center"/>
                </w:tcPr>
                <w:p>
                  <w:pPr>
                    <w:jc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4.067</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99.0</w:t>
                  </w:r>
                </w:p>
              </w:tc>
              <w:tc>
                <w:tcPr>
                  <w:tcW w:w="884" w:type="dxa"/>
                  <w:vMerge w:val="continue"/>
                  <w:noWrap/>
                  <w:tcMar>
                    <w:top w:w="12" w:type="dxa"/>
                    <w:left w:w="12" w:type="dxa"/>
                    <w:right w:w="12" w:type="dxa"/>
                  </w:tcMar>
                  <w:vAlign w:val="center"/>
                </w:tcPr>
                <w:p>
                  <w:pPr>
                    <w:jc w:val="center"/>
                    <w:rPr>
                      <w:color w:val="auto"/>
                    </w:rPr>
                  </w:pPr>
                </w:p>
              </w:tc>
              <w:tc>
                <w:tcPr>
                  <w:tcW w:w="706" w:type="dxa"/>
                  <w:noWrap/>
                  <w:tcMar>
                    <w:top w:w="12" w:type="dxa"/>
                    <w:left w:w="12" w:type="dxa"/>
                    <w:right w:w="12" w:type="dxa"/>
                  </w:tcMar>
                  <w:vAlign w:val="center"/>
                </w:tcPr>
                <w:p>
                  <w:pPr>
                    <w:widowControl/>
                    <w:jc w:val="center"/>
                    <w:textAlignment w:val="center"/>
                    <w:rPr>
                      <w:color w:val="auto"/>
                    </w:rPr>
                  </w:pPr>
                  <w:r>
                    <w:rPr>
                      <w:color w:val="auto"/>
                      <w:kern w:val="0"/>
                      <w:szCs w:val="21"/>
                      <w:lang w:bidi="ar"/>
                    </w:rPr>
                    <w:t>38%</w:t>
                  </w:r>
                </w:p>
              </w:tc>
              <w:tc>
                <w:tcPr>
                  <w:tcW w:w="717" w:type="dxa"/>
                  <w:vMerge w:val="continue"/>
                  <w:noWrap/>
                  <w:tcMar>
                    <w:top w:w="12" w:type="dxa"/>
                    <w:left w:w="12" w:type="dxa"/>
                    <w:right w:w="12" w:type="dxa"/>
                  </w:tcMar>
                  <w:vAlign w:val="center"/>
                </w:tcPr>
                <w:p>
                  <w:pPr>
                    <w:jc w:val="center"/>
                    <w:rPr>
                      <w:color w:val="auto"/>
                    </w:rPr>
                  </w:pPr>
                </w:p>
              </w:tc>
              <w:tc>
                <w:tcPr>
                  <w:tcW w:w="961" w:type="dxa"/>
                  <w:vMerge w:val="continue"/>
                  <w:noWrap/>
                  <w:tcMar>
                    <w:top w:w="12" w:type="dxa"/>
                    <w:left w:w="12" w:type="dxa"/>
                    <w:right w:w="12" w:type="dxa"/>
                  </w:tcMar>
                  <w:vAlign w:val="center"/>
                </w:tcPr>
                <w:p>
                  <w:pPr>
                    <w:jc w:val="center"/>
                    <w:rPr>
                      <w:color w:val="auto"/>
                    </w:rPr>
                  </w:pPr>
                </w:p>
              </w:tc>
              <w:tc>
                <w:tcPr>
                  <w:tcW w:w="699" w:type="dxa"/>
                  <w:vMerge w:val="continue"/>
                  <w:noWrap/>
                  <w:tcMar>
                    <w:top w:w="12" w:type="dxa"/>
                    <w:left w:w="12" w:type="dxa"/>
                    <w:right w:w="12" w:type="dxa"/>
                  </w:tcMar>
                  <w:vAlign w:val="center"/>
                </w:tcPr>
                <w:p>
                  <w:pPr>
                    <w:jc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2.521</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61.38</w:t>
                  </w:r>
                </w:p>
              </w:tc>
              <w:tc>
                <w:tcPr>
                  <w:tcW w:w="751" w:type="dxa"/>
                  <w:vMerge w:val="continue"/>
                  <w:noWrap w:val="0"/>
                  <w:tcMar>
                    <w:top w:w="12" w:type="dxa"/>
                    <w:left w:w="12" w:type="dxa"/>
                    <w:right w:w="12" w:type="dxa"/>
                  </w:tcMar>
                  <w:vAlign w:val="center"/>
                </w:tcPr>
                <w:p>
                  <w:pPr>
                    <w:jc w:val="center"/>
                    <w:rPr>
                      <w:color w:val="auto"/>
                    </w:rPr>
                  </w:pPr>
                </w:p>
              </w:tc>
              <w:tc>
                <w:tcPr>
                  <w:tcW w:w="752" w:type="dxa"/>
                  <w:vMerge w:val="continue"/>
                  <w:noWrap w:val="0"/>
                  <w:tcMar>
                    <w:top w:w="12" w:type="dxa"/>
                    <w:left w:w="12" w:type="dxa"/>
                    <w:right w:w="12" w:type="dxa"/>
                  </w:tcMar>
                  <w:vAlign w:val="center"/>
                </w:tcPr>
                <w:p>
                  <w:pPr>
                    <w:jc w:val="center"/>
                    <w:rPr>
                      <w:color w:val="auto"/>
                    </w:rPr>
                  </w:pPr>
                </w:p>
              </w:tc>
              <w:tc>
                <w:tcPr>
                  <w:tcW w:w="950" w:type="dxa"/>
                  <w:vMerge w:val="continue"/>
                  <w:noWrap w:val="0"/>
                  <w:tcMar>
                    <w:top w:w="12" w:type="dxa"/>
                    <w:left w:w="12" w:type="dxa"/>
                    <w:right w:w="12" w:type="dxa"/>
                  </w:tcMar>
                  <w:vAlign w:val="center"/>
                </w:tcPr>
                <w:p>
                  <w:pPr>
                    <w:jc w:val="center"/>
                    <w:rPr>
                      <w:color w:val="auto"/>
                    </w:rPr>
                  </w:pPr>
                </w:p>
              </w:tc>
              <w:tc>
                <w:tcPr>
                  <w:tcW w:w="957" w:type="dxa"/>
                  <w:vMerge w:val="continue"/>
                  <w:noWrap w:val="0"/>
                  <w:tcMar>
                    <w:top w:w="12" w:type="dxa"/>
                    <w:left w:w="12" w:type="dxa"/>
                    <w:right w:w="12" w:type="dxa"/>
                  </w:tcMar>
                  <w:vAlign w:val="center"/>
                </w:tcPr>
                <w:p>
                  <w:pPr>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658" w:type="dxa"/>
                  <w:vMerge w:val="continue"/>
                  <w:noWrap w:val="0"/>
                  <w:tcMar>
                    <w:top w:w="12" w:type="dxa"/>
                    <w:left w:w="12" w:type="dxa"/>
                    <w:right w:w="12" w:type="dxa"/>
                  </w:tcMar>
                  <w:vAlign w:val="center"/>
                </w:tcPr>
                <w:p>
                  <w:pPr>
                    <w:jc w:val="center"/>
                    <w:rPr>
                      <w:color w:val="auto"/>
                    </w:rPr>
                  </w:pPr>
                </w:p>
              </w:tc>
              <w:tc>
                <w:tcPr>
                  <w:tcW w:w="572" w:type="dxa"/>
                  <w:vMerge w:val="continue"/>
                  <w:noWrap w:val="0"/>
                  <w:tcMar>
                    <w:top w:w="12" w:type="dxa"/>
                    <w:left w:w="12" w:type="dxa"/>
                    <w:right w:w="12" w:type="dxa"/>
                  </w:tcMar>
                  <w:vAlign w:val="center"/>
                </w:tcPr>
                <w:p>
                  <w:pPr>
                    <w:jc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12.927</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314.7</w:t>
                  </w:r>
                </w:p>
              </w:tc>
              <w:tc>
                <w:tcPr>
                  <w:tcW w:w="884" w:type="dxa"/>
                  <w:vMerge w:val="continue"/>
                  <w:noWrap/>
                  <w:tcMar>
                    <w:top w:w="12" w:type="dxa"/>
                    <w:left w:w="12" w:type="dxa"/>
                    <w:right w:w="12" w:type="dxa"/>
                  </w:tcMar>
                  <w:vAlign w:val="center"/>
                </w:tcPr>
                <w:p>
                  <w:pPr>
                    <w:jc w:val="center"/>
                    <w:rPr>
                      <w:rFonts w:hint="eastAsia"/>
                      <w:color w:val="auto"/>
                    </w:rPr>
                  </w:pPr>
                </w:p>
              </w:tc>
              <w:tc>
                <w:tcPr>
                  <w:tcW w:w="706" w:type="dxa"/>
                  <w:noWrap/>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67%</w:t>
                  </w:r>
                </w:p>
              </w:tc>
              <w:tc>
                <w:tcPr>
                  <w:tcW w:w="717" w:type="dxa"/>
                  <w:vMerge w:val="continue"/>
                  <w:noWrap/>
                  <w:tcMar>
                    <w:top w:w="12" w:type="dxa"/>
                    <w:left w:w="12" w:type="dxa"/>
                    <w:right w:w="12" w:type="dxa"/>
                  </w:tcMar>
                  <w:vAlign w:val="center"/>
                </w:tcPr>
                <w:p>
                  <w:pPr>
                    <w:jc w:val="center"/>
                    <w:rPr>
                      <w:rFonts w:hint="eastAsia"/>
                      <w:color w:val="auto"/>
                    </w:rPr>
                  </w:pPr>
                </w:p>
              </w:tc>
              <w:tc>
                <w:tcPr>
                  <w:tcW w:w="961" w:type="dxa"/>
                  <w:vMerge w:val="continue"/>
                  <w:noWrap/>
                  <w:tcMar>
                    <w:top w:w="12" w:type="dxa"/>
                    <w:left w:w="12" w:type="dxa"/>
                    <w:right w:w="12" w:type="dxa"/>
                  </w:tcMar>
                  <w:vAlign w:val="center"/>
                </w:tcPr>
                <w:p>
                  <w:pPr>
                    <w:jc w:val="center"/>
                    <w:rPr>
                      <w:color w:val="auto"/>
                    </w:rPr>
                  </w:pPr>
                </w:p>
              </w:tc>
              <w:tc>
                <w:tcPr>
                  <w:tcW w:w="699" w:type="dxa"/>
                  <w:vMerge w:val="continue"/>
                  <w:noWrap/>
                  <w:tcMar>
                    <w:top w:w="12" w:type="dxa"/>
                    <w:left w:w="12" w:type="dxa"/>
                    <w:right w:w="12" w:type="dxa"/>
                  </w:tcMar>
                  <w:vAlign w:val="center"/>
                </w:tcPr>
                <w:p>
                  <w:pPr>
                    <w:jc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4.266</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103.851</w:t>
                  </w:r>
                </w:p>
              </w:tc>
              <w:tc>
                <w:tcPr>
                  <w:tcW w:w="751" w:type="dxa"/>
                  <w:vMerge w:val="continue"/>
                  <w:noWrap w:val="0"/>
                  <w:tcMar>
                    <w:top w:w="12" w:type="dxa"/>
                    <w:left w:w="12" w:type="dxa"/>
                    <w:right w:w="12" w:type="dxa"/>
                  </w:tcMar>
                  <w:vAlign w:val="center"/>
                </w:tcPr>
                <w:p>
                  <w:pPr>
                    <w:jc w:val="center"/>
                    <w:rPr>
                      <w:color w:val="auto"/>
                    </w:rPr>
                  </w:pPr>
                </w:p>
              </w:tc>
              <w:tc>
                <w:tcPr>
                  <w:tcW w:w="752" w:type="dxa"/>
                  <w:vMerge w:val="continue"/>
                  <w:noWrap w:val="0"/>
                  <w:tcMar>
                    <w:top w:w="12" w:type="dxa"/>
                    <w:left w:w="12" w:type="dxa"/>
                    <w:right w:w="12" w:type="dxa"/>
                  </w:tcMar>
                  <w:vAlign w:val="center"/>
                </w:tcPr>
                <w:p>
                  <w:pPr>
                    <w:jc w:val="center"/>
                    <w:rPr>
                      <w:color w:val="auto"/>
                    </w:rPr>
                  </w:pPr>
                </w:p>
              </w:tc>
              <w:tc>
                <w:tcPr>
                  <w:tcW w:w="950" w:type="dxa"/>
                  <w:vMerge w:val="continue"/>
                  <w:noWrap w:val="0"/>
                  <w:tcMar>
                    <w:top w:w="12" w:type="dxa"/>
                    <w:left w:w="12" w:type="dxa"/>
                    <w:right w:w="12" w:type="dxa"/>
                  </w:tcMar>
                  <w:vAlign w:val="center"/>
                </w:tcPr>
                <w:p>
                  <w:pPr>
                    <w:jc w:val="center"/>
                    <w:rPr>
                      <w:color w:val="auto"/>
                    </w:rPr>
                  </w:pPr>
                </w:p>
              </w:tc>
              <w:tc>
                <w:tcPr>
                  <w:tcW w:w="957" w:type="dxa"/>
                  <w:vMerge w:val="continue"/>
                  <w:noWrap w:val="0"/>
                  <w:tcMar>
                    <w:top w:w="12" w:type="dxa"/>
                    <w:left w:w="12" w:type="dxa"/>
                    <w:right w:w="12" w:type="dxa"/>
                  </w:tcMar>
                  <w:vAlign w:val="center"/>
                </w:tcPr>
                <w:p>
                  <w:pPr>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658" w:type="dxa"/>
                  <w:vMerge w:val="continue"/>
                  <w:noWrap w:val="0"/>
                  <w:tcMar>
                    <w:top w:w="12" w:type="dxa"/>
                    <w:left w:w="12" w:type="dxa"/>
                    <w:right w:w="12" w:type="dxa"/>
                  </w:tcMar>
                  <w:vAlign w:val="center"/>
                </w:tcPr>
                <w:p>
                  <w:pPr>
                    <w:jc w:val="center"/>
                    <w:rPr>
                      <w:color w:val="auto"/>
                    </w:rPr>
                  </w:pPr>
                </w:p>
              </w:tc>
              <w:tc>
                <w:tcPr>
                  <w:tcW w:w="572" w:type="dxa"/>
                  <w:vMerge w:val="continue"/>
                  <w:noWrap w:val="0"/>
                  <w:tcMar>
                    <w:top w:w="12" w:type="dxa"/>
                    <w:left w:w="12" w:type="dxa"/>
                    <w:right w:w="12" w:type="dxa"/>
                  </w:tcMar>
                  <w:vAlign w:val="center"/>
                </w:tcPr>
                <w:p>
                  <w:pPr>
                    <w:jc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0.329</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sz w:val="21"/>
                      <w:szCs w:val="21"/>
                      <w:highlight w:val="none"/>
                      <w:u w:val="none"/>
                      <w:lang w:val="en-US" w:eastAsia="zh-CN"/>
                    </w:rPr>
                    <w:t>8.0</w:t>
                  </w:r>
                </w:p>
              </w:tc>
              <w:tc>
                <w:tcPr>
                  <w:tcW w:w="884" w:type="dxa"/>
                  <w:vMerge w:val="continue"/>
                  <w:noWrap/>
                  <w:tcMar>
                    <w:top w:w="12" w:type="dxa"/>
                    <w:left w:w="12" w:type="dxa"/>
                    <w:right w:w="12" w:type="dxa"/>
                  </w:tcMar>
                  <w:vAlign w:val="center"/>
                </w:tcPr>
                <w:p>
                  <w:pPr>
                    <w:jc w:val="center"/>
                    <w:rPr>
                      <w:rFonts w:hint="eastAsia"/>
                      <w:color w:val="auto"/>
                    </w:rPr>
                  </w:pPr>
                </w:p>
              </w:tc>
              <w:tc>
                <w:tcPr>
                  <w:tcW w:w="706" w:type="dxa"/>
                  <w:noWrap/>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54%</w:t>
                  </w:r>
                </w:p>
              </w:tc>
              <w:tc>
                <w:tcPr>
                  <w:tcW w:w="717" w:type="dxa"/>
                  <w:vMerge w:val="continue"/>
                  <w:noWrap/>
                  <w:tcMar>
                    <w:top w:w="12" w:type="dxa"/>
                    <w:left w:w="12" w:type="dxa"/>
                    <w:right w:w="12" w:type="dxa"/>
                  </w:tcMar>
                  <w:vAlign w:val="center"/>
                </w:tcPr>
                <w:p>
                  <w:pPr>
                    <w:jc w:val="center"/>
                    <w:rPr>
                      <w:rFonts w:hint="eastAsia"/>
                      <w:color w:val="auto"/>
                    </w:rPr>
                  </w:pPr>
                </w:p>
              </w:tc>
              <w:tc>
                <w:tcPr>
                  <w:tcW w:w="961" w:type="dxa"/>
                  <w:vMerge w:val="continue"/>
                  <w:noWrap/>
                  <w:tcMar>
                    <w:top w:w="12" w:type="dxa"/>
                    <w:left w:w="12" w:type="dxa"/>
                    <w:right w:w="12" w:type="dxa"/>
                  </w:tcMar>
                  <w:vAlign w:val="center"/>
                </w:tcPr>
                <w:p>
                  <w:pPr>
                    <w:jc w:val="center"/>
                    <w:rPr>
                      <w:color w:val="auto"/>
                    </w:rPr>
                  </w:pPr>
                </w:p>
              </w:tc>
              <w:tc>
                <w:tcPr>
                  <w:tcW w:w="699" w:type="dxa"/>
                  <w:vMerge w:val="continue"/>
                  <w:noWrap/>
                  <w:tcMar>
                    <w:top w:w="12" w:type="dxa"/>
                    <w:left w:w="12" w:type="dxa"/>
                    <w:right w:w="12" w:type="dxa"/>
                  </w:tcMar>
                  <w:vAlign w:val="center"/>
                </w:tcPr>
                <w:p>
                  <w:pPr>
                    <w:jc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0.151</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kern w:val="0"/>
                      <w:szCs w:val="21"/>
                      <w:lang w:bidi="ar"/>
                    </w:rPr>
                  </w:pPr>
                  <w:r>
                    <w:rPr>
                      <w:rFonts w:hint="default" w:ascii="Times New Roman" w:hAnsi="Times New Roman" w:eastAsia="宋体" w:cs="Times New Roman"/>
                      <w:i w:val="0"/>
                      <w:iCs w:val="0"/>
                      <w:color w:val="000000"/>
                      <w:kern w:val="0"/>
                      <w:sz w:val="21"/>
                      <w:szCs w:val="21"/>
                      <w:u w:val="none"/>
                      <w:lang w:val="en-US" w:eastAsia="zh-CN" w:bidi="ar"/>
                    </w:rPr>
                    <w:t>3.68</w:t>
                  </w:r>
                </w:p>
              </w:tc>
              <w:tc>
                <w:tcPr>
                  <w:tcW w:w="751" w:type="dxa"/>
                  <w:vMerge w:val="continue"/>
                  <w:noWrap w:val="0"/>
                  <w:tcMar>
                    <w:top w:w="12" w:type="dxa"/>
                    <w:left w:w="12" w:type="dxa"/>
                    <w:right w:w="12" w:type="dxa"/>
                  </w:tcMar>
                  <w:vAlign w:val="center"/>
                </w:tcPr>
                <w:p>
                  <w:pPr>
                    <w:jc w:val="center"/>
                    <w:rPr>
                      <w:color w:val="auto"/>
                    </w:rPr>
                  </w:pPr>
                </w:p>
              </w:tc>
              <w:tc>
                <w:tcPr>
                  <w:tcW w:w="752" w:type="dxa"/>
                  <w:vMerge w:val="continue"/>
                  <w:noWrap w:val="0"/>
                  <w:tcMar>
                    <w:top w:w="12" w:type="dxa"/>
                    <w:left w:w="12" w:type="dxa"/>
                    <w:right w:w="12" w:type="dxa"/>
                  </w:tcMar>
                  <w:vAlign w:val="center"/>
                </w:tcPr>
                <w:p>
                  <w:pPr>
                    <w:jc w:val="center"/>
                    <w:rPr>
                      <w:color w:val="auto"/>
                    </w:rPr>
                  </w:pPr>
                </w:p>
              </w:tc>
              <w:tc>
                <w:tcPr>
                  <w:tcW w:w="950" w:type="dxa"/>
                  <w:vMerge w:val="continue"/>
                  <w:noWrap w:val="0"/>
                  <w:tcMar>
                    <w:top w:w="12" w:type="dxa"/>
                    <w:left w:w="12" w:type="dxa"/>
                    <w:right w:w="12" w:type="dxa"/>
                  </w:tcMar>
                  <w:vAlign w:val="center"/>
                </w:tcPr>
                <w:p>
                  <w:pPr>
                    <w:jc w:val="center"/>
                    <w:rPr>
                      <w:color w:val="auto"/>
                    </w:rPr>
                  </w:pPr>
                </w:p>
              </w:tc>
              <w:tc>
                <w:tcPr>
                  <w:tcW w:w="957" w:type="dxa"/>
                  <w:vMerge w:val="continue"/>
                  <w:noWrap w:val="0"/>
                  <w:tcMar>
                    <w:top w:w="12" w:type="dxa"/>
                    <w:left w:w="12" w:type="dxa"/>
                    <w:right w:w="12" w:type="dxa"/>
                  </w:tcMar>
                  <w:vAlign w:val="center"/>
                </w:tcPr>
                <w:p>
                  <w:pPr>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658" w:type="dxa"/>
                  <w:vMerge w:val="continue"/>
                  <w:noWrap w:val="0"/>
                  <w:tcMar>
                    <w:top w:w="12" w:type="dxa"/>
                    <w:left w:w="12" w:type="dxa"/>
                    <w:right w:w="12" w:type="dxa"/>
                  </w:tcMar>
                  <w:vAlign w:val="center"/>
                </w:tcPr>
                <w:p>
                  <w:pPr>
                    <w:jc w:val="center"/>
                    <w:rPr>
                      <w:color w:val="auto"/>
                    </w:rPr>
                  </w:pPr>
                </w:p>
              </w:tc>
              <w:tc>
                <w:tcPr>
                  <w:tcW w:w="572" w:type="dxa"/>
                  <w:vMerge w:val="continue"/>
                  <w:noWrap w:val="0"/>
                  <w:tcMar>
                    <w:top w:w="12" w:type="dxa"/>
                    <w:left w:w="12" w:type="dxa"/>
                    <w:right w:w="12" w:type="dxa"/>
                  </w:tcMar>
                  <w:vAlign w:val="center"/>
                </w:tcPr>
                <w:p>
                  <w:pPr>
                    <w:jc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TP</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0.062</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1.5</w:t>
                  </w:r>
                </w:p>
              </w:tc>
              <w:tc>
                <w:tcPr>
                  <w:tcW w:w="884" w:type="dxa"/>
                  <w:vMerge w:val="continue"/>
                  <w:noWrap/>
                  <w:tcMar>
                    <w:top w:w="12" w:type="dxa"/>
                    <w:left w:w="12" w:type="dxa"/>
                    <w:right w:w="12" w:type="dxa"/>
                  </w:tcMar>
                  <w:vAlign w:val="center"/>
                </w:tcPr>
                <w:p>
                  <w:pPr>
                    <w:jc w:val="center"/>
                    <w:rPr>
                      <w:rFonts w:hint="eastAsia"/>
                      <w:color w:val="auto"/>
                    </w:rPr>
                  </w:pPr>
                </w:p>
              </w:tc>
              <w:tc>
                <w:tcPr>
                  <w:tcW w:w="706" w:type="dxa"/>
                  <w:noWrap/>
                  <w:tcMar>
                    <w:top w:w="12" w:type="dxa"/>
                    <w:left w:w="12" w:type="dxa"/>
                    <w:right w:w="12" w:type="dxa"/>
                  </w:tcMar>
                  <w:vAlign w:val="center"/>
                </w:tcPr>
                <w:p>
                  <w:pPr>
                    <w:widowControl/>
                    <w:jc w:val="center"/>
                    <w:textAlignment w:val="center"/>
                    <w:rPr>
                      <w:rFonts w:hint="eastAsia"/>
                      <w:color w:val="auto"/>
                    </w:rPr>
                  </w:pPr>
                  <w:r>
                    <w:rPr>
                      <w:rFonts w:hint="eastAsia"/>
                      <w:color w:val="auto"/>
                      <w:kern w:val="0"/>
                      <w:szCs w:val="21"/>
                      <w:lang w:bidi="ar"/>
                    </w:rPr>
                    <w:t>50%</w:t>
                  </w:r>
                </w:p>
              </w:tc>
              <w:tc>
                <w:tcPr>
                  <w:tcW w:w="717" w:type="dxa"/>
                  <w:vMerge w:val="continue"/>
                  <w:noWrap/>
                  <w:tcMar>
                    <w:top w:w="12" w:type="dxa"/>
                    <w:left w:w="12" w:type="dxa"/>
                    <w:right w:w="12" w:type="dxa"/>
                  </w:tcMar>
                  <w:vAlign w:val="center"/>
                </w:tcPr>
                <w:p>
                  <w:pPr>
                    <w:jc w:val="center"/>
                    <w:rPr>
                      <w:rFonts w:hint="eastAsia"/>
                      <w:color w:val="auto"/>
                    </w:rPr>
                  </w:pPr>
                </w:p>
              </w:tc>
              <w:tc>
                <w:tcPr>
                  <w:tcW w:w="961" w:type="dxa"/>
                  <w:vMerge w:val="continue"/>
                  <w:noWrap/>
                  <w:tcMar>
                    <w:top w:w="12" w:type="dxa"/>
                    <w:left w:w="12" w:type="dxa"/>
                    <w:right w:w="12" w:type="dxa"/>
                  </w:tcMar>
                  <w:vAlign w:val="center"/>
                </w:tcPr>
                <w:p>
                  <w:pPr>
                    <w:jc w:val="center"/>
                    <w:rPr>
                      <w:color w:val="auto"/>
                    </w:rPr>
                  </w:pPr>
                </w:p>
              </w:tc>
              <w:tc>
                <w:tcPr>
                  <w:tcW w:w="699" w:type="dxa"/>
                  <w:vMerge w:val="continue"/>
                  <w:noWrap/>
                  <w:tcMar>
                    <w:top w:w="12" w:type="dxa"/>
                    <w:left w:w="12" w:type="dxa"/>
                    <w:right w:w="12" w:type="dxa"/>
                  </w:tcMar>
                  <w:vAlign w:val="center"/>
                </w:tcPr>
                <w:p>
                  <w:pPr>
                    <w:jc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0.75</w:t>
                  </w:r>
                </w:p>
              </w:tc>
              <w:tc>
                <w:tcPr>
                  <w:tcW w:w="751" w:type="dxa"/>
                  <w:vMerge w:val="continue"/>
                  <w:noWrap w:val="0"/>
                  <w:tcMar>
                    <w:top w:w="12" w:type="dxa"/>
                    <w:left w:w="12" w:type="dxa"/>
                    <w:right w:w="12" w:type="dxa"/>
                  </w:tcMar>
                  <w:vAlign w:val="center"/>
                </w:tcPr>
                <w:p>
                  <w:pPr>
                    <w:jc w:val="center"/>
                    <w:rPr>
                      <w:color w:val="auto"/>
                    </w:rPr>
                  </w:pPr>
                </w:p>
              </w:tc>
              <w:tc>
                <w:tcPr>
                  <w:tcW w:w="752" w:type="dxa"/>
                  <w:vMerge w:val="continue"/>
                  <w:noWrap w:val="0"/>
                  <w:tcMar>
                    <w:top w:w="12" w:type="dxa"/>
                    <w:left w:w="12" w:type="dxa"/>
                    <w:right w:w="12" w:type="dxa"/>
                  </w:tcMar>
                  <w:vAlign w:val="center"/>
                </w:tcPr>
                <w:p>
                  <w:pPr>
                    <w:jc w:val="center"/>
                    <w:rPr>
                      <w:color w:val="auto"/>
                    </w:rPr>
                  </w:pPr>
                </w:p>
              </w:tc>
              <w:tc>
                <w:tcPr>
                  <w:tcW w:w="950" w:type="dxa"/>
                  <w:vMerge w:val="continue"/>
                  <w:noWrap w:val="0"/>
                  <w:tcMar>
                    <w:top w:w="12" w:type="dxa"/>
                    <w:left w:w="12" w:type="dxa"/>
                    <w:right w:w="12" w:type="dxa"/>
                  </w:tcMar>
                  <w:vAlign w:val="center"/>
                </w:tcPr>
                <w:p>
                  <w:pPr>
                    <w:jc w:val="center"/>
                    <w:rPr>
                      <w:color w:val="auto"/>
                    </w:rPr>
                  </w:pPr>
                </w:p>
              </w:tc>
              <w:tc>
                <w:tcPr>
                  <w:tcW w:w="957" w:type="dxa"/>
                  <w:vMerge w:val="continue"/>
                  <w:noWrap w:val="0"/>
                  <w:tcMar>
                    <w:top w:w="12" w:type="dxa"/>
                    <w:left w:w="12" w:type="dxa"/>
                    <w:right w:w="12" w:type="dxa"/>
                  </w:tcMar>
                  <w:vAlign w:val="center"/>
                </w:tcPr>
                <w:p>
                  <w:pPr>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658" w:type="dxa"/>
                  <w:vMerge w:val="continue"/>
                  <w:noWrap w:val="0"/>
                  <w:tcMar>
                    <w:top w:w="12" w:type="dxa"/>
                    <w:left w:w="12" w:type="dxa"/>
                    <w:right w:w="12" w:type="dxa"/>
                  </w:tcMar>
                  <w:vAlign w:val="center"/>
                </w:tcPr>
                <w:p>
                  <w:pPr>
                    <w:widowControl/>
                    <w:jc w:val="center"/>
                    <w:textAlignment w:val="center"/>
                    <w:rPr>
                      <w:color w:val="auto"/>
                    </w:rPr>
                  </w:pPr>
                </w:p>
              </w:tc>
              <w:tc>
                <w:tcPr>
                  <w:tcW w:w="572" w:type="dxa"/>
                  <w:vMerge w:val="continue"/>
                  <w:noWrap w:val="0"/>
                  <w:tcMar>
                    <w:top w:w="12" w:type="dxa"/>
                    <w:left w:w="12" w:type="dxa"/>
                    <w:right w:w="12" w:type="dxa"/>
                  </w:tcMar>
                  <w:vAlign w:val="center"/>
                </w:tcPr>
                <w:p>
                  <w:pPr>
                    <w:widowControl/>
                    <w:jc w:val="center"/>
                    <w:textAlignment w:val="center"/>
                    <w:rPr>
                      <w:color w:val="auto"/>
                    </w:rPr>
                  </w:pPr>
                </w:p>
              </w:tc>
              <w:tc>
                <w:tcPr>
                  <w:tcW w:w="98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TN</w:t>
                  </w:r>
                </w:p>
              </w:tc>
              <w:tc>
                <w:tcPr>
                  <w:tcW w:w="1352"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0.538</w:t>
                  </w:r>
                </w:p>
              </w:tc>
              <w:tc>
                <w:tcPr>
                  <w:tcW w:w="796" w:type="dxa"/>
                  <w:noWrap/>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13.1</w:t>
                  </w:r>
                </w:p>
              </w:tc>
              <w:tc>
                <w:tcPr>
                  <w:tcW w:w="884" w:type="dxa"/>
                  <w:vMerge w:val="continue"/>
                  <w:noWrap/>
                  <w:tcMar>
                    <w:top w:w="12" w:type="dxa"/>
                    <w:left w:w="12" w:type="dxa"/>
                    <w:right w:w="12" w:type="dxa"/>
                  </w:tcMar>
                  <w:vAlign w:val="center"/>
                </w:tcPr>
                <w:p>
                  <w:pPr>
                    <w:jc w:val="center"/>
                    <w:rPr>
                      <w:color w:val="auto"/>
                    </w:rPr>
                  </w:pPr>
                </w:p>
              </w:tc>
              <w:tc>
                <w:tcPr>
                  <w:tcW w:w="706" w:type="dxa"/>
                  <w:noWrap/>
                  <w:tcMar>
                    <w:top w:w="12" w:type="dxa"/>
                    <w:left w:w="12" w:type="dxa"/>
                    <w:right w:w="12" w:type="dxa"/>
                  </w:tcMar>
                  <w:vAlign w:val="center"/>
                </w:tcPr>
                <w:p>
                  <w:pPr>
                    <w:widowControl/>
                    <w:jc w:val="center"/>
                    <w:textAlignment w:val="center"/>
                    <w:rPr>
                      <w:color w:val="auto"/>
                    </w:rPr>
                  </w:pPr>
                  <w:r>
                    <w:rPr>
                      <w:rFonts w:hint="eastAsia"/>
                      <w:color w:val="auto"/>
                      <w:kern w:val="0"/>
                      <w:szCs w:val="21"/>
                      <w:lang w:bidi="ar"/>
                    </w:rPr>
                    <w:t>50%</w:t>
                  </w:r>
                </w:p>
              </w:tc>
              <w:tc>
                <w:tcPr>
                  <w:tcW w:w="717" w:type="dxa"/>
                  <w:vMerge w:val="continue"/>
                  <w:noWrap/>
                  <w:tcMar>
                    <w:top w:w="12" w:type="dxa"/>
                    <w:left w:w="12" w:type="dxa"/>
                    <w:right w:w="12" w:type="dxa"/>
                  </w:tcMar>
                  <w:vAlign w:val="center"/>
                </w:tcPr>
                <w:p>
                  <w:pPr>
                    <w:jc w:val="center"/>
                    <w:rPr>
                      <w:color w:val="auto"/>
                    </w:rPr>
                  </w:pPr>
                </w:p>
              </w:tc>
              <w:tc>
                <w:tcPr>
                  <w:tcW w:w="961" w:type="dxa"/>
                  <w:vMerge w:val="continue"/>
                  <w:noWrap/>
                  <w:tcMar>
                    <w:top w:w="12" w:type="dxa"/>
                    <w:left w:w="12" w:type="dxa"/>
                    <w:right w:w="12" w:type="dxa"/>
                  </w:tcMar>
                  <w:vAlign w:val="center"/>
                </w:tcPr>
                <w:p>
                  <w:pPr>
                    <w:jc w:val="center"/>
                    <w:rPr>
                      <w:color w:val="auto"/>
                    </w:rPr>
                  </w:pPr>
                </w:p>
              </w:tc>
              <w:tc>
                <w:tcPr>
                  <w:tcW w:w="699" w:type="dxa"/>
                  <w:vMerge w:val="continue"/>
                  <w:noWrap/>
                  <w:tcMar>
                    <w:top w:w="12" w:type="dxa"/>
                    <w:left w:w="12" w:type="dxa"/>
                    <w:right w:w="12" w:type="dxa"/>
                  </w:tcMar>
                  <w:vAlign w:val="center"/>
                </w:tcPr>
                <w:p>
                  <w:pPr>
                    <w:jc w:val="center"/>
                    <w:rPr>
                      <w:color w:val="auto"/>
                    </w:rPr>
                  </w:pPr>
                </w:p>
              </w:tc>
              <w:tc>
                <w:tcPr>
                  <w:tcW w:w="820" w:type="dxa"/>
                  <w:noWrap w:val="0"/>
                  <w:tcMar>
                    <w:top w:w="12" w:type="dxa"/>
                    <w:left w:w="12" w:type="dxa"/>
                    <w:right w:w="12" w:type="dxa"/>
                  </w:tcMar>
                  <w:vAlign w:val="center"/>
                </w:tcPr>
                <w:p>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0.269</w:t>
                  </w:r>
                </w:p>
              </w:tc>
              <w:tc>
                <w:tcPr>
                  <w:tcW w:w="782" w:type="dxa"/>
                  <w:noWrap w:val="0"/>
                  <w:tcMar>
                    <w:top w:w="12" w:type="dxa"/>
                    <w:left w:w="12" w:type="dxa"/>
                    <w:right w:w="12" w:type="dxa"/>
                  </w:tcMar>
                  <w:vAlign w:val="center"/>
                </w:tcPr>
                <w:p>
                  <w:pPr>
                    <w:keepNext w:val="0"/>
                    <w:keepLines w:val="0"/>
                    <w:widowControl/>
                    <w:suppressLineNumbers w:val="0"/>
                    <w:jc w:val="center"/>
                    <w:textAlignment w:val="center"/>
                    <w:rPr>
                      <w:color w:val="auto"/>
                    </w:rPr>
                  </w:pPr>
                  <w:r>
                    <w:rPr>
                      <w:rFonts w:hint="default" w:ascii="Times New Roman" w:hAnsi="Times New Roman" w:eastAsia="宋体" w:cs="Times New Roman"/>
                      <w:i w:val="0"/>
                      <w:iCs w:val="0"/>
                      <w:color w:val="000000"/>
                      <w:kern w:val="0"/>
                      <w:sz w:val="21"/>
                      <w:szCs w:val="21"/>
                      <w:u w:val="none"/>
                      <w:lang w:val="en-US" w:eastAsia="zh-CN" w:bidi="ar"/>
                    </w:rPr>
                    <w:t>6.55</w:t>
                  </w:r>
                </w:p>
              </w:tc>
              <w:tc>
                <w:tcPr>
                  <w:tcW w:w="751" w:type="dxa"/>
                  <w:vMerge w:val="continue"/>
                  <w:noWrap w:val="0"/>
                  <w:tcMar>
                    <w:top w:w="12" w:type="dxa"/>
                    <w:left w:w="12" w:type="dxa"/>
                    <w:right w:w="12" w:type="dxa"/>
                  </w:tcMar>
                  <w:vAlign w:val="center"/>
                </w:tcPr>
                <w:p>
                  <w:pPr>
                    <w:jc w:val="center"/>
                    <w:rPr>
                      <w:color w:val="auto"/>
                    </w:rPr>
                  </w:pPr>
                </w:p>
              </w:tc>
              <w:tc>
                <w:tcPr>
                  <w:tcW w:w="752" w:type="dxa"/>
                  <w:vMerge w:val="continue"/>
                  <w:noWrap w:val="0"/>
                  <w:tcMar>
                    <w:top w:w="12" w:type="dxa"/>
                    <w:left w:w="12" w:type="dxa"/>
                    <w:right w:w="12" w:type="dxa"/>
                  </w:tcMar>
                  <w:vAlign w:val="center"/>
                </w:tcPr>
                <w:p>
                  <w:pPr>
                    <w:jc w:val="center"/>
                    <w:rPr>
                      <w:color w:val="auto"/>
                    </w:rPr>
                  </w:pPr>
                </w:p>
              </w:tc>
              <w:tc>
                <w:tcPr>
                  <w:tcW w:w="950" w:type="dxa"/>
                  <w:vMerge w:val="continue"/>
                  <w:noWrap w:val="0"/>
                  <w:tcMar>
                    <w:top w:w="12" w:type="dxa"/>
                    <w:left w:w="12" w:type="dxa"/>
                    <w:right w:w="12" w:type="dxa"/>
                  </w:tcMar>
                  <w:vAlign w:val="center"/>
                </w:tcPr>
                <w:p>
                  <w:pPr>
                    <w:jc w:val="center"/>
                    <w:rPr>
                      <w:color w:val="auto"/>
                    </w:rPr>
                  </w:pPr>
                </w:p>
              </w:tc>
              <w:tc>
                <w:tcPr>
                  <w:tcW w:w="957" w:type="dxa"/>
                  <w:vMerge w:val="continue"/>
                  <w:noWrap w:val="0"/>
                  <w:tcMar>
                    <w:top w:w="12" w:type="dxa"/>
                    <w:left w:w="12" w:type="dxa"/>
                    <w:right w:w="12" w:type="dxa"/>
                  </w:tcMar>
                  <w:vAlign w:val="center"/>
                </w:tcPr>
                <w:p>
                  <w:pPr>
                    <w:jc w:val="center"/>
                    <w:rPr>
                      <w:color w:val="auto"/>
                    </w:rPr>
                  </w:pPr>
                </w:p>
              </w:tc>
            </w:tr>
          </w:tbl>
          <w:p>
            <w:pPr>
              <w:widowControl/>
              <w:rPr>
                <w:rFonts w:hint="eastAsia"/>
                <w:b/>
                <w:color w:val="auto"/>
                <w:kern w:val="0"/>
                <w:szCs w:val="21"/>
              </w:rPr>
            </w:pPr>
          </w:p>
          <w:p>
            <w:pPr>
              <w:widowControl/>
              <w:numPr>
                <w:ilvl w:val="0"/>
                <w:numId w:val="2"/>
              </w:numPr>
              <w:jc w:val="center"/>
              <w:rPr>
                <w:rFonts w:hint="eastAsia"/>
                <w:b/>
                <w:color w:val="auto"/>
                <w:kern w:val="0"/>
                <w:szCs w:val="21"/>
              </w:rPr>
            </w:pPr>
            <w:r>
              <w:rPr>
                <w:b/>
                <w:color w:val="auto"/>
                <w:kern w:val="0"/>
                <w:szCs w:val="21"/>
              </w:rPr>
              <w:t>项目</w:t>
            </w:r>
            <w:r>
              <w:rPr>
                <w:rFonts w:hint="eastAsia"/>
                <w:b/>
                <w:color w:val="auto"/>
                <w:kern w:val="0"/>
                <w:szCs w:val="21"/>
              </w:rPr>
              <w:t>废水排放口基本</w:t>
            </w:r>
            <w:r>
              <w:rPr>
                <w:b/>
                <w:color w:val="auto"/>
                <w:kern w:val="0"/>
                <w:szCs w:val="21"/>
              </w:rPr>
              <w:t>情况一览表</w:t>
            </w:r>
          </w:p>
          <w:tbl>
            <w:tblPr>
              <w:tblStyle w:val="20"/>
              <w:tblW w:w="0" w:type="auto"/>
              <w:jc w:val="center"/>
              <w:tblLayout w:type="fixed"/>
              <w:tblCellMar>
                <w:top w:w="0" w:type="dxa"/>
                <w:left w:w="0" w:type="dxa"/>
                <w:bottom w:w="0" w:type="dxa"/>
                <w:right w:w="0" w:type="dxa"/>
              </w:tblCellMar>
            </w:tblPr>
            <w:tblGrid>
              <w:gridCol w:w="489"/>
              <w:gridCol w:w="928"/>
              <w:gridCol w:w="1093"/>
              <w:gridCol w:w="1233"/>
              <w:gridCol w:w="856"/>
              <w:gridCol w:w="814"/>
              <w:gridCol w:w="1319"/>
              <w:gridCol w:w="1789"/>
              <w:gridCol w:w="1134"/>
              <w:gridCol w:w="921"/>
              <w:gridCol w:w="1768"/>
              <w:gridCol w:w="1053"/>
            </w:tblGrid>
            <w:tr>
              <w:tblPrEx>
                <w:tblCellMar>
                  <w:top w:w="0" w:type="dxa"/>
                  <w:left w:w="0" w:type="dxa"/>
                  <w:bottom w:w="0" w:type="dxa"/>
                  <w:right w:w="0" w:type="dxa"/>
                </w:tblCellMar>
              </w:tblPrEx>
              <w:trPr>
                <w:trHeight w:val="388" w:hRule="atLeast"/>
                <w:jc w:val="center"/>
              </w:trPr>
              <w:tc>
                <w:tcPr>
                  <w:tcW w:w="489"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序号</w:t>
                  </w:r>
                </w:p>
              </w:tc>
              <w:tc>
                <w:tcPr>
                  <w:tcW w:w="928"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排放口</w:t>
                  </w:r>
                </w:p>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编号</w:t>
                  </w:r>
                </w:p>
              </w:tc>
              <w:tc>
                <w:tcPr>
                  <w:tcW w:w="109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排放口</w:t>
                  </w:r>
                </w:p>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名称</w:t>
                  </w:r>
                </w:p>
              </w:tc>
              <w:tc>
                <w:tcPr>
                  <w:tcW w:w="123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排放口类型</w:t>
                  </w:r>
                </w:p>
              </w:tc>
              <w:tc>
                <w:tcPr>
                  <w:tcW w:w="1670" w:type="dxa"/>
                  <w:gridSpan w:val="2"/>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排放口地理坐标</w:t>
                  </w:r>
                </w:p>
              </w:tc>
              <w:tc>
                <w:tcPr>
                  <w:tcW w:w="1319"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color w:val="auto"/>
                      <w:lang w:bidi="ar"/>
                    </w:rPr>
                  </w:pPr>
                  <w:r>
                    <w:rPr>
                      <w:rStyle w:val="45"/>
                      <w:rFonts w:hint="default"/>
                      <w:color w:val="auto"/>
                      <w:lang w:bidi="ar"/>
                    </w:rPr>
                    <w:t>受纳污水</w:t>
                  </w:r>
                </w:p>
                <w:p>
                  <w:pPr>
                    <w:widowControl/>
                    <w:jc w:val="center"/>
                    <w:textAlignment w:val="center"/>
                    <w:rPr>
                      <w:color w:val="auto"/>
                      <w:szCs w:val="21"/>
                    </w:rPr>
                  </w:pPr>
                  <w:r>
                    <w:rPr>
                      <w:rStyle w:val="45"/>
                      <w:rFonts w:hint="default"/>
                      <w:color w:val="auto"/>
                      <w:lang w:bidi="ar"/>
                    </w:rPr>
                    <w:t>处理厂</w:t>
                  </w:r>
                </w:p>
              </w:tc>
              <w:tc>
                <w:tcPr>
                  <w:tcW w:w="2923" w:type="dxa"/>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Style w:val="38"/>
                      <w:rFonts w:hint="default"/>
                      <w:color w:val="auto"/>
                      <w:lang w:bidi="ar"/>
                    </w:rPr>
                    <w:t>污染物排放标准</w:t>
                  </w:r>
                </w:p>
              </w:tc>
              <w:tc>
                <w:tcPr>
                  <w:tcW w:w="374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Style w:val="38"/>
                      <w:rFonts w:hint="default"/>
                      <w:color w:val="auto"/>
                      <w:lang w:bidi="ar"/>
                    </w:rPr>
                    <w:t>监测要求</w:t>
                  </w:r>
                </w:p>
              </w:tc>
            </w:tr>
            <w:tr>
              <w:tblPrEx>
                <w:tblCellMar>
                  <w:top w:w="0" w:type="dxa"/>
                  <w:left w:w="0" w:type="dxa"/>
                  <w:bottom w:w="0" w:type="dxa"/>
                  <w:right w:w="0" w:type="dxa"/>
                </w:tblCellMar>
              </w:tblPrEx>
              <w:trPr>
                <w:trHeight w:val="388" w:hRule="atLeast"/>
                <w:jc w:val="center"/>
              </w:trPr>
              <w:tc>
                <w:tcPr>
                  <w:tcW w:w="48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Cs w:val="21"/>
                    </w:rPr>
                  </w:pPr>
                </w:p>
              </w:tc>
              <w:tc>
                <w:tcPr>
                  <w:tcW w:w="109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Cs w:val="21"/>
                    </w:rPr>
                  </w:pPr>
                </w:p>
              </w:tc>
              <w:tc>
                <w:tcPr>
                  <w:tcW w:w="123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宋体" w:hAnsi="宋体" w:cs="宋体"/>
                      <w:color w:val="auto"/>
                      <w:szCs w:val="21"/>
                    </w:rPr>
                  </w:pPr>
                </w:p>
              </w:tc>
              <w:tc>
                <w:tcPr>
                  <w:tcW w:w="85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经度</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纬度</w:t>
                  </w:r>
                </w:p>
              </w:tc>
              <w:tc>
                <w:tcPr>
                  <w:tcW w:w="1319"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污染物种类</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排放标准</w:t>
                  </w:r>
                </w:p>
              </w:tc>
              <w:tc>
                <w:tcPr>
                  <w:tcW w:w="921"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监测点位</w:t>
                  </w:r>
                </w:p>
              </w:tc>
              <w:tc>
                <w:tcPr>
                  <w:tcW w:w="1768"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监测因子</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监测频次</w:t>
                  </w:r>
                </w:p>
              </w:tc>
            </w:tr>
            <w:tr>
              <w:tblPrEx>
                <w:tblCellMar>
                  <w:top w:w="0" w:type="dxa"/>
                  <w:left w:w="0" w:type="dxa"/>
                  <w:bottom w:w="0" w:type="dxa"/>
                  <w:right w:w="0" w:type="dxa"/>
                </w:tblCellMar>
              </w:tblPrEx>
              <w:trPr>
                <w:trHeight w:val="388" w:hRule="atLeast"/>
                <w:jc w:val="center"/>
              </w:trPr>
              <w:tc>
                <w:tcPr>
                  <w:tcW w:w="489"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w:t>
                  </w:r>
                </w:p>
              </w:tc>
              <w:tc>
                <w:tcPr>
                  <w:tcW w:w="928"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DW001</w:t>
                  </w:r>
                </w:p>
              </w:tc>
              <w:tc>
                <w:tcPr>
                  <w:tcW w:w="109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Style w:val="45"/>
                      <w:rFonts w:hint="default"/>
                      <w:color w:val="auto"/>
                      <w:lang w:bidi="ar"/>
                    </w:rPr>
                    <w:t>厂区污水总排口</w:t>
                  </w:r>
                  <w:r>
                    <w:rPr>
                      <w:rFonts w:hint="eastAsia"/>
                      <w:lang w:eastAsia="zh-CN"/>
                    </w:rPr>
                    <w:t>（</w:t>
                  </w:r>
                  <w:r>
                    <w:rPr>
                      <w:rFonts w:hint="eastAsia"/>
                      <w:lang w:val="en-US" w:eastAsia="zh-CN"/>
                    </w:rPr>
                    <w:t>依托现有总排口）</w:t>
                  </w:r>
                </w:p>
              </w:tc>
              <w:tc>
                <w:tcPr>
                  <w:tcW w:w="1233"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r>
                    <w:rPr>
                      <w:rFonts w:hint="eastAsia"/>
                      <w:color w:val="auto"/>
                      <w:szCs w:val="21"/>
                    </w:rPr>
                    <w:t>主要排放口-总排口</w:t>
                  </w:r>
                </w:p>
              </w:tc>
              <w:tc>
                <w:tcPr>
                  <w:tcW w:w="856"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117.1106307</w:t>
                  </w:r>
                </w:p>
              </w:tc>
              <w:tc>
                <w:tcPr>
                  <w:tcW w:w="814"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szCs w:val="21"/>
                    </w:rPr>
                    <w:t>31.8056892</w:t>
                  </w:r>
                </w:p>
              </w:tc>
              <w:tc>
                <w:tcPr>
                  <w:tcW w:w="1319"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合肥市西部组团污水处理厂</w:t>
                  </w: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流量</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w:t>
                  </w:r>
                </w:p>
              </w:tc>
              <w:tc>
                <w:tcPr>
                  <w:tcW w:w="921" w:type="dxa"/>
                  <w:vMerge w:val="restart"/>
                  <w:tcBorders>
                    <w:top w:val="single" w:color="000000" w:sz="4" w:space="0"/>
                    <w:left w:val="single" w:color="000000" w:sz="4" w:space="0"/>
                    <w:right w:val="single" w:color="000000" w:sz="4" w:space="0"/>
                  </w:tcBorders>
                  <w:noWrap/>
                  <w:tcMar>
                    <w:top w:w="12" w:type="dxa"/>
                    <w:left w:w="12" w:type="dxa"/>
                    <w:right w:w="12" w:type="dxa"/>
                  </w:tcMar>
                  <w:vAlign w:val="center"/>
                </w:tcPr>
                <w:p>
                  <w:pPr>
                    <w:widowControl/>
                    <w:jc w:val="center"/>
                    <w:textAlignment w:val="center"/>
                    <w:rPr>
                      <w:rStyle w:val="38"/>
                      <w:rFonts w:hint="default"/>
                      <w:color w:val="auto"/>
                      <w:lang w:bidi="ar"/>
                    </w:rPr>
                  </w:pPr>
                  <w:r>
                    <w:rPr>
                      <w:rStyle w:val="38"/>
                      <w:rFonts w:hint="default"/>
                      <w:color w:val="auto"/>
                      <w:lang w:bidi="ar"/>
                    </w:rPr>
                    <w:t>污水</w:t>
                  </w:r>
                </w:p>
                <w:p>
                  <w:pPr>
                    <w:widowControl/>
                    <w:jc w:val="center"/>
                    <w:textAlignment w:val="center"/>
                    <w:rPr>
                      <w:color w:val="auto"/>
                      <w:sz w:val="22"/>
                      <w:szCs w:val="22"/>
                    </w:rPr>
                  </w:pPr>
                  <w:r>
                    <w:rPr>
                      <w:rStyle w:val="38"/>
                      <w:rFonts w:hint="default"/>
                      <w:color w:val="auto"/>
                      <w:lang w:bidi="ar"/>
                    </w:rPr>
                    <w:t>总排口</w:t>
                  </w: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val="en-US" w:eastAsia="zh-CN"/>
                    </w:rPr>
                  </w:pPr>
                  <w:r>
                    <w:rPr>
                      <w:rFonts w:hint="eastAsia"/>
                      <w:color w:val="auto"/>
                      <w:szCs w:val="21"/>
                      <w:lang w:val="en-US" w:eastAsia="zh-CN"/>
                    </w:rPr>
                    <w:t>流量</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eastAsia="宋体"/>
                      <w:color w:val="auto"/>
                      <w:sz w:val="22"/>
                      <w:szCs w:val="22"/>
                      <w:lang w:val="en-US" w:eastAsia="zh-CN"/>
                    </w:rPr>
                  </w:pPr>
                  <w:r>
                    <w:rPr>
                      <w:rFonts w:hint="eastAsia"/>
                      <w:color w:val="auto"/>
                      <w:sz w:val="22"/>
                      <w:szCs w:val="22"/>
                      <w:lang w:val="en-US" w:eastAsia="zh-CN"/>
                    </w:rPr>
                    <w:t>/</w:t>
                  </w:r>
                </w:p>
              </w:tc>
            </w:tr>
            <w:tr>
              <w:tblPrEx>
                <w:tblCellMar>
                  <w:top w:w="0" w:type="dxa"/>
                  <w:left w:w="0" w:type="dxa"/>
                  <w:bottom w:w="0" w:type="dxa"/>
                  <w:right w:w="0" w:type="dxa"/>
                </w:tblCellMar>
              </w:tblPrEx>
              <w:trPr>
                <w:trHeight w:val="388"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color w:val="auto"/>
                      <w:lang w:bidi="ar"/>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rFonts w:hint="eastAsia"/>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color w:val="auto"/>
                      <w:lang w:bidi="ar"/>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pH</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color w:val="auto"/>
                      <w:kern w:val="0"/>
                      <w:szCs w:val="21"/>
                      <w:lang w:bidi="ar"/>
                    </w:rPr>
                  </w:pPr>
                  <w:r>
                    <w:rPr>
                      <w:rFonts w:hint="eastAsia"/>
                      <w:color w:val="auto"/>
                      <w:kern w:val="0"/>
                      <w:szCs w:val="21"/>
                      <w:lang w:bidi="ar"/>
                    </w:rPr>
                    <w:t>6</w:t>
                  </w:r>
                  <w:r>
                    <w:rPr>
                      <w:color w:val="auto"/>
                      <w:kern w:val="0"/>
                      <w:szCs w:val="21"/>
                      <w:lang w:bidi="ar"/>
                    </w:rPr>
                    <w:t>~</w:t>
                  </w:r>
                  <w:r>
                    <w:rPr>
                      <w:rFonts w:hint="eastAsia"/>
                      <w:color w:val="auto"/>
                      <w:kern w:val="0"/>
                      <w:szCs w:val="21"/>
                      <w:lang w:bidi="ar"/>
                    </w:rPr>
                    <w:t>9</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widowControl/>
                    <w:jc w:val="center"/>
                    <w:textAlignment w:val="center"/>
                    <w:rPr>
                      <w:rStyle w:val="38"/>
                      <w:rFonts w:hint="default"/>
                      <w:color w:val="auto"/>
                      <w:lang w:bidi="ar"/>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pH</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kern w:val="0"/>
                      <w:sz w:val="22"/>
                      <w:szCs w:val="22"/>
                      <w:lang w:bidi="ar"/>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388"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Style w:val="45"/>
                      <w:rFonts w:hint="default"/>
                      <w:color w:val="auto"/>
                      <w:lang w:bidi="ar"/>
                    </w:rPr>
                    <w:t>悬浮物</w:t>
                  </w:r>
                  <w:r>
                    <w:rPr>
                      <w:rStyle w:val="45"/>
                      <w:rFonts w:hint="eastAsia" w:eastAsia="宋体"/>
                      <w:color w:val="auto"/>
                      <w:lang w:eastAsia="zh-CN" w:bidi="ar"/>
                    </w:rPr>
                    <w:t>（</w:t>
                  </w:r>
                  <w:r>
                    <w:rPr>
                      <w:rStyle w:val="45"/>
                      <w:rFonts w:hint="eastAsia" w:eastAsia="宋体"/>
                      <w:color w:val="auto"/>
                      <w:lang w:val="en-US" w:eastAsia="zh-CN" w:bidi="ar"/>
                    </w:rPr>
                    <w:t>SS</w:t>
                  </w:r>
                  <w:r>
                    <w:rPr>
                      <w:rStyle w:val="45"/>
                      <w:rFonts w:hint="eastAsia" w:eastAsia="宋体"/>
                      <w:color w:val="auto"/>
                      <w:lang w:eastAsia="zh-CN" w:bidi="ar"/>
                    </w:rPr>
                    <w:t>）</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250mg/L</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悬浮物</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388"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五日生化需氧量</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180mg/L</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五日生化需氧量</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388"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化学需氧量</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350mg/L</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化学需氧量</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413"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氨氮（</w:t>
                  </w:r>
                  <w:r>
                    <w:rPr>
                      <w:color w:val="auto"/>
                      <w:kern w:val="0"/>
                      <w:szCs w:val="21"/>
                      <w:lang w:bidi="ar"/>
                    </w:rPr>
                    <w:t>NH</w:t>
                  </w:r>
                  <w:r>
                    <w:rPr>
                      <w:color w:val="auto"/>
                      <w:kern w:val="0"/>
                      <w:szCs w:val="21"/>
                      <w:vertAlign w:val="subscript"/>
                      <w:lang w:bidi="ar"/>
                    </w:rPr>
                    <w:t>3</w:t>
                  </w:r>
                  <w:r>
                    <w:rPr>
                      <w:color w:val="auto"/>
                      <w:kern w:val="0"/>
                      <w:szCs w:val="21"/>
                      <w:lang w:bidi="ar"/>
                    </w:rPr>
                    <w:t>-N</w:t>
                  </w:r>
                  <w:r>
                    <w:rPr>
                      <w:rStyle w:val="45"/>
                      <w:rFonts w:hint="default"/>
                      <w:color w:val="auto"/>
                      <w:lang w:bidi="ar"/>
                    </w:rPr>
                    <w:t>）</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35mg/L</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Style w:val="45"/>
                      <w:rFonts w:hint="default"/>
                      <w:color w:val="auto"/>
                      <w:lang w:bidi="ar"/>
                    </w:rPr>
                    <w:t>氨氮（</w:t>
                  </w:r>
                  <w:r>
                    <w:rPr>
                      <w:color w:val="auto"/>
                      <w:kern w:val="0"/>
                      <w:szCs w:val="21"/>
                      <w:lang w:bidi="ar"/>
                    </w:rPr>
                    <w:t>NH</w:t>
                  </w:r>
                  <w:r>
                    <w:rPr>
                      <w:color w:val="auto"/>
                      <w:kern w:val="0"/>
                      <w:szCs w:val="21"/>
                      <w:vertAlign w:val="subscript"/>
                      <w:lang w:bidi="ar"/>
                    </w:rPr>
                    <w:t>3</w:t>
                  </w:r>
                  <w:r>
                    <w:rPr>
                      <w:color w:val="auto"/>
                      <w:kern w:val="0"/>
                      <w:szCs w:val="21"/>
                      <w:lang w:bidi="ar"/>
                    </w:rPr>
                    <w:t>-N</w:t>
                  </w:r>
                  <w:r>
                    <w:rPr>
                      <w:rStyle w:val="45"/>
                      <w:rFonts w:hint="default"/>
                      <w:color w:val="auto"/>
                      <w:lang w:bidi="ar"/>
                    </w:rPr>
                    <w:t>）</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413" w:hRule="atLeast"/>
                <w:jc w:val="center"/>
              </w:trPr>
              <w:tc>
                <w:tcPr>
                  <w:tcW w:w="48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ascii="Times New Roman" w:hAnsi="Times New Roman" w:eastAsia="宋体" w:cs="Times New Roman"/>
                      <w:color w:val="auto"/>
                      <w:lang w:eastAsia="zh-CN" w:bidi="ar"/>
                    </w:rPr>
                  </w:pPr>
                  <w:r>
                    <w:rPr>
                      <w:rStyle w:val="45"/>
                      <w:rFonts w:hint="default" w:ascii="Times New Roman" w:hAnsi="Times New Roman" w:eastAsia="宋体" w:cs="Times New Roman"/>
                      <w:color w:val="auto"/>
                      <w:lang w:eastAsia="zh-CN" w:bidi="ar"/>
                    </w:rPr>
                    <w:t>总磷（</w:t>
                  </w:r>
                  <w:r>
                    <w:rPr>
                      <w:rStyle w:val="45"/>
                      <w:rFonts w:hint="default" w:ascii="Times New Roman" w:hAnsi="Times New Roman" w:eastAsia="宋体" w:cs="Times New Roman"/>
                      <w:color w:val="auto"/>
                      <w:lang w:val="en-US" w:eastAsia="zh-CN" w:bidi="ar"/>
                    </w:rPr>
                    <w:t>TP</w:t>
                  </w:r>
                  <w:r>
                    <w:rPr>
                      <w:rStyle w:val="45"/>
                      <w:rFonts w:hint="default" w:ascii="Times New Roman" w:hAnsi="Times New Roman" w:eastAsia="宋体" w:cs="Times New Roman"/>
                      <w:color w:val="auto"/>
                      <w:lang w:eastAsia="zh-CN" w:bidi="ar"/>
                    </w:rPr>
                    <w:t>）</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6</w:t>
                  </w:r>
                  <w:r>
                    <w:rPr>
                      <w:color w:val="auto"/>
                      <w:kern w:val="0"/>
                      <w:szCs w:val="21"/>
                      <w:lang w:bidi="ar"/>
                    </w:rPr>
                    <w:t>mg/L</w:t>
                  </w:r>
                </w:p>
              </w:tc>
              <w:tc>
                <w:tcPr>
                  <w:tcW w:w="921" w:type="dxa"/>
                  <w:vMerge w:val="continue"/>
                  <w:tcBorders>
                    <w:left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color w:val="auto"/>
                      <w:lang w:bidi="ar"/>
                    </w:rPr>
                  </w:pPr>
                  <w:r>
                    <w:rPr>
                      <w:rStyle w:val="45"/>
                      <w:rFonts w:hint="default" w:ascii="Times New Roman" w:hAnsi="Times New Roman" w:eastAsia="宋体" w:cs="Times New Roman"/>
                      <w:color w:val="auto"/>
                      <w:lang w:eastAsia="zh-CN" w:bidi="ar"/>
                    </w:rPr>
                    <w:t>总磷（</w:t>
                  </w:r>
                  <w:r>
                    <w:rPr>
                      <w:rStyle w:val="45"/>
                      <w:rFonts w:hint="default" w:ascii="Times New Roman" w:hAnsi="Times New Roman" w:eastAsia="宋体" w:cs="Times New Roman"/>
                      <w:color w:val="auto"/>
                      <w:lang w:val="en-US" w:eastAsia="zh-CN" w:bidi="ar"/>
                    </w:rPr>
                    <w:t>TP</w:t>
                  </w:r>
                  <w:r>
                    <w:rPr>
                      <w:rStyle w:val="45"/>
                      <w:rFonts w:hint="default" w:ascii="Times New Roman" w:hAnsi="Times New Roman" w:eastAsia="宋体" w:cs="Times New Roman"/>
                      <w:color w:val="auto"/>
                      <w:lang w:eastAsia="zh-CN" w:bidi="ar"/>
                    </w:rPr>
                    <w:t>）</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kern w:val="0"/>
                      <w:sz w:val="22"/>
                      <w:szCs w:val="22"/>
                      <w:lang w:bidi="ar"/>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r>
              <w:tblPrEx>
                <w:tblCellMar>
                  <w:top w:w="0" w:type="dxa"/>
                  <w:left w:w="0" w:type="dxa"/>
                  <w:bottom w:w="0" w:type="dxa"/>
                  <w:right w:w="0" w:type="dxa"/>
                </w:tblCellMar>
              </w:tblPrEx>
              <w:trPr>
                <w:trHeight w:val="432" w:hRule="atLeast"/>
                <w:jc w:val="center"/>
              </w:trPr>
              <w:tc>
                <w:tcPr>
                  <w:tcW w:w="489"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928"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09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233"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56"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814"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319"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78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ascii="Times New Roman" w:hAnsi="Times New Roman" w:eastAsia="宋体" w:cs="Times New Roman"/>
                      <w:color w:val="auto"/>
                      <w:lang w:val="en-US" w:eastAsia="zh-CN" w:bidi="ar"/>
                    </w:rPr>
                  </w:pPr>
                  <w:r>
                    <w:rPr>
                      <w:rStyle w:val="45"/>
                      <w:rFonts w:hint="default" w:ascii="Times New Roman" w:hAnsi="Times New Roman" w:eastAsia="宋体" w:cs="Times New Roman"/>
                      <w:color w:val="auto"/>
                      <w:lang w:eastAsia="zh-CN" w:bidi="ar"/>
                    </w:rPr>
                    <w:t>总氮（</w:t>
                  </w:r>
                  <w:r>
                    <w:rPr>
                      <w:rFonts w:hint="default" w:ascii="Times New Roman" w:hAnsi="Times New Roman" w:eastAsia="宋体" w:cs="Times New Roman"/>
                      <w:i w:val="0"/>
                      <w:iCs w:val="0"/>
                      <w:color w:val="auto"/>
                      <w:kern w:val="0"/>
                      <w:sz w:val="21"/>
                      <w:szCs w:val="21"/>
                      <w:u w:val="none"/>
                      <w:lang w:val="en-US" w:eastAsia="zh-CN" w:bidi="ar"/>
                    </w:rPr>
                    <w:t>TN</w:t>
                  </w:r>
                  <w:r>
                    <w:rPr>
                      <w:rStyle w:val="45"/>
                      <w:rFonts w:hint="default" w:ascii="Times New Roman" w:hAnsi="Times New Roman" w:eastAsia="宋体" w:cs="Times New Roman"/>
                      <w:color w:val="auto"/>
                      <w:lang w:eastAsia="zh-CN" w:bidi="ar"/>
                    </w:rPr>
                    <w:t>）</w:t>
                  </w:r>
                </w:p>
              </w:tc>
              <w:tc>
                <w:tcPr>
                  <w:tcW w:w="113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50</w:t>
                  </w:r>
                  <w:r>
                    <w:rPr>
                      <w:color w:val="auto"/>
                      <w:kern w:val="0"/>
                      <w:szCs w:val="21"/>
                      <w:lang w:bidi="ar"/>
                    </w:rPr>
                    <w:t>mg/L</w:t>
                  </w:r>
                </w:p>
              </w:tc>
              <w:tc>
                <w:tcPr>
                  <w:tcW w:w="921" w:type="dxa"/>
                  <w:vMerge w:val="continue"/>
                  <w:tcBorders>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sz w:val="22"/>
                      <w:szCs w:val="22"/>
                    </w:rPr>
                  </w:pPr>
                </w:p>
              </w:tc>
              <w:tc>
                <w:tcPr>
                  <w:tcW w:w="1768"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Style w:val="45"/>
                      <w:rFonts w:hint="default"/>
                      <w:color w:val="auto"/>
                      <w:lang w:bidi="ar"/>
                    </w:rPr>
                  </w:pPr>
                  <w:r>
                    <w:rPr>
                      <w:rStyle w:val="45"/>
                      <w:rFonts w:hint="default" w:ascii="Times New Roman" w:hAnsi="Times New Roman" w:eastAsia="宋体" w:cs="Times New Roman"/>
                      <w:color w:val="auto"/>
                      <w:lang w:eastAsia="zh-CN" w:bidi="ar"/>
                    </w:rPr>
                    <w:t>总氮（</w:t>
                  </w:r>
                  <w:r>
                    <w:rPr>
                      <w:rFonts w:hint="default" w:ascii="Times New Roman" w:hAnsi="Times New Roman" w:eastAsia="宋体" w:cs="Times New Roman"/>
                      <w:i w:val="0"/>
                      <w:iCs w:val="0"/>
                      <w:color w:val="auto"/>
                      <w:kern w:val="0"/>
                      <w:sz w:val="21"/>
                      <w:szCs w:val="21"/>
                      <w:u w:val="none"/>
                      <w:lang w:val="en-US" w:eastAsia="zh-CN" w:bidi="ar"/>
                    </w:rPr>
                    <w:t>TN</w:t>
                  </w:r>
                  <w:r>
                    <w:rPr>
                      <w:rStyle w:val="45"/>
                      <w:rFonts w:hint="default" w:ascii="Times New Roman" w:hAnsi="Times New Roman" w:eastAsia="宋体" w:cs="Times New Roman"/>
                      <w:color w:val="auto"/>
                      <w:lang w:eastAsia="zh-CN" w:bidi="ar"/>
                    </w:rPr>
                    <w:t>）</w:t>
                  </w:r>
                </w:p>
              </w:tc>
              <w:tc>
                <w:tcPr>
                  <w:tcW w:w="10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color w:val="auto"/>
                      <w:kern w:val="0"/>
                      <w:sz w:val="22"/>
                      <w:szCs w:val="22"/>
                      <w:lang w:bidi="ar"/>
                    </w:rPr>
                  </w:pPr>
                  <w:r>
                    <w:rPr>
                      <w:color w:val="auto"/>
                      <w:kern w:val="0"/>
                      <w:sz w:val="22"/>
                      <w:szCs w:val="22"/>
                      <w:lang w:bidi="ar"/>
                    </w:rPr>
                    <w:t>1</w:t>
                  </w:r>
                  <w:r>
                    <w:rPr>
                      <w:rStyle w:val="38"/>
                      <w:rFonts w:hint="default"/>
                      <w:color w:val="auto"/>
                      <w:lang w:bidi="ar"/>
                    </w:rPr>
                    <w:t>次</w:t>
                  </w:r>
                  <w:r>
                    <w:rPr>
                      <w:color w:val="auto"/>
                      <w:kern w:val="0"/>
                      <w:sz w:val="22"/>
                      <w:szCs w:val="22"/>
                      <w:lang w:bidi="ar"/>
                    </w:rPr>
                    <w:t>/</w:t>
                  </w:r>
                  <w:r>
                    <w:rPr>
                      <w:rStyle w:val="38"/>
                      <w:rFonts w:hint="default"/>
                      <w:color w:val="auto"/>
                      <w:lang w:bidi="ar"/>
                    </w:rPr>
                    <w:t>季</w:t>
                  </w:r>
                </w:p>
              </w:tc>
            </w:tr>
          </w:tbl>
          <w:p>
            <w:pPr>
              <w:pStyle w:val="18"/>
              <w:jc w:val="center"/>
              <w:outlineLvl w:val="0"/>
              <w:rPr>
                <w:rFonts w:hint="eastAsia" w:ascii="黑体" w:hAnsi="黑体" w:eastAsia="黑体"/>
                <w:snapToGrid w:val="0"/>
                <w:color w:val="auto"/>
                <w:sz w:val="30"/>
                <w:szCs w:val="30"/>
              </w:rPr>
            </w:pPr>
          </w:p>
        </w:tc>
      </w:tr>
    </w:tbl>
    <w:p>
      <w:pPr>
        <w:pStyle w:val="18"/>
        <w:jc w:val="center"/>
        <w:outlineLvl w:val="0"/>
        <w:rPr>
          <w:rFonts w:hint="eastAsia" w:ascii="黑体" w:hAnsi="黑体" w:eastAsia="黑体"/>
          <w:snapToGrid w:val="0"/>
          <w:color w:val="auto"/>
          <w:sz w:val="30"/>
          <w:szCs w:val="30"/>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pPr>
              <w:adjustRightInd w:val="0"/>
              <w:snapToGrid w:val="0"/>
              <w:jc w:val="center"/>
              <w:rPr>
                <w:rFonts w:hint="eastAsia"/>
                <w:color w:val="auto"/>
              </w:rPr>
            </w:pPr>
            <w:r>
              <w:rPr>
                <w:rFonts w:hint="eastAsia" w:ascii="宋体" w:hAnsi="宋体" w:cs="宋体"/>
                <w:b/>
                <w:bCs/>
                <w:color w:val="auto"/>
                <w:szCs w:val="21"/>
              </w:rPr>
              <w:t>措施</w:t>
            </w:r>
          </w:p>
        </w:tc>
        <w:tc>
          <w:tcPr>
            <w:tcW w:w="8307" w:type="dxa"/>
            <w:noWrap w:val="0"/>
            <w:vAlign w:val="center"/>
          </w:tcPr>
          <w:p>
            <w:pPr>
              <w:spacing w:line="360" w:lineRule="auto"/>
              <w:ind w:firstLine="482" w:firstLineChars="200"/>
              <w:rPr>
                <w:b/>
                <w:bCs/>
                <w:color w:val="auto"/>
                <w:sz w:val="24"/>
              </w:rPr>
            </w:pPr>
            <w:r>
              <w:rPr>
                <w:b/>
                <w:bCs/>
                <w:color w:val="auto"/>
                <w:sz w:val="24"/>
              </w:rPr>
              <w:t>地表水环境影响分析：</w:t>
            </w:r>
          </w:p>
          <w:p>
            <w:pPr>
              <w:spacing w:line="360" w:lineRule="auto"/>
              <w:ind w:firstLine="480" w:firstLineChars="200"/>
              <w:jc w:val="left"/>
              <w:rPr>
                <w:color w:val="auto"/>
                <w:sz w:val="24"/>
              </w:rPr>
            </w:pPr>
            <w:r>
              <w:rPr>
                <w:color w:val="auto"/>
                <w:sz w:val="24"/>
              </w:rPr>
              <w:t>本项目</w:t>
            </w:r>
            <w:r>
              <w:rPr>
                <w:rFonts w:hint="eastAsia"/>
                <w:color w:val="auto"/>
                <w:sz w:val="24"/>
                <w:lang w:eastAsia="zh-CN"/>
              </w:rPr>
              <w:t>利用厂区西南角在建一套处理能力为</w:t>
            </w:r>
            <w:r>
              <w:rPr>
                <w:rFonts w:hint="eastAsia"/>
                <w:color w:val="auto"/>
                <w:sz w:val="24"/>
                <w:lang w:val="en-US" w:eastAsia="zh-CN"/>
              </w:rPr>
              <w:t>1000m</w:t>
            </w:r>
            <w:r>
              <w:rPr>
                <w:rFonts w:hint="eastAsia"/>
                <w:color w:val="auto"/>
                <w:sz w:val="24"/>
                <w:vertAlign w:val="superscript"/>
                <w:lang w:val="en-US" w:eastAsia="zh-CN"/>
              </w:rPr>
              <w:t>3</w:t>
            </w:r>
            <w:r>
              <w:rPr>
                <w:rFonts w:hint="eastAsia"/>
                <w:color w:val="auto"/>
                <w:sz w:val="24"/>
                <w:lang w:val="en-US" w:eastAsia="zh-CN"/>
              </w:rPr>
              <w:t>/d的污水处理站，用于处理全厂废水，采用“综合调节+水解酸化+好氧+沉淀”的处理工艺</w:t>
            </w:r>
            <w:r>
              <w:rPr>
                <w:rFonts w:hint="eastAsia"/>
                <w:color w:val="auto"/>
                <w:sz w:val="24"/>
                <w:lang w:eastAsia="zh-CN"/>
              </w:rPr>
              <w:t>。本项目生活污水、保洁废水、循环冷却系统排水及蒸汽冷凝水混合经</w:t>
            </w:r>
            <w:r>
              <w:rPr>
                <w:color w:val="auto"/>
                <w:sz w:val="24"/>
              </w:rPr>
              <w:t>污水处理站处理</w:t>
            </w:r>
            <w:r>
              <w:rPr>
                <w:rFonts w:hint="eastAsia"/>
                <w:color w:val="auto"/>
                <w:sz w:val="24"/>
                <w:lang w:eastAsia="zh-CN"/>
              </w:rPr>
              <w:t>满足接管限值后</w:t>
            </w:r>
            <w:r>
              <w:rPr>
                <w:color w:val="auto"/>
                <w:sz w:val="24"/>
              </w:rPr>
              <w:t>后排</w:t>
            </w:r>
            <w:r>
              <w:rPr>
                <w:rFonts w:hint="eastAsia"/>
                <w:color w:val="auto"/>
                <w:sz w:val="24"/>
              </w:rPr>
              <w:t>入</w:t>
            </w:r>
            <w:r>
              <w:rPr>
                <w:color w:val="auto"/>
                <w:sz w:val="24"/>
              </w:rPr>
              <w:t>废水总排口，经市政污水管网西部组团污水处理厂深度处理达标后排入派河。</w:t>
            </w:r>
            <w:r>
              <w:rPr>
                <w:rFonts w:hint="eastAsia"/>
                <w:color w:val="auto"/>
                <w:sz w:val="24"/>
                <w:lang w:eastAsia="zh-CN"/>
              </w:rPr>
              <w:t>在建</w:t>
            </w:r>
            <w:r>
              <w:rPr>
                <w:color w:val="auto"/>
                <w:sz w:val="24"/>
              </w:rPr>
              <w:t>污水处理站处理流程见下图。</w:t>
            </w:r>
          </w:p>
          <w:p>
            <w:pPr>
              <w:overflowPunct w:val="0"/>
              <w:autoSpaceDE w:val="0"/>
              <w:autoSpaceDN w:val="0"/>
              <w:adjustRightInd w:val="0"/>
              <w:snapToGrid w:val="0"/>
              <w:spacing w:line="360" w:lineRule="auto"/>
              <w:jc w:val="center"/>
              <w:textAlignment w:val="baseline"/>
              <w:rPr>
                <w:color w:val="auto"/>
              </w:rPr>
            </w:pPr>
            <w:r>
              <w:rPr>
                <w:color w:val="auto"/>
              </w:rPr>
              <w:pict>
                <v:shape id="_x0000_i1032" o:spt="75" type="#_x0000_t75" style="height:267.6pt;width:261.6pt;" filled="f" stroked="f" coordsize="21600,21600">
                  <v:path/>
                  <v:fill on="f" focussize="0,0"/>
                  <v:stroke on="f"/>
                  <v:imagedata r:id="rId22" o:title=""/>
                  <o:lock v:ext="edit" aspectratio="t"/>
                  <w10:wrap type="none"/>
                  <w10:anchorlock/>
                </v:shape>
              </w:pict>
            </w:r>
          </w:p>
          <w:p>
            <w:pPr>
              <w:overflowPunct w:val="0"/>
              <w:autoSpaceDE w:val="0"/>
              <w:autoSpaceDN w:val="0"/>
              <w:adjustRightInd w:val="0"/>
              <w:snapToGrid w:val="0"/>
              <w:spacing w:line="360" w:lineRule="auto"/>
              <w:jc w:val="center"/>
              <w:textAlignment w:val="baseline"/>
              <w:rPr>
                <w:b/>
                <w:bCs/>
                <w:color w:val="auto"/>
              </w:rPr>
            </w:pPr>
            <w:r>
              <w:rPr>
                <w:b/>
                <w:bCs/>
                <w:color w:val="auto"/>
              </w:rPr>
              <w:t>图</w:t>
            </w:r>
            <w:r>
              <w:rPr>
                <w:rFonts w:hint="eastAsia"/>
                <w:b/>
                <w:bCs/>
                <w:color w:val="auto"/>
                <w:lang w:val="en-US" w:eastAsia="zh-CN"/>
              </w:rPr>
              <w:t>9</w:t>
            </w:r>
            <w:r>
              <w:rPr>
                <w:b/>
                <w:bCs/>
                <w:color w:val="auto"/>
              </w:rPr>
              <w:t xml:space="preserve">  项目污水处理流程图</w:t>
            </w:r>
          </w:p>
          <w:p>
            <w:pPr>
              <w:spacing w:line="360" w:lineRule="auto"/>
              <w:ind w:firstLine="480" w:firstLineChars="200"/>
              <w:rPr>
                <w:color w:val="auto"/>
                <w:sz w:val="24"/>
              </w:rPr>
            </w:pPr>
            <w:r>
              <w:rPr>
                <w:color w:val="auto"/>
                <w:sz w:val="24"/>
              </w:rPr>
              <w:t>本项目</w:t>
            </w:r>
            <w:r>
              <w:rPr>
                <w:rFonts w:hint="eastAsia"/>
                <w:color w:val="auto"/>
                <w:sz w:val="24"/>
              </w:rPr>
              <w:t>扩建</w:t>
            </w:r>
            <w:r>
              <w:rPr>
                <w:color w:val="auto"/>
                <w:sz w:val="24"/>
              </w:rPr>
              <w:t>后全厂废水排放量</w:t>
            </w:r>
            <w:r>
              <w:rPr>
                <w:rFonts w:hint="eastAsia"/>
                <w:color w:val="auto"/>
                <w:sz w:val="24"/>
                <w:highlight w:val="none"/>
                <w:lang w:val="en-US" w:eastAsia="zh-CN"/>
              </w:rPr>
              <w:t>764.831</w:t>
            </w:r>
            <w:r>
              <w:rPr>
                <w:color w:val="auto"/>
                <w:sz w:val="24"/>
              </w:rPr>
              <w:t>m</w:t>
            </w:r>
            <w:r>
              <w:rPr>
                <w:color w:val="auto"/>
                <w:sz w:val="24"/>
                <w:vertAlign w:val="superscript"/>
              </w:rPr>
              <w:t>3</w:t>
            </w:r>
            <w:r>
              <w:rPr>
                <w:color w:val="auto"/>
                <w:sz w:val="24"/>
              </w:rPr>
              <w:t>/d，污水处理站设计规模为</w:t>
            </w:r>
            <w:r>
              <w:rPr>
                <w:rFonts w:hint="eastAsia"/>
                <w:color w:val="auto"/>
                <w:sz w:val="24"/>
                <w:lang w:val="en-US" w:eastAsia="zh-CN"/>
              </w:rPr>
              <w:t>1000</w:t>
            </w:r>
            <w:r>
              <w:rPr>
                <w:color w:val="auto"/>
                <w:sz w:val="24"/>
              </w:rPr>
              <w:t>m</w:t>
            </w:r>
            <w:r>
              <w:rPr>
                <w:color w:val="auto"/>
                <w:sz w:val="24"/>
                <w:vertAlign w:val="superscript"/>
              </w:rPr>
              <w:t>3</w:t>
            </w:r>
            <w:r>
              <w:rPr>
                <w:color w:val="auto"/>
                <w:sz w:val="24"/>
              </w:rPr>
              <w:t>/d，处理规模能够满足</w:t>
            </w:r>
            <w:r>
              <w:rPr>
                <w:rFonts w:hint="eastAsia"/>
                <w:color w:val="auto"/>
                <w:sz w:val="24"/>
              </w:rPr>
              <w:t>扩建</w:t>
            </w:r>
            <w:r>
              <w:rPr>
                <w:color w:val="auto"/>
                <w:sz w:val="24"/>
              </w:rPr>
              <w:t>后废水量，且本项目废水水质简单，污染物浓度较低，污水处理工艺为生化处理，</w:t>
            </w:r>
            <w:r>
              <w:rPr>
                <w:rFonts w:hint="eastAsia"/>
                <w:bCs/>
                <w:color w:val="auto"/>
                <w:sz w:val="24"/>
              </w:rPr>
              <w:t>根据废水污染物源强、治理措施、污染物去除效率及废水排放计算结果，本项目</w:t>
            </w:r>
            <w:r>
              <w:rPr>
                <w:color w:val="auto"/>
                <w:sz w:val="24"/>
              </w:rPr>
              <w:t>处理后废水污染物浓度能够满足合肥西部组团污水处理厂接管</w:t>
            </w:r>
            <w:r>
              <w:rPr>
                <w:rFonts w:hint="eastAsia"/>
                <w:color w:val="auto"/>
                <w:sz w:val="24"/>
                <w:lang w:eastAsia="zh-CN"/>
              </w:rPr>
              <w:t>限值要求</w:t>
            </w:r>
            <w:r>
              <w:rPr>
                <w:color w:val="auto"/>
                <w:sz w:val="24"/>
              </w:rPr>
              <w:t>。</w:t>
            </w:r>
          </w:p>
          <w:p>
            <w:pPr>
              <w:pStyle w:val="8"/>
              <w:spacing w:before="0" w:after="0" w:line="360" w:lineRule="auto"/>
              <w:ind w:left="480"/>
              <w:rPr>
                <w:rFonts w:ascii="Times New Roman" w:hAnsi="Times New Roman"/>
                <w:color w:val="auto"/>
                <w:sz w:val="24"/>
                <w:szCs w:val="24"/>
              </w:rPr>
            </w:pPr>
            <w:r>
              <w:rPr>
                <w:rFonts w:ascii="Times New Roman" w:hAnsi="Times New Roman"/>
                <w:color w:val="auto"/>
                <w:sz w:val="24"/>
                <w:szCs w:val="24"/>
              </w:rPr>
              <w:t>接管可行性分析：</w:t>
            </w:r>
          </w:p>
          <w:p>
            <w:pPr>
              <w:spacing w:line="360" w:lineRule="auto"/>
              <w:ind w:firstLine="480" w:firstLineChars="200"/>
              <w:rPr>
                <w:color w:val="auto"/>
                <w:sz w:val="24"/>
              </w:rPr>
            </w:pPr>
            <w:r>
              <w:rPr>
                <w:color w:val="auto"/>
                <w:sz w:val="24"/>
              </w:rPr>
              <w:t>合肥西部组团污水处理厂选址于合肥市玉兰大道西侧，派河大道北侧，规划文山路东侧，派河南侧，总投资为6.2亿元。工程分期建设，近期建设规模为10万m</w:t>
            </w:r>
            <w:r>
              <w:rPr>
                <w:color w:val="auto"/>
                <w:sz w:val="24"/>
                <w:vertAlign w:val="superscript"/>
              </w:rPr>
              <w:t>3</w:t>
            </w:r>
            <w:r>
              <w:rPr>
                <w:color w:val="auto"/>
                <w:sz w:val="24"/>
              </w:rPr>
              <w:t>/d， 远期建设规模为50万m</w:t>
            </w:r>
            <w:r>
              <w:rPr>
                <w:color w:val="auto"/>
                <w:sz w:val="24"/>
                <w:vertAlign w:val="superscript"/>
              </w:rPr>
              <w:t>3</w:t>
            </w:r>
            <w:r>
              <w:rPr>
                <w:color w:val="auto"/>
                <w:sz w:val="24"/>
              </w:rPr>
              <w:t>/d。工程总服务范围由合肥市高新区、南岗工业园、柏堰园、 紫蓬工业园及华南城、上派镇等区域整体或部分共同组成，共约170.0km</w:t>
            </w:r>
            <w:r>
              <w:rPr>
                <w:color w:val="auto"/>
                <w:sz w:val="24"/>
                <w:vertAlign w:val="superscript"/>
              </w:rPr>
              <w:t>2</w:t>
            </w:r>
            <w:r>
              <w:rPr>
                <w:color w:val="auto"/>
                <w:sz w:val="24"/>
              </w:rPr>
              <w:t>。污水处理厂污水处理工艺为预处理+二级生物处理+混凝沉淀+反硝化过滤工艺。</w:t>
            </w:r>
          </w:p>
          <w:p>
            <w:pPr>
              <w:widowControl/>
              <w:jc w:val="center"/>
              <w:rPr>
                <w:color w:val="auto"/>
              </w:rPr>
            </w:pPr>
            <w:r>
              <w:rPr>
                <w:color w:val="auto"/>
              </w:rPr>
              <w:pict>
                <v:shape id="_x0000_i1033" o:spt="75" type="#_x0000_t75" style="height:192.8pt;width:373.55pt;" filled="f" stroked="f" coordsize="21600,21600">
                  <v:path/>
                  <v:fill on="f" focussize="0,0"/>
                  <v:stroke on="f"/>
                  <v:imagedata r:id="rId23" o:title=""/>
                  <o:lock v:ext="edit" aspectratio="t"/>
                  <w10:wrap type="none"/>
                  <w10:anchorlock/>
                </v:shape>
              </w:pict>
            </w:r>
          </w:p>
          <w:p>
            <w:pPr>
              <w:adjustRightInd w:val="0"/>
              <w:snapToGrid w:val="0"/>
              <w:spacing w:line="360" w:lineRule="auto"/>
              <w:ind w:firstLine="422" w:firstLineChars="200"/>
              <w:jc w:val="center"/>
              <w:rPr>
                <w:b/>
                <w:bCs/>
                <w:color w:val="auto"/>
              </w:rPr>
            </w:pPr>
            <w:r>
              <w:rPr>
                <w:b/>
                <w:bCs/>
                <w:color w:val="auto"/>
              </w:rPr>
              <w:t>图</w:t>
            </w:r>
            <w:r>
              <w:rPr>
                <w:rFonts w:hint="eastAsia"/>
                <w:b/>
                <w:bCs/>
                <w:color w:val="auto"/>
                <w:lang w:val="en-US" w:eastAsia="zh-CN"/>
              </w:rPr>
              <w:t>10</w:t>
            </w:r>
            <w:r>
              <w:rPr>
                <w:b/>
                <w:bCs/>
                <w:color w:val="auto"/>
              </w:rPr>
              <w:t xml:space="preserve"> 合肥西部组团污水处理厂污水处理工艺流程图</w:t>
            </w:r>
          </w:p>
          <w:p>
            <w:pPr>
              <w:adjustRightInd w:val="0"/>
              <w:snapToGrid w:val="0"/>
              <w:spacing w:line="360" w:lineRule="auto"/>
              <w:ind w:firstLine="480" w:firstLineChars="200"/>
              <w:rPr>
                <w:color w:val="auto"/>
                <w:sz w:val="24"/>
              </w:rPr>
            </w:pPr>
            <w:r>
              <w:rPr>
                <w:color w:val="auto"/>
                <w:sz w:val="24"/>
              </w:rPr>
              <w:t>工艺流程说明：污水进入污水处理厂后，经粗格栅除去污水中无机性的砂粒和漂浮物后，经潜水提升泵提升至细格栅、 曝气沉砂池，以除去污水中无机性的砂粒，沉砂池的出水经进水电磁流量计计量后，进入A/A/O生物反应池、二沉池处理系统，生物处理系统的出水经絮凝、沉淀、反硝化滤池过滤后，再经紫外线消毒后排入派河。采用“深度脱水后填埋”为污泥处理工艺。</w:t>
            </w:r>
          </w:p>
          <w:p>
            <w:pPr>
              <w:adjustRightInd w:val="0"/>
              <w:snapToGrid w:val="0"/>
              <w:spacing w:line="360" w:lineRule="auto"/>
              <w:ind w:firstLine="480" w:firstLineChars="200"/>
              <w:rPr>
                <w:color w:val="auto"/>
                <w:sz w:val="24"/>
              </w:rPr>
            </w:pPr>
            <w:r>
              <w:rPr>
                <w:color w:val="auto"/>
                <w:sz w:val="24"/>
              </w:rPr>
              <w:t>污水处理厂尾水排入派河，最终汇入巢湖，设计出水水质在达到《城镇污水处理厂污染物排放标准》（GB18918-2002）一级A标准的基础上，氨氮、化学需氧量指标浓度值分别不高于2mg/L、40mg/L，具体出水水质见下表。</w:t>
            </w:r>
          </w:p>
          <w:p>
            <w:pPr>
              <w:widowControl/>
              <w:numPr>
                <w:ilvl w:val="0"/>
                <w:numId w:val="2"/>
              </w:numPr>
              <w:jc w:val="center"/>
              <w:rPr>
                <w:b/>
                <w:bCs/>
                <w:color w:val="auto"/>
              </w:rPr>
            </w:pPr>
            <w:r>
              <w:rPr>
                <w:rFonts w:hint="eastAsia"/>
                <w:b/>
                <w:bCs/>
                <w:color w:val="auto"/>
              </w:rPr>
              <w:t>西部组团污水处理厂</w:t>
            </w:r>
            <w:r>
              <w:rPr>
                <w:b/>
                <w:bCs/>
                <w:color w:val="auto"/>
              </w:rPr>
              <w:t>设计出水水质指标一览表（单位：mg/L）</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9"/>
              <w:gridCol w:w="1004"/>
              <w:gridCol w:w="1067"/>
              <w:gridCol w:w="1067"/>
              <w:gridCol w:w="1031"/>
              <w:gridCol w:w="836"/>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029" w:type="dxa"/>
                  <w:noWrap w:val="0"/>
                  <w:vAlign w:val="center"/>
                </w:tcPr>
                <w:p>
                  <w:pPr>
                    <w:jc w:val="center"/>
                    <w:rPr>
                      <w:color w:val="auto"/>
                    </w:rPr>
                  </w:pPr>
                  <w:r>
                    <w:rPr>
                      <w:color w:val="auto"/>
                    </w:rPr>
                    <w:t>名称</w:t>
                  </w:r>
                </w:p>
              </w:tc>
              <w:tc>
                <w:tcPr>
                  <w:tcW w:w="1004" w:type="dxa"/>
                  <w:noWrap w:val="0"/>
                  <w:vAlign w:val="center"/>
                </w:tcPr>
                <w:p>
                  <w:pPr>
                    <w:jc w:val="center"/>
                    <w:rPr>
                      <w:color w:val="auto"/>
                    </w:rPr>
                  </w:pPr>
                  <w:r>
                    <w:rPr>
                      <w:color w:val="auto"/>
                    </w:rPr>
                    <w:t>COD</w:t>
                  </w:r>
                </w:p>
              </w:tc>
              <w:tc>
                <w:tcPr>
                  <w:tcW w:w="1067" w:type="dxa"/>
                  <w:noWrap w:val="0"/>
                  <w:vAlign w:val="center"/>
                </w:tcPr>
                <w:p>
                  <w:pPr>
                    <w:jc w:val="center"/>
                    <w:rPr>
                      <w:color w:val="auto"/>
                    </w:rPr>
                  </w:pPr>
                  <w:r>
                    <w:rPr>
                      <w:color w:val="auto"/>
                    </w:rPr>
                    <w:t>BOD</w:t>
                  </w:r>
                  <w:r>
                    <w:rPr>
                      <w:color w:val="auto"/>
                      <w:vertAlign w:val="subscript"/>
                    </w:rPr>
                    <w:t>5</w:t>
                  </w:r>
                </w:p>
              </w:tc>
              <w:tc>
                <w:tcPr>
                  <w:tcW w:w="1067" w:type="dxa"/>
                  <w:noWrap w:val="0"/>
                  <w:vAlign w:val="center"/>
                </w:tcPr>
                <w:p>
                  <w:pPr>
                    <w:jc w:val="center"/>
                    <w:rPr>
                      <w:color w:val="auto"/>
                    </w:rPr>
                  </w:pPr>
                  <w:r>
                    <w:rPr>
                      <w:color w:val="auto"/>
                    </w:rPr>
                    <w:t>SS</w:t>
                  </w:r>
                </w:p>
              </w:tc>
              <w:tc>
                <w:tcPr>
                  <w:tcW w:w="1031" w:type="dxa"/>
                  <w:noWrap w:val="0"/>
                  <w:vAlign w:val="center"/>
                </w:tcPr>
                <w:p>
                  <w:pPr>
                    <w:jc w:val="center"/>
                    <w:rPr>
                      <w:color w:val="auto"/>
                    </w:rPr>
                  </w:pPr>
                  <w:r>
                    <w:rPr>
                      <w:color w:val="auto"/>
                    </w:rPr>
                    <w:t>NH</w:t>
                  </w:r>
                  <w:r>
                    <w:rPr>
                      <w:color w:val="auto"/>
                      <w:vertAlign w:val="subscript"/>
                    </w:rPr>
                    <w:t>3</w:t>
                  </w:r>
                  <w:r>
                    <w:rPr>
                      <w:color w:val="auto"/>
                    </w:rPr>
                    <w:t>-N</w:t>
                  </w:r>
                </w:p>
              </w:tc>
              <w:tc>
                <w:tcPr>
                  <w:tcW w:w="836" w:type="dxa"/>
                  <w:noWrap w:val="0"/>
                  <w:vAlign w:val="center"/>
                </w:tcPr>
                <w:p>
                  <w:pPr>
                    <w:jc w:val="center"/>
                    <w:rPr>
                      <w:color w:val="auto"/>
                    </w:rPr>
                  </w:pPr>
                  <w:r>
                    <w:rPr>
                      <w:color w:val="auto"/>
                    </w:rPr>
                    <w:t>TN</w:t>
                  </w:r>
                </w:p>
              </w:tc>
              <w:tc>
                <w:tcPr>
                  <w:tcW w:w="987" w:type="dxa"/>
                  <w:noWrap w:val="0"/>
                  <w:vAlign w:val="center"/>
                </w:tcPr>
                <w:p>
                  <w:pPr>
                    <w:jc w:val="center"/>
                    <w:rPr>
                      <w:color w:val="auto"/>
                    </w:rPr>
                  </w:pPr>
                  <w:r>
                    <w:rPr>
                      <w:color w:val="auto"/>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2029" w:type="dxa"/>
                  <w:noWrap w:val="0"/>
                  <w:vAlign w:val="center"/>
                </w:tcPr>
                <w:p>
                  <w:pPr>
                    <w:jc w:val="center"/>
                    <w:rPr>
                      <w:color w:val="auto"/>
                    </w:rPr>
                  </w:pPr>
                  <w:r>
                    <w:rPr>
                      <w:color w:val="auto"/>
                    </w:rPr>
                    <w:t>工程设计出水水质</w:t>
                  </w:r>
                </w:p>
              </w:tc>
              <w:tc>
                <w:tcPr>
                  <w:tcW w:w="1004" w:type="dxa"/>
                  <w:noWrap w:val="0"/>
                  <w:vAlign w:val="center"/>
                </w:tcPr>
                <w:p>
                  <w:pPr>
                    <w:jc w:val="center"/>
                    <w:rPr>
                      <w:color w:val="auto"/>
                    </w:rPr>
                  </w:pPr>
                  <w:r>
                    <w:rPr>
                      <w:color w:val="auto"/>
                    </w:rPr>
                    <w:t>40</w:t>
                  </w:r>
                </w:p>
              </w:tc>
              <w:tc>
                <w:tcPr>
                  <w:tcW w:w="1067" w:type="dxa"/>
                  <w:noWrap w:val="0"/>
                  <w:vAlign w:val="center"/>
                </w:tcPr>
                <w:p>
                  <w:pPr>
                    <w:jc w:val="center"/>
                    <w:rPr>
                      <w:color w:val="auto"/>
                    </w:rPr>
                  </w:pPr>
                  <w:r>
                    <w:rPr>
                      <w:color w:val="auto"/>
                    </w:rPr>
                    <w:t>10</w:t>
                  </w:r>
                </w:p>
              </w:tc>
              <w:tc>
                <w:tcPr>
                  <w:tcW w:w="1067" w:type="dxa"/>
                  <w:noWrap w:val="0"/>
                  <w:vAlign w:val="center"/>
                </w:tcPr>
                <w:p>
                  <w:pPr>
                    <w:jc w:val="center"/>
                    <w:rPr>
                      <w:color w:val="auto"/>
                    </w:rPr>
                  </w:pPr>
                  <w:r>
                    <w:rPr>
                      <w:color w:val="auto"/>
                    </w:rPr>
                    <w:t>10</w:t>
                  </w:r>
                </w:p>
              </w:tc>
              <w:tc>
                <w:tcPr>
                  <w:tcW w:w="1031" w:type="dxa"/>
                  <w:noWrap w:val="0"/>
                  <w:vAlign w:val="center"/>
                </w:tcPr>
                <w:p>
                  <w:pPr>
                    <w:jc w:val="center"/>
                    <w:rPr>
                      <w:color w:val="auto"/>
                    </w:rPr>
                  </w:pPr>
                  <w:r>
                    <w:rPr>
                      <w:color w:val="auto"/>
                    </w:rPr>
                    <w:t>2</w:t>
                  </w:r>
                </w:p>
              </w:tc>
              <w:tc>
                <w:tcPr>
                  <w:tcW w:w="836" w:type="dxa"/>
                  <w:noWrap w:val="0"/>
                  <w:vAlign w:val="center"/>
                </w:tcPr>
                <w:p>
                  <w:pPr>
                    <w:jc w:val="center"/>
                    <w:rPr>
                      <w:color w:val="auto"/>
                    </w:rPr>
                  </w:pPr>
                  <w:r>
                    <w:rPr>
                      <w:color w:val="auto"/>
                    </w:rPr>
                    <w:t>15</w:t>
                  </w:r>
                </w:p>
              </w:tc>
              <w:tc>
                <w:tcPr>
                  <w:tcW w:w="987" w:type="dxa"/>
                  <w:noWrap w:val="0"/>
                  <w:vAlign w:val="center"/>
                </w:tcPr>
                <w:p>
                  <w:pPr>
                    <w:jc w:val="center"/>
                    <w:rPr>
                      <w:color w:val="auto"/>
                    </w:rPr>
                  </w:pPr>
                  <w:r>
                    <w:rPr>
                      <w:color w:val="auto"/>
                    </w:rPr>
                    <w:t>1</w:t>
                  </w:r>
                </w:p>
              </w:tc>
            </w:tr>
          </w:tbl>
          <w:p>
            <w:pPr>
              <w:pStyle w:val="3"/>
              <w:spacing w:line="360" w:lineRule="auto"/>
              <w:ind w:left="0" w:leftChars="0" w:firstLine="480"/>
              <w:rPr>
                <w:color w:val="auto"/>
                <w:sz w:val="24"/>
              </w:rPr>
            </w:pPr>
            <w:r>
              <w:rPr>
                <w:color w:val="auto"/>
                <w:sz w:val="24"/>
              </w:rPr>
              <w:t>本项目</w:t>
            </w:r>
            <w:r>
              <w:rPr>
                <w:rFonts w:hint="eastAsia"/>
                <w:color w:val="auto"/>
                <w:sz w:val="24"/>
                <w:lang w:eastAsia="zh-CN"/>
              </w:rPr>
              <w:t>在</w:t>
            </w:r>
            <w:r>
              <w:rPr>
                <w:color w:val="auto"/>
                <w:sz w:val="24"/>
              </w:rPr>
              <w:t>合肥西部组团污水处理厂收水服务范围内，废水经预处理后，可达到合肥西部组团污水处理厂的接管标准；本项目</w:t>
            </w:r>
            <w:r>
              <w:rPr>
                <w:rFonts w:hint="eastAsia"/>
                <w:color w:val="auto"/>
                <w:sz w:val="24"/>
                <w:lang w:eastAsia="zh-CN"/>
              </w:rPr>
              <w:t>全厂</w:t>
            </w:r>
            <w:r>
              <w:rPr>
                <w:color w:val="auto"/>
                <w:sz w:val="24"/>
              </w:rPr>
              <w:t>污水排放量为</w:t>
            </w:r>
            <w:r>
              <w:rPr>
                <w:rFonts w:hint="eastAsia"/>
                <w:color w:val="auto"/>
                <w:sz w:val="24"/>
                <w:lang w:val="en-US" w:eastAsia="zh-CN"/>
              </w:rPr>
              <w:t>640.32</w:t>
            </w:r>
            <w:r>
              <w:rPr>
                <w:color w:val="auto"/>
                <w:sz w:val="24"/>
              </w:rPr>
              <w:t>m</w:t>
            </w:r>
            <w:r>
              <w:rPr>
                <w:color w:val="auto"/>
                <w:sz w:val="24"/>
                <w:vertAlign w:val="superscript"/>
              </w:rPr>
              <w:t>3</w:t>
            </w:r>
            <w:r>
              <w:rPr>
                <w:color w:val="auto"/>
                <w:sz w:val="24"/>
              </w:rPr>
              <w:t>/d，污水处理厂剩余处理能力完全能够满足本项目污水处理要求，因此本项目废水接入合肥西部组团污水处理厂是可行的。</w:t>
            </w:r>
          </w:p>
          <w:p>
            <w:pPr>
              <w:pStyle w:val="3"/>
              <w:ind w:left="0" w:leftChars="0"/>
              <w:rPr>
                <w:color w:val="auto"/>
              </w:rPr>
            </w:pPr>
          </w:p>
        </w:tc>
      </w:tr>
    </w:tbl>
    <w:p>
      <w:pPr>
        <w:pStyle w:val="18"/>
        <w:jc w:val="center"/>
        <w:outlineLvl w:val="0"/>
        <w:rPr>
          <w:rFonts w:hint="eastAsia" w:ascii="黑体" w:hAnsi="黑体" w:eastAsia="黑体"/>
          <w:snapToGrid w:val="0"/>
          <w:color w:val="auto"/>
          <w:sz w:val="30"/>
          <w:szCs w:val="30"/>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427"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pPr>
              <w:adjustRightInd w:val="0"/>
              <w:snapToGrid w:val="0"/>
              <w:jc w:val="center"/>
              <w:rPr>
                <w:rFonts w:hint="eastAsia"/>
                <w:color w:val="auto"/>
              </w:rPr>
            </w:pPr>
            <w:r>
              <w:rPr>
                <w:rFonts w:hint="eastAsia" w:ascii="宋体" w:hAnsi="宋体" w:cs="宋体"/>
                <w:b/>
                <w:bCs/>
                <w:color w:val="auto"/>
                <w:szCs w:val="21"/>
              </w:rPr>
              <w:t>措施</w:t>
            </w:r>
          </w:p>
        </w:tc>
        <w:tc>
          <w:tcPr>
            <w:tcW w:w="8846" w:type="dxa"/>
            <w:noWrap w:val="0"/>
            <w:vAlign w:val="center"/>
          </w:tcPr>
          <w:p>
            <w:pPr>
              <w:spacing w:line="360" w:lineRule="auto"/>
              <w:ind w:firstLine="482" w:firstLineChars="200"/>
              <w:rPr>
                <w:b/>
                <w:bCs/>
                <w:color w:val="auto"/>
                <w:sz w:val="24"/>
              </w:rPr>
            </w:pPr>
            <w:r>
              <w:rPr>
                <w:rFonts w:hint="eastAsia"/>
                <w:b/>
                <w:bCs/>
                <w:color w:val="auto"/>
                <w:sz w:val="24"/>
              </w:rPr>
              <w:t>（三）</w:t>
            </w:r>
            <w:r>
              <w:rPr>
                <w:b/>
                <w:bCs/>
                <w:color w:val="auto"/>
                <w:sz w:val="24"/>
              </w:rPr>
              <w:t>噪声</w:t>
            </w:r>
          </w:p>
          <w:p>
            <w:pPr>
              <w:widowControl/>
              <w:numPr>
                <w:ilvl w:val="0"/>
                <w:numId w:val="0"/>
              </w:numPr>
              <w:ind w:leftChars="0"/>
              <w:jc w:val="both"/>
              <w:rPr>
                <w:b/>
                <w:bCs/>
                <w:color w:val="auto"/>
              </w:rPr>
            </w:pPr>
            <w:r>
              <w:rPr>
                <w:color w:val="auto"/>
                <w:sz w:val="24"/>
              </w:rPr>
              <w:t>本项目新增高噪声设备源强及采取治理措施见下表。</w:t>
            </w:r>
          </w:p>
          <w:p>
            <w:pPr>
              <w:widowControl/>
              <w:numPr>
                <w:ilvl w:val="0"/>
                <w:numId w:val="2"/>
              </w:numPr>
              <w:jc w:val="center"/>
              <w:rPr>
                <w:b/>
                <w:bCs/>
                <w:color w:val="auto"/>
              </w:rPr>
            </w:pPr>
            <w:r>
              <w:rPr>
                <w:b/>
                <w:bCs/>
                <w:color w:val="auto"/>
              </w:rPr>
              <w:t>本项目主要噪声源</w:t>
            </w:r>
            <w:r>
              <w:rPr>
                <w:rFonts w:hint="eastAsia"/>
                <w:b/>
                <w:bCs/>
                <w:color w:val="auto"/>
                <w:lang w:eastAsia="zh-CN"/>
              </w:rPr>
              <w:t>（室外）</w:t>
            </w:r>
            <w:r>
              <w:rPr>
                <w:b/>
                <w:bCs/>
                <w:color w:val="auto"/>
              </w:rPr>
              <w:t>及降噪措施</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8"/>
              <w:gridCol w:w="1642"/>
              <w:gridCol w:w="1552"/>
              <w:gridCol w:w="1314"/>
              <w:gridCol w:w="640"/>
              <w:gridCol w:w="543"/>
              <w:gridCol w:w="662"/>
              <w:gridCol w:w="1436"/>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8"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序号</w:t>
                  </w:r>
                </w:p>
              </w:tc>
              <w:tc>
                <w:tcPr>
                  <w:tcW w:w="1642"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声源名称</w:t>
                  </w:r>
                </w:p>
              </w:tc>
              <w:tc>
                <w:tcPr>
                  <w:tcW w:w="1552"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型号</w:t>
                  </w:r>
                </w:p>
              </w:tc>
              <w:tc>
                <w:tcPr>
                  <w:tcW w:w="131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声源源强</w:t>
                  </w:r>
                </w:p>
              </w:tc>
              <w:tc>
                <w:tcPr>
                  <w:tcW w:w="1845" w:type="dxa"/>
                  <w:gridSpan w:val="3"/>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空间相对位置/m</w:t>
                  </w:r>
                </w:p>
              </w:tc>
              <w:tc>
                <w:tcPr>
                  <w:tcW w:w="1436"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声源控制措施</w:t>
                  </w:r>
                </w:p>
              </w:tc>
              <w:tc>
                <w:tcPr>
                  <w:tcW w:w="538"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运行时段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8"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642"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552"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1314"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声功率级/dB(A)</w:t>
                  </w:r>
                </w:p>
              </w:tc>
              <w:tc>
                <w:tcPr>
                  <w:tcW w:w="640"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X</w:t>
                  </w:r>
                </w:p>
              </w:tc>
              <w:tc>
                <w:tcPr>
                  <w:tcW w:w="543"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Y</w:t>
                  </w:r>
                </w:p>
              </w:tc>
              <w:tc>
                <w:tcPr>
                  <w:tcW w:w="662"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Z</w:t>
                  </w:r>
                </w:p>
              </w:tc>
              <w:tc>
                <w:tcPr>
                  <w:tcW w:w="1436"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538" w:type="dxa"/>
                  <w:vMerge w:val="continue"/>
                  <w:noWrap w:val="0"/>
                  <w:vAlign w:val="center"/>
                </w:tcPr>
                <w:p>
                  <w:pPr>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c>
                <w:tcPr>
                  <w:tcW w:w="16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风机1</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5000</w:t>
                  </w:r>
                  <w:r>
                    <w:rPr>
                      <w:rFonts w:hint="eastAsia" w:ascii="Times New Roman" w:hAnsi="Times New Roman" w:eastAsia="宋体"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3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70-85</w:t>
                  </w:r>
                </w:p>
              </w:tc>
              <w:tc>
                <w:tcPr>
                  <w:tcW w:w="6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00</w:t>
                  </w:r>
                </w:p>
              </w:tc>
              <w:tc>
                <w:tcPr>
                  <w:tcW w:w="6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36" w:type="dxa"/>
                  <w:vMerge w:val="restart"/>
                  <w:noWrap w:val="0"/>
                  <w:vAlign w:val="center"/>
                </w:tcPr>
                <w:p>
                  <w:pPr>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基础减振+距离衰减+合理布局</w:t>
                  </w:r>
                </w:p>
              </w:tc>
              <w:tc>
                <w:tcPr>
                  <w:tcW w:w="538" w:type="dxa"/>
                  <w:vMerge w:val="restart"/>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w:t>
                  </w:r>
                </w:p>
              </w:tc>
              <w:tc>
                <w:tcPr>
                  <w:tcW w:w="16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风机2</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500</w:t>
                  </w:r>
                  <w:r>
                    <w:rPr>
                      <w:rFonts w:hint="default" w:ascii="Times New Roman" w:hAnsi="Times New Roman" w:eastAsia="宋体" w:cs="Times New Roman"/>
                      <w:i w:val="0"/>
                      <w:iCs w:val="0"/>
                      <w:color w:val="auto"/>
                      <w:kern w:val="0"/>
                      <w:sz w:val="21"/>
                      <w:szCs w:val="21"/>
                      <w:u w:val="none"/>
                      <w:lang w:val="en-US" w:eastAsia="zh-CN" w:bidi="ar"/>
                    </w:rPr>
                    <w:t>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3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70-85</w:t>
                  </w:r>
                </w:p>
              </w:tc>
              <w:tc>
                <w:tcPr>
                  <w:tcW w:w="6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63</w:t>
                  </w:r>
                </w:p>
              </w:tc>
              <w:tc>
                <w:tcPr>
                  <w:tcW w:w="5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04</w:t>
                  </w:r>
                </w:p>
              </w:tc>
              <w:tc>
                <w:tcPr>
                  <w:tcW w:w="6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3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538"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2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w:t>
                  </w:r>
                </w:p>
              </w:tc>
              <w:tc>
                <w:tcPr>
                  <w:tcW w:w="16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风机3</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130</w:t>
                  </w:r>
                  <w:r>
                    <w:rPr>
                      <w:rFonts w:hint="default" w:ascii="Times New Roman" w:hAnsi="Times New Roman" w:eastAsia="宋体" w:cs="Times New Roman"/>
                      <w:i w:val="0"/>
                      <w:iCs w:val="0"/>
                      <w:color w:val="auto"/>
                      <w:kern w:val="0"/>
                      <w:sz w:val="21"/>
                      <w:szCs w:val="21"/>
                      <w:u w:val="none"/>
                      <w:lang w:val="en-US" w:eastAsia="zh-CN" w:bidi="ar"/>
                    </w:rPr>
                    <w:t>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3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70-85</w:t>
                  </w:r>
                </w:p>
              </w:tc>
              <w:tc>
                <w:tcPr>
                  <w:tcW w:w="6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187</w:t>
                  </w:r>
                </w:p>
              </w:tc>
              <w:tc>
                <w:tcPr>
                  <w:tcW w:w="5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41</w:t>
                  </w:r>
                </w:p>
              </w:tc>
              <w:tc>
                <w:tcPr>
                  <w:tcW w:w="6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3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538"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288"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w:t>
                  </w:r>
                </w:p>
              </w:tc>
              <w:tc>
                <w:tcPr>
                  <w:tcW w:w="16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风机4</w:t>
                  </w:r>
                </w:p>
              </w:tc>
              <w:tc>
                <w:tcPr>
                  <w:tcW w:w="155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13</w:t>
                  </w:r>
                  <w:r>
                    <w:rPr>
                      <w:rFonts w:hint="default" w:ascii="Times New Roman" w:hAnsi="Times New Roman" w:eastAsia="宋体" w:cs="Times New Roman"/>
                      <w:i w:val="0"/>
                      <w:iCs w:val="0"/>
                      <w:color w:val="auto"/>
                      <w:kern w:val="0"/>
                      <w:sz w:val="21"/>
                      <w:szCs w:val="21"/>
                      <w:u w:val="none"/>
                      <w:lang w:val="en-US" w:eastAsia="zh-CN" w:bidi="ar"/>
                    </w:rPr>
                    <w:t>000m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131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75-90</w:t>
                  </w:r>
                </w:p>
              </w:tc>
              <w:tc>
                <w:tcPr>
                  <w:tcW w:w="6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279</w:t>
                  </w:r>
                </w:p>
              </w:tc>
              <w:tc>
                <w:tcPr>
                  <w:tcW w:w="54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41</w:t>
                  </w:r>
                </w:p>
              </w:tc>
              <w:tc>
                <w:tcPr>
                  <w:tcW w:w="66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w:t>
                  </w:r>
                </w:p>
              </w:tc>
              <w:tc>
                <w:tcPr>
                  <w:tcW w:w="1436"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c>
                <w:tcPr>
                  <w:tcW w:w="538" w:type="dxa"/>
                  <w:vMerge w:val="continue"/>
                  <w:noWrap w:val="0"/>
                  <w:vAlign w:val="center"/>
                </w:tcPr>
                <w:p>
                  <w:pPr>
                    <w:jc w:val="center"/>
                    <w:rPr>
                      <w:rFonts w:hint="eastAsia" w:ascii="Times New Roman" w:hAnsi="Times New Roman" w:eastAsia="宋体" w:cs="Times New Roman"/>
                      <w:color w:val="auto"/>
                      <w:sz w:val="21"/>
                      <w:szCs w:val="21"/>
                      <w:highlight w:val="none"/>
                      <w:lang w:val="en-US" w:eastAsia="zh-CN"/>
                    </w:rPr>
                  </w:pPr>
                </w:p>
              </w:tc>
            </w:tr>
          </w:tbl>
          <w:p>
            <w:pPr>
              <w:spacing w:line="360" w:lineRule="auto"/>
              <w:ind w:firstLine="420" w:firstLineChars="200"/>
              <w:rPr>
                <w:color w:val="auto"/>
                <w:szCs w:val="21"/>
              </w:rPr>
            </w:pPr>
            <w:r>
              <w:rPr>
                <w:color w:val="auto"/>
                <w:szCs w:val="21"/>
              </w:rPr>
              <w:t>备注：①</w:t>
            </w:r>
            <w:r>
              <w:rPr>
                <w:rFonts w:hint="eastAsia"/>
                <w:color w:val="auto"/>
                <w:szCs w:val="21"/>
                <w:lang w:eastAsia="zh-CN"/>
              </w:rPr>
              <w:t>以</w:t>
            </w:r>
            <w:r>
              <w:rPr>
                <w:rFonts w:hint="eastAsia"/>
                <w:color w:val="auto"/>
                <w:szCs w:val="21"/>
                <w:lang w:val="en-US" w:eastAsia="zh-CN"/>
              </w:rPr>
              <w:t>厂区西南角为坐标原点（0,0,0）</w:t>
            </w:r>
            <w:r>
              <w:rPr>
                <w:color w:val="auto"/>
                <w:szCs w:val="21"/>
              </w:rPr>
              <w:t>。</w:t>
            </w:r>
          </w:p>
          <w:p>
            <w:pPr>
              <w:spacing w:line="360" w:lineRule="auto"/>
              <w:ind w:firstLine="480" w:firstLineChars="200"/>
              <w:rPr>
                <w:color w:val="auto"/>
                <w:sz w:val="24"/>
              </w:rPr>
            </w:pPr>
            <w:r>
              <w:rPr>
                <w:color w:val="auto"/>
                <w:sz w:val="24"/>
              </w:rPr>
              <w:t>本项目生产设备均布置在生产厂房内，通过选用低噪设备、安装减振基座，并经厂区建筑物的隔声、距离的衰减，厂界噪声排放预测模式选用《环境影响评价技术导则——声环境》（HJ2.4-20</w:t>
            </w:r>
            <w:r>
              <w:rPr>
                <w:rFonts w:hint="eastAsia"/>
                <w:color w:val="auto"/>
                <w:sz w:val="24"/>
              </w:rPr>
              <w:t>21</w:t>
            </w:r>
            <w:r>
              <w:rPr>
                <w:color w:val="auto"/>
                <w:sz w:val="24"/>
              </w:rPr>
              <w:t>）推荐的模式，其数学表达式如下：</w:t>
            </w:r>
          </w:p>
          <w:p>
            <w:pPr>
              <w:spacing w:line="360" w:lineRule="auto"/>
              <w:ind w:firstLine="480" w:firstLineChars="200"/>
              <w:rPr>
                <w:color w:val="auto"/>
                <w:sz w:val="24"/>
              </w:rPr>
            </w:pPr>
            <w:r>
              <w:rPr>
                <w:color w:val="auto"/>
                <w:sz w:val="24"/>
              </w:rPr>
              <w:t>本项目生产设备均布置在厂房内，通过选用低噪设备、安装减振基座，并经厂区建筑物的隔声、距离的衰减，厂界噪声排放预测模式选用《环境影响评价技术导则 声环境》（HJ2.4-2021）推荐的模式，其数学表达式如下：</w:t>
            </w:r>
          </w:p>
          <w:p>
            <w:pPr>
              <w:pStyle w:val="60"/>
              <w:rPr>
                <w:color w:val="auto"/>
              </w:rPr>
            </w:pPr>
            <w:r>
              <w:rPr>
                <w:color w:val="auto"/>
              </w:rPr>
              <w:t>①若声源所在室内声场为近似扩散声场，则室外的倍频带声压级：</w:t>
            </w:r>
          </w:p>
          <w:p>
            <w:pPr>
              <w:pStyle w:val="60"/>
              <w:jc w:val="center"/>
              <w:rPr>
                <w:color w:val="auto"/>
              </w:rPr>
            </w:pPr>
            <w:r>
              <w:rPr>
                <w:color w:val="auto"/>
                <w:position w:val="-14"/>
              </w:rPr>
              <w:object>
                <v:shape id="_x0000_i1034" o:spt="75" type="#_x0000_t75" style="height:18.65pt;width:94.8pt;" o:ole="t" filled="f" o:preferrelative="t" stroked="f" coordsize="21600,21600">
                  <v:path/>
                  <v:fill on="f" focussize="0,0"/>
                  <v:stroke on="f"/>
                  <v:imagedata r:id="rId25" o:title=""/>
                  <o:lock v:ext="edit" aspectratio="t"/>
                  <w10:wrap type="none"/>
                  <w10:anchorlock/>
                </v:shape>
                <o:OLEObject Type="Embed" ProgID="Equation.3" ShapeID="_x0000_i1034" DrawAspect="Content" ObjectID="_1468075730" r:id="rId24">
                  <o:LockedField>false</o:LockedField>
                </o:OLEObject>
              </w:object>
            </w:r>
          </w:p>
          <w:p>
            <w:pPr>
              <w:pStyle w:val="60"/>
              <w:rPr>
                <w:color w:val="auto"/>
              </w:rPr>
            </w:pPr>
            <w:r>
              <w:rPr>
                <w:color w:val="auto"/>
              </w:rPr>
              <w:t>式中：L</w:t>
            </w:r>
            <w:r>
              <w:rPr>
                <w:color w:val="auto"/>
                <w:vertAlign w:val="subscript"/>
              </w:rPr>
              <w:t>p1</w:t>
            </w:r>
            <w:r>
              <w:rPr>
                <w:color w:val="auto"/>
              </w:rPr>
              <w:sym w:font="Symbol" w:char="F0BE"/>
            </w:r>
            <w:r>
              <w:rPr>
                <w:color w:val="auto"/>
              </w:rPr>
              <w:t>靠近开口处（或窗户）室内某倍频带的声压级或A声级，dB；</w:t>
            </w:r>
          </w:p>
          <w:p>
            <w:pPr>
              <w:pStyle w:val="60"/>
              <w:ind w:firstLine="1200" w:firstLineChars="500"/>
              <w:rPr>
                <w:color w:val="auto"/>
              </w:rPr>
            </w:pPr>
            <w:r>
              <w:rPr>
                <w:color w:val="auto"/>
              </w:rPr>
              <w:t>L</w:t>
            </w:r>
            <w:r>
              <w:rPr>
                <w:color w:val="auto"/>
                <w:vertAlign w:val="subscript"/>
              </w:rPr>
              <w:t>p2</w:t>
            </w:r>
            <w:r>
              <w:rPr>
                <w:color w:val="auto"/>
              </w:rPr>
              <w:sym w:font="Symbol" w:char="F0BE"/>
            </w:r>
            <w:r>
              <w:rPr>
                <w:color w:val="auto"/>
              </w:rPr>
              <w:t>靠近开口处（或窗户）室外某倍频带的声压级或A声级，dB；</w:t>
            </w:r>
          </w:p>
          <w:p>
            <w:pPr>
              <w:pStyle w:val="60"/>
              <w:ind w:firstLine="1200" w:firstLineChars="500"/>
              <w:rPr>
                <w:color w:val="auto"/>
              </w:rPr>
            </w:pPr>
            <w:r>
              <w:rPr>
                <w:color w:val="auto"/>
              </w:rPr>
              <w:t>TL</w:t>
            </w:r>
            <w:r>
              <w:rPr>
                <w:color w:val="auto"/>
              </w:rPr>
              <w:sym w:font="Symbol" w:char="F0BE"/>
            </w:r>
            <w:r>
              <w:rPr>
                <w:color w:val="auto"/>
              </w:rPr>
              <w:t>隔墙（或窗户）倍频带或A声级的隔声量，dB</w:t>
            </w:r>
          </w:p>
          <w:p>
            <w:pPr>
              <w:pStyle w:val="60"/>
              <w:ind w:firstLine="0" w:firstLineChars="0"/>
              <w:jc w:val="center"/>
              <w:rPr>
                <w:color w:val="auto"/>
              </w:rPr>
            </w:pPr>
            <w:r>
              <w:rPr>
                <w:color w:val="auto"/>
              </w:rPr>
              <w:pict>
                <v:shape id="_x0000_i1035" o:spt="75" type="#_x0000_t75" style="height:106.25pt;width:220.85pt;" filled="f" o:preferrelative="t" stroked="f" coordsize="21600,21600">
                  <v:path/>
                  <v:fill on="f" focussize="0,0"/>
                  <v:stroke on="f"/>
                  <v:imagedata r:id="rId26" o:title=""/>
                  <o:lock v:ext="edit" aspectratio="t"/>
                  <w10:wrap type="none"/>
                  <w10:anchorlock/>
                </v:shape>
              </w:pict>
            </w:r>
          </w:p>
          <w:p>
            <w:pPr>
              <w:jc w:val="center"/>
              <w:rPr>
                <w:b/>
                <w:bCs/>
                <w:color w:val="auto"/>
              </w:rPr>
            </w:pPr>
            <w:r>
              <w:rPr>
                <w:b/>
                <w:bCs/>
                <w:color w:val="auto"/>
              </w:rPr>
              <w:t>图</w:t>
            </w:r>
            <w:r>
              <w:rPr>
                <w:rFonts w:hint="eastAsia"/>
                <w:b/>
                <w:bCs/>
                <w:color w:val="auto"/>
              </w:rPr>
              <w:t>1</w:t>
            </w:r>
            <w:r>
              <w:rPr>
                <w:rFonts w:hint="eastAsia"/>
                <w:b/>
                <w:bCs/>
                <w:color w:val="auto"/>
                <w:lang w:val="en-US" w:eastAsia="zh-CN"/>
              </w:rPr>
              <w:t>1</w:t>
            </w:r>
            <w:r>
              <w:rPr>
                <w:b/>
                <w:bCs/>
                <w:color w:val="auto"/>
              </w:rPr>
              <w:t xml:space="preserve">  室内声源等效为室外声源图例</w:t>
            </w:r>
          </w:p>
          <w:p>
            <w:pPr>
              <w:pStyle w:val="60"/>
              <w:rPr>
                <w:color w:val="auto"/>
              </w:rPr>
            </w:pPr>
            <w:r>
              <w:rPr>
                <w:color w:val="auto"/>
              </w:rPr>
              <w:t>②计算某一室内声源靠近围护结构处产生的倍频带声压级或A声级：</w:t>
            </w:r>
          </w:p>
          <w:p>
            <w:pPr>
              <w:pStyle w:val="60"/>
              <w:ind w:firstLine="0" w:firstLineChars="0"/>
              <w:jc w:val="center"/>
              <w:rPr>
                <w:color w:val="auto"/>
              </w:rPr>
            </w:pPr>
            <w:r>
              <w:rPr>
                <w:color w:val="auto"/>
                <w:position w:val="-26"/>
              </w:rPr>
              <w:object>
                <v:shape id="_x0000_i1036" o:spt="75" type="#_x0000_t75" style="height:31pt;width:119.3pt;" o:ole="t" filled="f" o:preferrelative="t" stroked="f" coordsize="21600,21600">
                  <v:path/>
                  <v:fill on="f" focussize="0,0"/>
                  <v:stroke on="f"/>
                  <v:imagedata r:id="rId28" o:title=""/>
                  <o:lock v:ext="edit" aspectratio="t"/>
                  <w10:wrap type="none"/>
                  <w10:anchorlock/>
                </v:shape>
                <o:OLEObject Type="Embed" ProgID="Equation.3" ShapeID="_x0000_i1036" DrawAspect="Content" ObjectID="_1468075731" r:id="rId27">
                  <o:LockedField>false</o:LockedField>
                </o:OLEObject>
              </w:object>
            </w:r>
          </w:p>
          <w:p>
            <w:pPr>
              <w:pStyle w:val="60"/>
              <w:rPr>
                <w:color w:val="auto"/>
              </w:rPr>
            </w:pPr>
            <w:r>
              <w:rPr>
                <w:color w:val="auto"/>
              </w:rPr>
              <w:t>式中：L</w:t>
            </w:r>
            <w:r>
              <w:rPr>
                <w:color w:val="auto"/>
                <w:vertAlign w:val="subscript"/>
              </w:rPr>
              <w:t>p1</w:t>
            </w:r>
            <w:r>
              <w:rPr>
                <w:color w:val="auto"/>
              </w:rPr>
              <w:sym w:font="Symbol" w:char="F0BE"/>
            </w:r>
            <w:r>
              <w:rPr>
                <w:color w:val="auto"/>
              </w:rPr>
              <w:t>靠近开口处（或窗户）室内某倍频带的声压级或A声级，dB；</w:t>
            </w:r>
          </w:p>
          <w:p>
            <w:pPr>
              <w:pStyle w:val="60"/>
              <w:ind w:firstLine="1200" w:firstLineChars="500"/>
              <w:rPr>
                <w:color w:val="auto"/>
              </w:rPr>
            </w:pPr>
            <w:r>
              <w:rPr>
                <w:color w:val="auto"/>
              </w:rPr>
              <w:t>L</w:t>
            </w:r>
            <w:r>
              <w:rPr>
                <w:color w:val="auto"/>
                <w:vertAlign w:val="subscript"/>
              </w:rPr>
              <w:t>w</w:t>
            </w:r>
            <w:r>
              <w:rPr>
                <w:color w:val="auto"/>
              </w:rPr>
              <w:sym w:font="Symbol" w:char="F0BE"/>
            </w:r>
            <w:r>
              <w:rPr>
                <w:color w:val="auto"/>
              </w:rPr>
              <w:t>点声源声功率级（A计权或倍频带），dB；</w:t>
            </w:r>
          </w:p>
          <w:p>
            <w:pPr>
              <w:pStyle w:val="60"/>
              <w:ind w:left="479" w:leftChars="228" w:firstLine="720" w:firstLineChars="300"/>
              <w:rPr>
                <w:color w:val="auto"/>
              </w:rPr>
            </w:pPr>
            <w:r>
              <w:rPr>
                <w:color w:val="auto"/>
              </w:rPr>
              <w:t>Q</w:t>
            </w:r>
            <w:r>
              <w:rPr>
                <w:color w:val="auto"/>
              </w:rPr>
              <w:sym w:font="Symbol" w:char="F0BE"/>
            </w:r>
            <w:r>
              <w:rPr>
                <w:color w:val="auto"/>
              </w:rPr>
              <w:t>指向性因数；通常对无指向性声源，当声源放在房间中心时，Q=1；当放在一面墙的中心时，Q=2；当放在两面墙夹角处时，Q=4；当放在三面墙夹角处时，Q=8；</w:t>
            </w:r>
          </w:p>
          <w:p>
            <w:pPr>
              <w:pStyle w:val="60"/>
              <w:ind w:firstLine="1200" w:firstLineChars="500"/>
              <w:rPr>
                <w:color w:val="auto"/>
              </w:rPr>
            </w:pPr>
            <w:r>
              <w:rPr>
                <w:color w:val="auto"/>
              </w:rPr>
              <w:t>R</w:t>
            </w:r>
            <w:r>
              <w:rPr>
                <w:color w:val="auto"/>
              </w:rPr>
              <w:sym w:font="Symbol" w:char="F0BE"/>
            </w:r>
            <w:r>
              <w:rPr>
                <w:color w:val="auto"/>
              </w:rPr>
              <w:t>房间常数；</w:t>
            </w:r>
            <w:r>
              <w:rPr>
                <w:color w:val="auto"/>
                <w:position w:val="-10"/>
              </w:rPr>
              <w:object>
                <v:shape id="_x0000_i1037" o:spt="75" type="#_x0000_t75" style="height:15pt;width:55pt;" o:ole="t" filled="f" o:preferrelative="t" stroked="f" coordsize="21600,21600">
                  <v:path/>
                  <v:fill on="f" focussize="0,0"/>
                  <v:stroke on="f"/>
                  <v:imagedata r:id="rId30" o:title=""/>
                  <o:lock v:ext="edit" aspectratio="t"/>
                  <w10:wrap type="none"/>
                  <w10:anchorlock/>
                </v:shape>
                <o:OLEObject Type="Embed" ProgID="Equation.KSEE3" ShapeID="_x0000_i1037" DrawAspect="Content" ObjectID="_1468075732" r:id="rId29">
                  <o:LockedField>false</o:LockedField>
                </o:OLEObject>
              </w:object>
            </w:r>
            <w:r>
              <w:rPr>
                <w:color w:val="auto"/>
              </w:rPr>
              <w:t>，S为房间内表面面积，m</w:t>
            </w:r>
            <w:r>
              <w:rPr>
                <w:color w:val="auto"/>
                <w:vertAlign w:val="superscript"/>
              </w:rPr>
              <w:t>2</w:t>
            </w:r>
            <w:r>
              <w:rPr>
                <w:color w:val="auto"/>
              </w:rPr>
              <w:t>；α为平均吸声系数；</w:t>
            </w:r>
          </w:p>
          <w:p>
            <w:pPr>
              <w:pStyle w:val="60"/>
              <w:ind w:firstLine="1200" w:firstLineChars="500"/>
              <w:rPr>
                <w:color w:val="auto"/>
              </w:rPr>
            </w:pPr>
            <w:r>
              <w:rPr>
                <w:color w:val="auto"/>
              </w:rPr>
              <w:t>r</w:t>
            </w:r>
            <w:r>
              <w:rPr>
                <w:color w:val="auto"/>
              </w:rPr>
              <w:sym w:font="Symbol" w:char="F0BE"/>
            </w:r>
            <w:r>
              <w:rPr>
                <w:color w:val="auto"/>
              </w:rPr>
              <w:t>声源到靠近围护结构某点处的距离，m。</w:t>
            </w:r>
          </w:p>
          <w:p>
            <w:pPr>
              <w:pStyle w:val="60"/>
              <w:rPr>
                <w:color w:val="auto"/>
              </w:rPr>
            </w:pPr>
            <w:r>
              <w:rPr>
                <w:color w:val="auto"/>
              </w:rPr>
              <w:t>③在室内近似为扩散声场时，计算出靠近室外围护结构处的声压级：</w:t>
            </w:r>
          </w:p>
          <w:p>
            <w:pPr>
              <w:pStyle w:val="60"/>
              <w:ind w:firstLine="0" w:firstLineChars="0"/>
              <w:jc w:val="center"/>
              <w:rPr>
                <w:color w:val="auto"/>
              </w:rPr>
            </w:pPr>
            <w:r>
              <w:rPr>
                <w:color w:val="auto"/>
                <w:position w:val="-14"/>
              </w:rPr>
              <w:object>
                <v:shape id="_x0000_i1038" o:spt="75" type="#_x0000_t75" style="height:16.8pt;width:116.05pt;" o:ole="t" filled="f" o:preferrelative="t" stroked="f" coordsize="21600,21600">
                  <v:path/>
                  <v:fill on="f" focussize="0,0"/>
                  <v:stroke on="f"/>
                  <v:imagedata r:id="rId32" o:title=""/>
                  <o:lock v:ext="edit" aspectratio="t"/>
                  <w10:wrap type="none"/>
                  <w10:anchorlock/>
                </v:shape>
                <o:OLEObject Type="Embed" ProgID="Equation.3" ShapeID="_x0000_i1038" DrawAspect="Content" ObjectID="_1468075733" r:id="rId31">
                  <o:LockedField>false</o:LockedField>
                </o:OLEObject>
              </w:object>
            </w:r>
          </w:p>
          <w:p>
            <w:pPr>
              <w:pStyle w:val="60"/>
              <w:rPr>
                <w:color w:val="auto"/>
              </w:rPr>
            </w:pPr>
            <w:r>
              <w:rPr>
                <w:color w:val="auto"/>
              </w:rPr>
              <w:t>式中：L</w:t>
            </w:r>
            <w:r>
              <w:rPr>
                <w:color w:val="auto"/>
                <w:vertAlign w:val="subscript"/>
              </w:rPr>
              <w:t>p2i</w:t>
            </w:r>
            <w:r>
              <w:rPr>
                <w:color w:val="auto"/>
              </w:rPr>
              <w:t>（T）</w:t>
            </w:r>
            <w:r>
              <w:rPr>
                <w:color w:val="auto"/>
              </w:rPr>
              <w:sym w:font="Symbol" w:char="F0BE"/>
            </w:r>
            <w:r>
              <w:rPr>
                <w:color w:val="auto"/>
              </w:rPr>
              <w:t>靠近围护结构处室外N个声源i倍频带的叠加声压级，dB；</w:t>
            </w:r>
          </w:p>
          <w:p>
            <w:pPr>
              <w:pStyle w:val="60"/>
              <w:ind w:firstLine="960" w:firstLineChars="400"/>
              <w:rPr>
                <w:color w:val="auto"/>
              </w:rPr>
            </w:pPr>
            <w:r>
              <w:rPr>
                <w:color w:val="auto"/>
              </w:rPr>
              <w:t>L</w:t>
            </w:r>
            <w:r>
              <w:rPr>
                <w:color w:val="auto"/>
                <w:vertAlign w:val="subscript"/>
              </w:rPr>
              <w:t>p1i</w:t>
            </w:r>
            <w:r>
              <w:rPr>
                <w:color w:val="auto"/>
              </w:rPr>
              <w:t>（T）</w:t>
            </w:r>
            <w:r>
              <w:rPr>
                <w:color w:val="auto"/>
              </w:rPr>
              <w:sym w:font="Symbol" w:char="F0BE"/>
            </w:r>
            <w:r>
              <w:rPr>
                <w:color w:val="auto"/>
              </w:rPr>
              <w:t>靠近围护结构处室内N个声源i倍频带的叠加声压级，dB；</w:t>
            </w:r>
          </w:p>
          <w:p>
            <w:pPr>
              <w:pStyle w:val="60"/>
              <w:ind w:firstLine="960" w:firstLineChars="400"/>
              <w:rPr>
                <w:color w:val="auto"/>
              </w:rPr>
            </w:pPr>
            <w:r>
              <w:rPr>
                <w:color w:val="auto"/>
              </w:rPr>
              <w:t>TL</w:t>
            </w:r>
            <w:r>
              <w:rPr>
                <w:color w:val="auto"/>
                <w:vertAlign w:val="subscript"/>
              </w:rPr>
              <w:t>i</w:t>
            </w:r>
            <w:r>
              <w:rPr>
                <w:color w:val="auto"/>
              </w:rPr>
              <w:sym w:font="Symbol" w:char="F0BE"/>
            </w:r>
            <w:r>
              <w:rPr>
                <w:color w:val="auto"/>
              </w:rPr>
              <w:t>围护结构i倍频带的隔声量，dB。</w:t>
            </w:r>
          </w:p>
          <w:p>
            <w:pPr>
              <w:pStyle w:val="60"/>
              <w:rPr>
                <w:color w:val="auto"/>
              </w:rPr>
            </w:pPr>
            <w:r>
              <w:rPr>
                <w:color w:val="auto"/>
              </w:rPr>
              <w:t>④将室外声源的声压级和透过面积换算成等效的室外声源，计算出中心位置位于透声面积（S）处的等效声源的倍频带声功率级：</w:t>
            </w:r>
          </w:p>
          <w:p>
            <w:pPr>
              <w:pStyle w:val="60"/>
              <w:ind w:firstLine="0" w:firstLineChars="0"/>
              <w:jc w:val="center"/>
              <w:rPr>
                <w:color w:val="auto"/>
              </w:rPr>
            </w:pPr>
            <w:r>
              <w:rPr>
                <w:color w:val="auto"/>
                <w:position w:val="-14"/>
              </w:rPr>
              <w:object>
                <v:shape id="_x0000_i1039" o:spt="75" type="#_x0000_t75" style="height:18.75pt;width:101pt;" o:ole="t" filled="f" o:preferrelative="t" stroked="f" coordsize="21600,21600">
                  <v:path/>
                  <v:fill on="f" focussize="0,0"/>
                  <v:stroke on="f"/>
                  <v:imagedata r:id="rId34" o:title=""/>
                  <o:lock v:ext="edit" aspectratio="t"/>
                  <w10:wrap type="none"/>
                  <w10:anchorlock/>
                </v:shape>
                <o:OLEObject Type="Embed" ProgID="Equation.3" ShapeID="_x0000_i1039" DrawAspect="Content" ObjectID="_1468075734" r:id="rId33">
                  <o:LockedField>false</o:LockedField>
                </o:OLEObject>
              </w:object>
            </w:r>
          </w:p>
          <w:p>
            <w:pPr>
              <w:pStyle w:val="60"/>
              <w:rPr>
                <w:color w:val="auto"/>
              </w:rPr>
            </w:pPr>
            <w:r>
              <w:rPr>
                <w:color w:val="auto"/>
              </w:rPr>
              <w:t>式中：L</w:t>
            </w:r>
            <w:r>
              <w:rPr>
                <w:color w:val="auto"/>
                <w:vertAlign w:val="subscript"/>
              </w:rPr>
              <w:t>w</w:t>
            </w:r>
            <w:r>
              <w:rPr>
                <w:color w:val="auto"/>
              </w:rPr>
              <w:sym w:font="Symbol" w:char="F0BE"/>
            </w:r>
            <w:r>
              <w:rPr>
                <w:color w:val="auto"/>
              </w:rPr>
              <w:t>中心位置位于透声面积（S）处的等效声源的倍频带声功率级，dB；</w:t>
            </w:r>
          </w:p>
          <w:p>
            <w:pPr>
              <w:pStyle w:val="60"/>
              <w:ind w:firstLine="960" w:firstLineChars="400"/>
              <w:rPr>
                <w:color w:val="auto"/>
              </w:rPr>
            </w:pPr>
            <w:r>
              <w:rPr>
                <w:color w:val="auto"/>
              </w:rPr>
              <w:t>L</w:t>
            </w:r>
            <w:r>
              <w:rPr>
                <w:color w:val="auto"/>
                <w:vertAlign w:val="subscript"/>
              </w:rPr>
              <w:t>p2</w:t>
            </w:r>
            <w:r>
              <w:rPr>
                <w:color w:val="auto"/>
              </w:rPr>
              <w:t>(T)</w:t>
            </w:r>
            <w:r>
              <w:rPr>
                <w:color w:val="auto"/>
              </w:rPr>
              <w:sym w:font="Symbol" w:char="F0BE"/>
            </w:r>
            <w:r>
              <w:rPr>
                <w:color w:val="auto"/>
              </w:rPr>
              <w:t>靠近围护结构处室外声源的声压级，dB；</w:t>
            </w:r>
          </w:p>
          <w:p>
            <w:pPr>
              <w:pStyle w:val="60"/>
              <w:ind w:firstLine="960" w:firstLineChars="400"/>
              <w:rPr>
                <w:color w:val="auto"/>
              </w:rPr>
            </w:pPr>
            <w:r>
              <w:rPr>
                <w:color w:val="auto"/>
              </w:rPr>
              <w:t>S—透声面积，m</w:t>
            </w:r>
            <w:r>
              <w:rPr>
                <w:color w:val="auto"/>
                <w:vertAlign w:val="superscript"/>
              </w:rPr>
              <w:t>2</w:t>
            </w:r>
            <w:r>
              <w:rPr>
                <w:color w:val="auto"/>
              </w:rPr>
              <w:t>。</w:t>
            </w:r>
          </w:p>
          <w:p>
            <w:pPr>
              <w:pStyle w:val="60"/>
              <w:rPr>
                <w:color w:val="auto"/>
              </w:rPr>
            </w:pPr>
            <w:r>
              <w:rPr>
                <w:color w:val="auto"/>
              </w:rPr>
              <w:t>⑤工业企业噪声计算：</w:t>
            </w:r>
          </w:p>
          <w:p>
            <w:pPr>
              <w:pStyle w:val="60"/>
              <w:ind w:firstLine="0" w:firstLineChars="0"/>
              <w:jc w:val="center"/>
              <w:rPr>
                <w:color w:val="auto"/>
              </w:rPr>
            </w:pPr>
            <w:r>
              <w:rPr>
                <w:color w:val="auto"/>
                <w:position w:val="-28"/>
              </w:rPr>
              <w:object>
                <v:shape id="_x0000_i1040" o:spt="75" type="#_x0000_t75" style="height:33pt;width:181pt;" o:ole="t" filled="f" o:preferrelative="t" stroked="f" coordsize="21600,21600">
                  <v:path/>
                  <v:fill on="f" focussize="0,0"/>
                  <v:stroke on="f"/>
                  <v:imagedata r:id="rId36" o:title=""/>
                  <o:lock v:ext="edit" aspectratio="t"/>
                  <w10:wrap type="none"/>
                  <w10:anchorlock/>
                </v:shape>
                <o:OLEObject Type="Embed" ProgID="Equation.3" ShapeID="_x0000_i1040" DrawAspect="Content" ObjectID="_1468075735" r:id="rId35">
                  <o:LockedField>false</o:LockedField>
                </o:OLEObject>
              </w:object>
            </w:r>
          </w:p>
          <w:p>
            <w:pPr>
              <w:pStyle w:val="60"/>
              <w:rPr>
                <w:color w:val="auto"/>
              </w:rPr>
            </w:pPr>
            <w:r>
              <w:rPr>
                <w:color w:val="auto"/>
              </w:rPr>
              <w:t>式中：L</w:t>
            </w:r>
            <w:r>
              <w:rPr>
                <w:color w:val="auto"/>
                <w:vertAlign w:val="subscript"/>
              </w:rPr>
              <w:t>eqg</w:t>
            </w:r>
            <w:r>
              <w:rPr>
                <w:color w:val="auto"/>
              </w:rPr>
              <w:t>—建设项目声源在预测点产生的噪声贡献值，dB；</w:t>
            </w:r>
          </w:p>
          <w:p>
            <w:pPr>
              <w:pStyle w:val="60"/>
              <w:ind w:firstLine="1200" w:firstLineChars="500"/>
              <w:rPr>
                <w:color w:val="auto"/>
              </w:rPr>
            </w:pPr>
            <w:r>
              <w:rPr>
                <w:color w:val="auto"/>
              </w:rPr>
              <w:t>T—用于计算等效声级的时间，s；</w:t>
            </w:r>
          </w:p>
          <w:p>
            <w:pPr>
              <w:pStyle w:val="60"/>
              <w:ind w:firstLine="1200" w:firstLineChars="500"/>
              <w:rPr>
                <w:color w:val="auto"/>
              </w:rPr>
            </w:pPr>
            <w:r>
              <w:rPr>
                <w:color w:val="auto"/>
              </w:rPr>
              <w:t>N—室外声源个数；</w:t>
            </w:r>
          </w:p>
          <w:p>
            <w:pPr>
              <w:pStyle w:val="60"/>
              <w:ind w:firstLine="1200" w:firstLineChars="500"/>
              <w:rPr>
                <w:color w:val="auto"/>
              </w:rPr>
            </w:pPr>
            <w:r>
              <w:rPr>
                <w:color w:val="auto"/>
              </w:rPr>
              <w:t>t</w:t>
            </w:r>
            <w:r>
              <w:rPr>
                <w:color w:val="auto"/>
                <w:vertAlign w:val="subscript"/>
              </w:rPr>
              <w:t>i</w:t>
            </w:r>
            <w:r>
              <w:rPr>
                <w:color w:val="auto"/>
              </w:rPr>
              <w:t>—在T时间内i声源工作时间，s；</w:t>
            </w:r>
          </w:p>
          <w:p>
            <w:pPr>
              <w:pStyle w:val="60"/>
              <w:ind w:firstLine="1200" w:firstLineChars="500"/>
              <w:rPr>
                <w:color w:val="auto"/>
              </w:rPr>
            </w:pPr>
            <w:r>
              <w:rPr>
                <w:color w:val="auto"/>
              </w:rPr>
              <w:t>M—等效室外声源个数；</w:t>
            </w:r>
          </w:p>
          <w:p>
            <w:pPr>
              <w:pStyle w:val="60"/>
              <w:ind w:firstLine="1200" w:firstLineChars="500"/>
              <w:rPr>
                <w:color w:val="auto"/>
              </w:rPr>
            </w:pPr>
            <w:r>
              <w:rPr>
                <w:color w:val="auto"/>
              </w:rPr>
              <w:t>t</w:t>
            </w:r>
            <w:r>
              <w:rPr>
                <w:color w:val="auto"/>
                <w:vertAlign w:val="subscript"/>
              </w:rPr>
              <w:t>j</w:t>
            </w:r>
            <w:r>
              <w:rPr>
                <w:color w:val="auto"/>
              </w:rPr>
              <w:t>—在T时间内j声源工作时间，s。</w:t>
            </w:r>
          </w:p>
          <w:p>
            <w:pPr>
              <w:pStyle w:val="60"/>
              <w:rPr>
                <w:color w:val="auto"/>
              </w:rPr>
            </w:pPr>
            <w:r>
              <w:rPr>
                <w:color w:val="auto"/>
              </w:rPr>
              <w:t>利用上述的预测数字模型，将参数代入公式计算，预测拟建工程噪声源对各向厂界的影响如下。</w:t>
            </w:r>
          </w:p>
          <w:p>
            <w:pPr>
              <w:widowControl/>
              <w:numPr>
                <w:ilvl w:val="0"/>
                <w:numId w:val="2"/>
              </w:numPr>
              <w:jc w:val="center"/>
              <w:rPr>
                <w:b/>
                <w:bCs/>
                <w:color w:val="auto"/>
              </w:rPr>
            </w:pPr>
            <w:r>
              <w:rPr>
                <w:b/>
                <w:bCs/>
                <w:color w:val="auto"/>
              </w:rPr>
              <w:t>项目厂界噪声预测结果   单位：dB(A)</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488"/>
              <w:gridCol w:w="2284"/>
              <w:gridCol w:w="1908"/>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 w:hRule="atLeast"/>
                <w:jc w:val="center"/>
              </w:trPr>
              <w:tc>
                <w:tcPr>
                  <w:tcW w:w="2488" w:type="dxa"/>
                  <w:vMerge w:val="restart"/>
                  <w:tcBorders>
                    <w:top w:val="single" w:color="auto" w:sz="4" w:space="0"/>
                    <w:left w:val="single" w:color="auto" w:sz="4" w:space="0"/>
                    <w:right w:val="single" w:color="auto" w:sz="4" w:space="0"/>
                  </w:tcBorders>
                  <w:noWrap w:val="0"/>
                  <w:tcMar>
                    <w:top w:w="15" w:type="dxa"/>
                    <w:left w:w="15" w:type="dxa"/>
                    <w:bottom w:w="0" w:type="dxa"/>
                    <w:right w:w="15" w:type="dxa"/>
                  </w:tcMar>
                  <w:vAlign w:val="center"/>
                </w:tcPr>
                <w:p>
                  <w:pPr>
                    <w:jc w:val="center"/>
                    <w:rPr>
                      <w:b/>
                      <w:bCs/>
                      <w:color w:val="auto"/>
                    </w:rPr>
                  </w:pPr>
                  <w:r>
                    <w:rPr>
                      <w:b/>
                      <w:bCs/>
                      <w:color w:val="auto"/>
                    </w:rPr>
                    <w:t>预测点</w:t>
                  </w:r>
                </w:p>
              </w:tc>
              <w:tc>
                <w:tcPr>
                  <w:tcW w:w="2284" w:type="dxa"/>
                  <w:vMerge w:val="restart"/>
                  <w:tcBorders>
                    <w:top w:val="single" w:color="auto" w:sz="4" w:space="0"/>
                    <w:left w:val="nil"/>
                    <w:right w:val="single" w:color="auto" w:sz="4" w:space="0"/>
                  </w:tcBorders>
                  <w:noWrap w:val="0"/>
                  <w:tcMar>
                    <w:top w:w="15" w:type="dxa"/>
                    <w:left w:w="15" w:type="dxa"/>
                    <w:bottom w:w="0" w:type="dxa"/>
                    <w:right w:w="15" w:type="dxa"/>
                  </w:tcMar>
                  <w:vAlign w:val="center"/>
                </w:tcPr>
                <w:p>
                  <w:pPr>
                    <w:jc w:val="center"/>
                    <w:rPr>
                      <w:b/>
                      <w:bCs/>
                      <w:color w:val="auto"/>
                    </w:rPr>
                  </w:pPr>
                  <w:r>
                    <w:rPr>
                      <w:b/>
                      <w:bCs/>
                      <w:color w:val="auto"/>
                    </w:rPr>
                    <w:t>贡献值</w:t>
                  </w:r>
                </w:p>
              </w:tc>
              <w:tc>
                <w:tcPr>
                  <w:tcW w:w="3845" w:type="dxa"/>
                  <w:gridSpan w:val="2"/>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eastAsia="宋体"/>
                      <w:b/>
                      <w:bCs/>
                      <w:color w:val="auto"/>
                      <w:lang w:eastAsia="zh-CN"/>
                    </w:rPr>
                  </w:pPr>
                  <w:r>
                    <w:rPr>
                      <w:rFonts w:hint="eastAsia"/>
                      <w:b/>
                      <w:bCs/>
                      <w:color w:val="auto"/>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vMerge w:val="continue"/>
                  <w:tcBorders>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b/>
                      <w:bCs/>
                      <w:color w:val="auto"/>
                    </w:rPr>
                  </w:pPr>
                </w:p>
              </w:tc>
              <w:tc>
                <w:tcPr>
                  <w:tcW w:w="2284" w:type="dxa"/>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pPr>
                    <w:jc w:val="center"/>
                    <w:rPr>
                      <w:b/>
                      <w:bCs/>
                      <w:color w:val="auto"/>
                    </w:rPr>
                  </w:pPr>
                </w:p>
              </w:tc>
              <w:tc>
                <w:tcPr>
                  <w:tcW w:w="1908"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b/>
                      <w:bCs/>
                      <w:color w:val="auto"/>
                    </w:rPr>
                  </w:pPr>
                  <w:r>
                    <w:rPr>
                      <w:b/>
                      <w:bCs/>
                      <w:color w:val="auto"/>
                    </w:rPr>
                    <w:t>昼</w:t>
                  </w:r>
                </w:p>
              </w:tc>
              <w:tc>
                <w:tcPr>
                  <w:tcW w:w="1937"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b/>
                      <w:bCs/>
                      <w:color w:val="auto"/>
                    </w:rPr>
                  </w:pPr>
                  <w:r>
                    <w:rPr>
                      <w:b/>
                      <w:bCs/>
                      <w:color w:val="auto"/>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color w:val="auto"/>
                    </w:rPr>
                    <w:t>东厂界</w:t>
                  </w:r>
                </w:p>
              </w:tc>
              <w:tc>
                <w:tcPr>
                  <w:tcW w:w="2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rFonts w:hint="eastAsia"/>
                      <w:color w:val="auto"/>
                      <w:lang w:val="en-US" w:eastAsia="zh-CN"/>
                    </w:rPr>
                    <w:t>3</w:t>
                  </w:r>
                  <w:r>
                    <w:rPr>
                      <w:rFonts w:hint="eastAsia"/>
                      <w:color w:val="auto"/>
                    </w:rPr>
                    <w:t>5.6</w:t>
                  </w:r>
                </w:p>
              </w:tc>
              <w:tc>
                <w:tcPr>
                  <w:tcW w:w="1908" w:type="dxa"/>
                  <w:vMerge w:val="restart"/>
                  <w:tcBorders>
                    <w:top w:val="single" w:color="auto" w:sz="4" w:space="0"/>
                    <w:left w:val="nil"/>
                    <w:right w:val="single" w:color="auto" w:sz="4" w:space="0"/>
                  </w:tcBorders>
                  <w:noWrap w:val="0"/>
                  <w:tcMar>
                    <w:top w:w="15" w:type="dxa"/>
                    <w:left w:w="15" w:type="dxa"/>
                    <w:bottom w:w="0" w:type="dxa"/>
                    <w:right w:w="15" w:type="dxa"/>
                  </w:tcMar>
                  <w:vAlign w:val="center"/>
                </w:tcPr>
                <w:p>
                  <w:pPr>
                    <w:jc w:val="center"/>
                    <w:rPr>
                      <w:rFonts w:hint="default" w:eastAsia="宋体"/>
                      <w:color w:val="auto"/>
                      <w:lang w:val="en-US" w:eastAsia="zh-CN"/>
                    </w:rPr>
                  </w:pPr>
                  <w:r>
                    <w:rPr>
                      <w:rFonts w:hint="eastAsia"/>
                      <w:color w:val="auto"/>
                      <w:lang w:val="en-US" w:eastAsia="zh-CN"/>
                    </w:rPr>
                    <w:t>65</w:t>
                  </w:r>
                </w:p>
              </w:tc>
              <w:tc>
                <w:tcPr>
                  <w:tcW w:w="1937" w:type="dxa"/>
                  <w:vMerge w:val="restart"/>
                  <w:tcBorders>
                    <w:top w:val="single" w:color="auto" w:sz="4" w:space="0"/>
                    <w:left w:val="nil"/>
                    <w:right w:val="single" w:color="auto" w:sz="4" w:space="0"/>
                  </w:tcBorders>
                  <w:noWrap w:val="0"/>
                  <w:tcMar>
                    <w:top w:w="15" w:type="dxa"/>
                    <w:left w:w="15" w:type="dxa"/>
                    <w:bottom w:w="0" w:type="dxa"/>
                    <w:right w:w="15" w:type="dxa"/>
                  </w:tcMar>
                  <w:vAlign w:val="center"/>
                </w:tcPr>
                <w:p>
                  <w:pPr>
                    <w:jc w:val="center"/>
                    <w:rPr>
                      <w:rFonts w:hint="default" w:eastAsia="宋体"/>
                      <w:color w:val="auto"/>
                      <w:lang w:val="en-US" w:eastAsia="zh-CN"/>
                    </w:rPr>
                  </w:pPr>
                  <w:r>
                    <w:rPr>
                      <w:rFonts w:hint="eastAsia"/>
                      <w:color w:val="auto"/>
                      <w:lang w:val="en-US" w:eastAsia="zh-C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color w:val="auto"/>
                    </w:rPr>
                    <w:t>南厂界</w:t>
                  </w:r>
                </w:p>
              </w:tc>
              <w:tc>
                <w:tcPr>
                  <w:tcW w:w="2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rFonts w:hint="eastAsia" w:eastAsia="宋体"/>
                      <w:color w:val="auto"/>
                      <w:lang w:val="en-US" w:eastAsia="zh-CN"/>
                    </w:rPr>
                  </w:pPr>
                  <w:r>
                    <w:rPr>
                      <w:rFonts w:hint="eastAsia"/>
                      <w:color w:val="auto"/>
                      <w:lang w:val="en-US" w:eastAsia="zh-CN"/>
                    </w:rPr>
                    <w:t>42</w:t>
                  </w:r>
                  <w:r>
                    <w:rPr>
                      <w:color w:val="auto"/>
                    </w:rPr>
                    <w:t>.</w:t>
                  </w:r>
                  <w:r>
                    <w:rPr>
                      <w:rFonts w:hint="eastAsia"/>
                      <w:color w:val="auto"/>
                      <w:lang w:val="en-US" w:eastAsia="zh-CN"/>
                    </w:rPr>
                    <w:t>7</w:t>
                  </w:r>
                </w:p>
              </w:tc>
              <w:tc>
                <w:tcPr>
                  <w:tcW w:w="1908" w:type="dxa"/>
                  <w:vMerge w:val="continue"/>
                  <w:tcBorders>
                    <w:left w:val="nil"/>
                    <w:right w:val="single" w:color="auto" w:sz="4" w:space="0"/>
                  </w:tcBorders>
                  <w:noWrap w:val="0"/>
                  <w:tcMar>
                    <w:top w:w="15" w:type="dxa"/>
                    <w:left w:w="15" w:type="dxa"/>
                    <w:bottom w:w="0" w:type="dxa"/>
                    <w:right w:w="15" w:type="dxa"/>
                  </w:tcMar>
                  <w:vAlign w:val="center"/>
                </w:tcPr>
                <w:p>
                  <w:pPr>
                    <w:jc w:val="center"/>
                    <w:rPr>
                      <w:color w:val="auto"/>
                    </w:rPr>
                  </w:pPr>
                </w:p>
              </w:tc>
              <w:tc>
                <w:tcPr>
                  <w:tcW w:w="1937" w:type="dxa"/>
                  <w:vMerge w:val="continue"/>
                  <w:tcBorders>
                    <w:left w:val="nil"/>
                    <w:right w:val="single" w:color="auto" w:sz="4" w:space="0"/>
                  </w:tcBorders>
                  <w:noWrap w:val="0"/>
                  <w:tcMar>
                    <w:top w:w="15" w:type="dxa"/>
                    <w:left w:w="15" w:type="dxa"/>
                    <w:bottom w:w="0" w:type="dxa"/>
                    <w:right w:w="15" w:type="dxa"/>
                  </w:tcMar>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2" w:hRule="atLeast"/>
                <w:jc w:val="center"/>
              </w:trPr>
              <w:tc>
                <w:tcPr>
                  <w:tcW w:w="248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color w:val="auto"/>
                    </w:rPr>
                    <w:t>西厂界</w:t>
                  </w:r>
                </w:p>
              </w:tc>
              <w:tc>
                <w:tcPr>
                  <w:tcW w:w="2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color w:val="auto"/>
                    </w:rPr>
                    <w:t>44.3</w:t>
                  </w:r>
                </w:p>
              </w:tc>
              <w:tc>
                <w:tcPr>
                  <w:tcW w:w="1908" w:type="dxa"/>
                  <w:vMerge w:val="continue"/>
                  <w:tcBorders>
                    <w:left w:val="nil"/>
                    <w:right w:val="single" w:color="auto" w:sz="4" w:space="0"/>
                  </w:tcBorders>
                  <w:noWrap w:val="0"/>
                  <w:tcMar>
                    <w:top w:w="15" w:type="dxa"/>
                    <w:left w:w="15" w:type="dxa"/>
                    <w:bottom w:w="0" w:type="dxa"/>
                    <w:right w:w="15" w:type="dxa"/>
                  </w:tcMar>
                  <w:vAlign w:val="center"/>
                </w:tcPr>
                <w:p>
                  <w:pPr>
                    <w:jc w:val="center"/>
                    <w:rPr>
                      <w:color w:val="auto"/>
                    </w:rPr>
                  </w:pPr>
                </w:p>
              </w:tc>
              <w:tc>
                <w:tcPr>
                  <w:tcW w:w="1937" w:type="dxa"/>
                  <w:vMerge w:val="continue"/>
                  <w:tcBorders>
                    <w:left w:val="nil"/>
                    <w:right w:val="single" w:color="auto" w:sz="4" w:space="0"/>
                  </w:tcBorders>
                  <w:noWrap w:val="0"/>
                  <w:tcMar>
                    <w:top w:w="15" w:type="dxa"/>
                    <w:left w:w="15" w:type="dxa"/>
                    <w:bottom w:w="0" w:type="dxa"/>
                    <w:right w:w="15" w:type="dxa"/>
                  </w:tcMar>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3" w:hRule="atLeast"/>
                <w:jc w:val="center"/>
              </w:trPr>
              <w:tc>
                <w:tcPr>
                  <w:tcW w:w="2488"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color w:val="auto"/>
                    </w:rPr>
                    <w:t>北厂界</w:t>
                  </w:r>
                </w:p>
              </w:tc>
              <w:tc>
                <w:tcPr>
                  <w:tcW w:w="2284" w:type="dxa"/>
                  <w:tcBorders>
                    <w:top w:val="single" w:color="auto" w:sz="4" w:space="0"/>
                    <w:left w:val="nil"/>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r>
                    <w:rPr>
                      <w:rFonts w:hint="eastAsia"/>
                      <w:color w:val="auto"/>
                      <w:lang w:val="en-US" w:eastAsia="zh-CN"/>
                    </w:rPr>
                    <w:t>42</w:t>
                  </w:r>
                  <w:r>
                    <w:rPr>
                      <w:color w:val="auto"/>
                    </w:rPr>
                    <w:t>.</w:t>
                  </w:r>
                  <w:r>
                    <w:rPr>
                      <w:rFonts w:hint="eastAsia"/>
                      <w:color w:val="auto"/>
                      <w:lang w:val="en-US" w:eastAsia="zh-CN"/>
                    </w:rPr>
                    <w:t>2</w:t>
                  </w:r>
                </w:p>
              </w:tc>
              <w:tc>
                <w:tcPr>
                  <w:tcW w:w="1908" w:type="dxa"/>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p>
              </w:tc>
              <w:tc>
                <w:tcPr>
                  <w:tcW w:w="1937" w:type="dxa"/>
                  <w:vMerge w:val="continue"/>
                  <w:tcBorders>
                    <w:left w:val="nil"/>
                    <w:bottom w:val="single" w:color="auto" w:sz="4" w:space="0"/>
                    <w:right w:val="single" w:color="auto" w:sz="4" w:space="0"/>
                  </w:tcBorders>
                  <w:noWrap w:val="0"/>
                  <w:tcMar>
                    <w:top w:w="15" w:type="dxa"/>
                    <w:left w:w="15" w:type="dxa"/>
                    <w:bottom w:w="0" w:type="dxa"/>
                    <w:right w:w="15" w:type="dxa"/>
                  </w:tcMar>
                  <w:vAlign w:val="center"/>
                </w:tcPr>
                <w:p>
                  <w:pPr>
                    <w:jc w:val="center"/>
                    <w:rPr>
                      <w:color w:val="auto"/>
                    </w:rPr>
                  </w:pPr>
                </w:p>
              </w:tc>
            </w:tr>
          </w:tbl>
          <w:p>
            <w:pPr>
              <w:spacing w:line="360" w:lineRule="auto"/>
              <w:ind w:firstLine="480" w:firstLineChars="200"/>
              <w:rPr>
                <w:color w:val="auto"/>
                <w:sz w:val="24"/>
              </w:rPr>
            </w:pPr>
            <w:r>
              <w:rPr>
                <w:color w:val="auto"/>
                <w:sz w:val="24"/>
              </w:rPr>
              <w:t>经预测厂界噪声能够满足《工业企业厂界环境噪声排放标准》（GB12348-2008）中3类标准，项目周边50m范围内无声环境保护目标，因此本项目建设对区域声环境造成的不利影响较小。</w:t>
            </w:r>
          </w:p>
          <w:p>
            <w:pPr>
              <w:pStyle w:val="3"/>
              <w:ind w:left="0" w:leftChars="0" w:firstLine="480"/>
              <w:rPr>
                <w:color w:val="auto"/>
                <w:sz w:val="24"/>
              </w:rPr>
            </w:pPr>
            <w:r>
              <w:rPr>
                <w:color w:val="auto"/>
                <w:sz w:val="24"/>
              </w:rPr>
              <w:t>本项目厂界噪声监测要求如下：</w:t>
            </w:r>
          </w:p>
          <w:p>
            <w:pPr>
              <w:widowControl/>
              <w:numPr>
                <w:ilvl w:val="0"/>
                <w:numId w:val="2"/>
              </w:numPr>
              <w:jc w:val="center"/>
              <w:rPr>
                <w:b/>
                <w:bCs/>
                <w:color w:val="auto"/>
              </w:rPr>
            </w:pPr>
            <w:r>
              <w:rPr>
                <w:b/>
                <w:bCs/>
                <w:color w:val="auto"/>
              </w:rPr>
              <w:t>本项目厂界噪声检测要求</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552"/>
              <w:gridCol w:w="2219"/>
              <w:gridCol w:w="1750"/>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16" w:type="dxa"/>
                  <w:noWrap w:val="0"/>
                  <w:vAlign w:val="center"/>
                </w:tcPr>
                <w:p>
                  <w:pPr>
                    <w:jc w:val="center"/>
                    <w:rPr>
                      <w:b/>
                      <w:bCs/>
                      <w:color w:val="auto"/>
                    </w:rPr>
                  </w:pPr>
                  <w:r>
                    <w:rPr>
                      <w:b/>
                      <w:bCs/>
                      <w:color w:val="auto"/>
                    </w:rPr>
                    <w:t>测点编号</w:t>
                  </w:r>
                </w:p>
              </w:tc>
              <w:tc>
                <w:tcPr>
                  <w:tcW w:w="1552" w:type="dxa"/>
                  <w:noWrap w:val="0"/>
                  <w:vAlign w:val="center"/>
                </w:tcPr>
                <w:p>
                  <w:pPr>
                    <w:jc w:val="center"/>
                    <w:rPr>
                      <w:b/>
                      <w:bCs/>
                      <w:color w:val="auto"/>
                    </w:rPr>
                  </w:pPr>
                  <w:r>
                    <w:rPr>
                      <w:b/>
                      <w:bCs/>
                      <w:color w:val="auto"/>
                    </w:rPr>
                    <w:t>监测点位</w:t>
                  </w:r>
                </w:p>
              </w:tc>
              <w:tc>
                <w:tcPr>
                  <w:tcW w:w="2219" w:type="dxa"/>
                  <w:noWrap w:val="0"/>
                  <w:vAlign w:val="center"/>
                </w:tcPr>
                <w:p>
                  <w:pPr>
                    <w:jc w:val="center"/>
                    <w:rPr>
                      <w:b/>
                      <w:bCs/>
                      <w:color w:val="auto"/>
                    </w:rPr>
                  </w:pPr>
                  <w:r>
                    <w:rPr>
                      <w:b/>
                      <w:bCs/>
                      <w:color w:val="auto"/>
                    </w:rPr>
                    <w:t>测点位置</w:t>
                  </w:r>
                </w:p>
              </w:tc>
              <w:tc>
                <w:tcPr>
                  <w:tcW w:w="1750" w:type="dxa"/>
                  <w:noWrap w:val="0"/>
                  <w:vAlign w:val="center"/>
                </w:tcPr>
                <w:p>
                  <w:pPr>
                    <w:jc w:val="center"/>
                    <w:rPr>
                      <w:b/>
                      <w:bCs/>
                      <w:color w:val="auto"/>
                    </w:rPr>
                  </w:pPr>
                  <w:r>
                    <w:rPr>
                      <w:b/>
                      <w:bCs/>
                      <w:color w:val="auto"/>
                    </w:rPr>
                    <w:t>监测因子</w:t>
                  </w:r>
                </w:p>
              </w:tc>
              <w:tc>
                <w:tcPr>
                  <w:tcW w:w="1780" w:type="dxa"/>
                  <w:noWrap w:val="0"/>
                  <w:vAlign w:val="center"/>
                </w:tcPr>
                <w:p>
                  <w:pPr>
                    <w:jc w:val="center"/>
                    <w:rPr>
                      <w:b/>
                      <w:bCs/>
                      <w:color w:val="auto"/>
                    </w:rPr>
                  </w:pPr>
                  <w:r>
                    <w:rPr>
                      <w:b/>
                      <w:bCs/>
                      <w:color w:val="auto"/>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16" w:type="dxa"/>
                  <w:noWrap w:val="0"/>
                  <w:vAlign w:val="center"/>
                </w:tcPr>
                <w:p>
                  <w:pPr>
                    <w:jc w:val="center"/>
                    <w:rPr>
                      <w:color w:val="auto"/>
                    </w:rPr>
                  </w:pPr>
                  <w:r>
                    <w:rPr>
                      <w:color w:val="auto"/>
                    </w:rPr>
                    <w:t>N1</w:t>
                  </w:r>
                </w:p>
              </w:tc>
              <w:tc>
                <w:tcPr>
                  <w:tcW w:w="1552" w:type="dxa"/>
                  <w:noWrap w:val="0"/>
                  <w:vAlign w:val="center"/>
                </w:tcPr>
                <w:p>
                  <w:pPr>
                    <w:jc w:val="center"/>
                    <w:rPr>
                      <w:color w:val="auto"/>
                    </w:rPr>
                  </w:pPr>
                  <w:r>
                    <w:rPr>
                      <w:color w:val="auto"/>
                    </w:rPr>
                    <w:t>厂界东</w:t>
                  </w:r>
                </w:p>
              </w:tc>
              <w:tc>
                <w:tcPr>
                  <w:tcW w:w="2219" w:type="dxa"/>
                  <w:noWrap w:val="0"/>
                  <w:vAlign w:val="center"/>
                </w:tcPr>
                <w:p>
                  <w:pPr>
                    <w:jc w:val="center"/>
                    <w:rPr>
                      <w:color w:val="auto"/>
                    </w:rPr>
                  </w:pPr>
                  <w:r>
                    <w:rPr>
                      <w:color w:val="auto"/>
                    </w:rPr>
                    <w:t>东厂界外1m</w:t>
                  </w:r>
                </w:p>
              </w:tc>
              <w:tc>
                <w:tcPr>
                  <w:tcW w:w="1750" w:type="dxa"/>
                  <w:vMerge w:val="restart"/>
                  <w:noWrap w:val="0"/>
                  <w:vAlign w:val="center"/>
                </w:tcPr>
                <w:p>
                  <w:pPr>
                    <w:jc w:val="center"/>
                    <w:rPr>
                      <w:color w:val="auto"/>
                    </w:rPr>
                  </w:pPr>
                  <w:r>
                    <w:rPr>
                      <w:color w:val="auto"/>
                    </w:rPr>
                    <w:t>连续等效A声级Leq</w:t>
                  </w:r>
                </w:p>
              </w:tc>
              <w:tc>
                <w:tcPr>
                  <w:tcW w:w="1780" w:type="dxa"/>
                  <w:vMerge w:val="restart"/>
                  <w:noWrap w:val="0"/>
                  <w:vAlign w:val="center"/>
                </w:tcPr>
                <w:p>
                  <w:pPr>
                    <w:jc w:val="center"/>
                    <w:rPr>
                      <w:color w:val="auto"/>
                    </w:rPr>
                  </w:pPr>
                  <w:r>
                    <w:rPr>
                      <w:color w:val="auto"/>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16" w:type="dxa"/>
                  <w:noWrap w:val="0"/>
                  <w:vAlign w:val="center"/>
                </w:tcPr>
                <w:p>
                  <w:pPr>
                    <w:jc w:val="center"/>
                    <w:rPr>
                      <w:color w:val="auto"/>
                    </w:rPr>
                  </w:pPr>
                  <w:r>
                    <w:rPr>
                      <w:color w:val="auto"/>
                    </w:rPr>
                    <w:t>N2</w:t>
                  </w:r>
                </w:p>
              </w:tc>
              <w:tc>
                <w:tcPr>
                  <w:tcW w:w="1552" w:type="dxa"/>
                  <w:noWrap w:val="0"/>
                  <w:vAlign w:val="center"/>
                </w:tcPr>
                <w:p>
                  <w:pPr>
                    <w:jc w:val="center"/>
                    <w:rPr>
                      <w:color w:val="auto"/>
                    </w:rPr>
                  </w:pPr>
                  <w:r>
                    <w:rPr>
                      <w:color w:val="auto"/>
                    </w:rPr>
                    <w:t>厂界南</w:t>
                  </w:r>
                </w:p>
              </w:tc>
              <w:tc>
                <w:tcPr>
                  <w:tcW w:w="2219" w:type="dxa"/>
                  <w:noWrap w:val="0"/>
                  <w:vAlign w:val="center"/>
                </w:tcPr>
                <w:p>
                  <w:pPr>
                    <w:jc w:val="center"/>
                    <w:rPr>
                      <w:color w:val="auto"/>
                    </w:rPr>
                  </w:pPr>
                  <w:r>
                    <w:rPr>
                      <w:color w:val="auto"/>
                    </w:rPr>
                    <w:t>南厂界外1m</w:t>
                  </w:r>
                </w:p>
              </w:tc>
              <w:tc>
                <w:tcPr>
                  <w:tcW w:w="1750" w:type="dxa"/>
                  <w:vMerge w:val="continue"/>
                  <w:noWrap w:val="0"/>
                  <w:vAlign w:val="center"/>
                </w:tcPr>
                <w:p>
                  <w:pPr>
                    <w:jc w:val="center"/>
                    <w:rPr>
                      <w:color w:val="auto"/>
                    </w:rPr>
                  </w:pPr>
                </w:p>
              </w:tc>
              <w:tc>
                <w:tcPr>
                  <w:tcW w:w="1780" w:type="dxa"/>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316" w:type="dxa"/>
                  <w:noWrap w:val="0"/>
                  <w:vAlign w:val="center"/>
                </w:tcPr>
                <w:p>
                  <w:pPr>
                    <w:jc w:val="center"/>
                    <w:rPr>
                      <w:color w:val="auto"/>
                    </w:rPr>
                  </w:pPr>
                  <w:r>
                    <w:rPr>
                      <w:color w:val="auto"/>
                    </w:rPr>
                    <w:t>N3</w:t>
                  </w:r>
                </w:p>
              </w:tc>
              <w:tc>
                <w:tcPr>
                  <w:tcW w:w="1552" w:type="dxa"/>
                  <w:noWrap w:val="0"/>
                  <w:vAlign w:val="center"/>
                </w:tcPr>
                <w:p>
                  <w:pPr>
                    <w:jc w:val="center"/>
                    <w:rPr>
                      <w:color w:val="auto"/>
                    </w:rPr>
                  </w:pPr>
                  <w:r>
                    <w:rPr>
                      <w:color w:val="auto"/>
                    </w:rPr>
                    <w:t>厂界西</w:t>
                  </w:r>
                </w:p>
              </w:tc>
              <w:tc>
                <w:tcPr>
                  <w:tcW w:w="2219" w:type="dxa"/>
                  <w:noWrap w:val="0"/>
                  <w:vAlign w:val="center"/>
                </w:tcPr>
                <w:p>
                  <w:pPr>
                    <w:jc w:val="center"/>
                    <w:rPr>
                      <w:color w:val="auto"/>
                    </w:rPr>
                  </w:pPr>
                  <w:r>
                    <w:rPr>
                      <w:color w:val="auto"/>
                    </w:rPr>
                    <w:t>西厂界外1m</w:t>
                  </w:r>
                </w:p>
              </w:tc>
              <w:tc>
                <w:tcPr>
                  <w:tcW w:w="1750" w:type="dxa"/>
                  <w:vMerge w:val="continue"/>
                  <w:noWrap w:val="0"/>
                  <w:vAlign w:val="center"/>
                </w:tcPr>
                <w:p>
                  <w:pPr>
                    <w:jc w:val="center"/>
                    <w:rPr>
                      <w:color w:val="auto"/>
                    </w:rPr>
                  </w:pPr>
                </w:p>
              </w:tc>
              <w:tc>
                <w:tcPr>
                  <w:tcW w:w="1780" w:type="dxa"/>
                  <w:vMerge w:val="continue"/>
                  <w:noWrap w:val="0"/>
                  <w:vAlign w:val="center"/>
                </w:tcPr>
                <w:p>
                  <w:pPr>
                    <w:jc w:val="center"/>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jc w:val="center"/>
              </w:trPr>
              <w:tc>
                <w:tcPr>
                  <w:tcW w:w="1316" w:type="dxa"/>
                  <w:noWrap w:val="0"/>
                  <w:vAlign w:val="center"/>
                </w:tcPr>
                <w:p>
                  <w:pPr>
                    <w:jc w:val="center"/>
                    <w:rPr>
                      <w:color w:val="auto"/>
                    </w:rPr>
                  </w:pPr>
                  <w:r>
                    <w:rPr>
                      <w:color w:val="auto"/>
                    </w:rPr>
                    <w:t>N4</w:t>
                  </w:r>
                </w:p>
              </w:tc>
              <w:tc>
                <w:tcPr>
                  <w:tcW w:w="1552" w:type="dxa"/>
                  <w:noWrap w:val="0"/>
                  <w:vAlign w:val="center"/>
                </w:tcPr>
                <w:p>
                  <w:pPr>
                    <w:jc w:val="center"/>
                    <w:rPr>
                      <w:color w:val="auto"/>
                    </w:rPr>
                  </w:pPr>
                  <w:r>
                    <w:rPr>
                      <w:color w:val="auto"/>
                    </w:rPr>
                    <w:t>厂界北</w:t>
                  </w:r>
                </w:p>
              </w:tc>
              <w:tc>
                <w:tcPr>
                  <w:tcW w:w="2219" w:type="dxa"/>
                  <w:noWrap w:val="0"/>
                  <w:vAlign w:val="center"/>
                </w:tcPr>
                <w:p>
                  <w:pPr>
                    <w:jc w:val="center"/>
                    <w:rPr>
                      <w:color w:val="auto"/>
                    </w:rPr>
                  </w:pPr>
                  <w:r>
                    <w:rPr>
                      <w:color w:val="auto"/>
                    </w:rPr>
                    <w:t>北厂界外1m</w:t>
                  </w:r>
                </w:p>
              </w:tc>
              <w:tc>
                <w:tcPr>
                  <w:tcW w:w="1750" w:type="dxa"/>
                  <w:vMerge w:val="continue"/>
                  <w:noWrap w:val="0"/>
                  <w:vAlign w:val="center"/>
                </w:tcPr>
                <w:p>
                  <w:pPr>
                    <w:jc w:val="center"/>
                    <w:rPr>
                      <w:color w:val="auto"/>
                    </w:rPr>
                  </w:pPr>
                </w:p>
              </w:tc>
              <w:tc>
                <w:tcPr>
                  <w:tcW w:w="1780" w:type="dxa"/>
                  <w:vMerge w:val="continue"/>
                  <w:noWrap w:val="0"/>
                  <w:vAlign w:val="center"/>
                </w:tcPr>
                <w:p>
                  <w:pPr>
                    <w:jc w:val="center"/>
                    <w:rPr>
                      <w:color w:val="auto"/>
                    </w:rPr>
                  </w:pPr>
                </w:p>
              </w:tc>
            </w:tr>
          </w:tbl>
          <w:p>
            <w:pPr>
              <w:pStyle w:val="3"/>
              <w:ind w:left="0" w:leftChars="0"/>
              <w:rPr>
                <w:rFonts w:hint="eastAsia"/>
                <w:color w:val="auto"/>
              </w:rPr>
            </w:pPr>
          </w:p>
        </w:tc>
      </w:tr>
    </w:tbl>
    <w:p>
      <w:pPr>
        <w:pStyle w:val="18"/>
        <w:jc w:val="center"/>
        <w:outlineLvl w:val="0"/>
        <w:rPr>
          <w:rFonts w:hint="eastAsia" w:ascii="黑体" w:hAnsi="黑体" w:eastAsia="黑体"/>
          <w:snapToGrid w:val="0"/>
          <w:color w:val="auto"/>
          <w:sz w:val="30"/>
          <w:szCs w:val="30"/>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35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62" w:hRule="atLeast"/>
          <w:jc w:val="center"/>
        </w:trPr>
        <w:tc>
          <w:tcPr>
            <w:tcW w:w="75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黑体" w:hAnsi="黑体" w:eastAsia="黑体"/>
                <w:snapToGrid w:val="0"/>
                <w:color w:val="auto"/>
                <w:sz w:val="30"/>
                <w:szCs w:val="30"/>
              </w:rPr>
            </w:pPr>
            <w:r>
              <w:rPr>
                <w:rFonts w:hint="eastAsia" w:ascii="宋体" w:hAnsi="宋体" w:cs="宋体"/>
                <w:b/>
                <w:bCs/>
                <w:color w:val="auto"/>
                <w:szCs w:val="21"/>
              </w:rPr>
              <w:t>保护措施</w:t>
            </w:r>
          </w:p>
        </w:tc>
        <w:tc>
          <w:tcPr>
            <w:tcW w:w="13557" w:type="dxa"/>
            <w:noWrap w:val="0"/>
            <w:vAlign w:val="top"/>
          </w:tcPr>
          <w:p>
            <w:pPr>
              <w:spacing w:line="360" w:lineRule="auto"/>
              <w:ind w:firstLine="482" w:firstLineChars="200"/>
              <w:rPr>
                <w:rFonts w:hint="eastAsia"/>
                <w:b/>
                <w:bCs/>
                <w:color w:val="auto"/>
                <w:sz w:val="24"/>
              </w:rPr>
            </w:pPr>
            <w:r>
              <w:rPr>
                <w:rFonts w:hint="eastAsia"/>
                <w:b/>
                <w:bCs/>
                <w:color w:val="auto"/>
                <w:sz w:val="24"/>
              </w:rPr>
              <w:t>（四）固体废物</w:t>
            </w:r>
          </w:p>
          <w:p>
            <w:pPr>
              <w:pStyle w:val="17"/>
              <w:widowControl/>
              <w:spacing w:after="0" w:line="360" w:lineRule="auto"/>
              <w:ind w:firstLine="480" w:firstLineChars="200"/>
              <w:rPr>
                <w:rFonts w:hint="eastAsia"/>
                <w:color w:val="auto"/>
              </w:rPr>
            </w:pPr>
            <w:r>
              <w:rPr>
                <w:bCs/>
                <w:color w:val="auto"/>
                <w:sz w:val="24"/>
              </w:rPr>
              <w:t>本项目产生的固体废物分为危险废物、一般工业固体废物和生活垃圾。根据《国家危险废物名录》（2021版），本项目产生的危险废物主要</w:t>
            </w:r>
            <w:r>
              <w:rPr>
                <w:rFonts w:hint="eastAsia"/>
                <w:bCs/>
                <w:color w:val="auto"/>
                <w:sz w:val="24"/>
              </w:rPr>
              <w:t>为：</w:t>
            </w:r>
            <w:r>
              <w:rPr>
                <w:bCs/>
                <w:color w:val="auto"/>
                <w:sz w:val="24"/>
              </w:rPr>
              <w:t>废活性炭、废二甲苯</w:t>
            </w:r>
            <w:r>
              <w:rPr>
                <w:rFonts w:hint="eastAsia"/>
                <w:bCs/>
                <w:color w:val="auto"/>
                <w:sz w:val="24"/>
              </w:rPr>
              <w:t>溶液</w:t>
            </w:r>
            <w:r>
              <w:rPr>
                <w:bCs/>
                <w:color w:val="auto"/>
                <w:sz w:val="24"/>
              </w:rPr>
              <w:t>、废矿物油、废助焊剂、</w:t>
            </w:r>
            <w:r>
              <w:rPr>
                <w:rFonts w:hint="eastAsia"/>
                <w:bCs/>
                <w:color w:val="auto"/>
                <w:sz w:val="24"/>
                <w:lang w:eastAsia="zh-CN"/>
              </w:rPr>
              <w:t>废包装桶（助焊剂、二甲苯）</w:t>
            </w:r>
            <w:r>
              <w:rPr>
                <w:bCs/>
                <w:color w:val="auto"/>
                <w:sz w:val="24"/>
              </w:rPr>
              <w:t>。一般工业固废</w:t>
            </w:r>
            <w:r>
              <w:rPr>
                <w:rFonts w:hint="eastAsia"/>
                <w:bCs/>
                <w:color w:val="auto"/>
                <w:sz w:val="24"/>
              </w:rPr>
              <w:t>主要为</w:t>
            </w:r>
            <w:r>
              <w:rPr>
                <w:bCs/>
                <w:color w:val="auto"/>
                <w:sz w:val="24"/>
              </w:rPr>
              <w:t>：废包装袋、废边角料、布袋除尘器收集粉尘、污泥、不合格</w:t>
            </w:r>
            <w:r>
              <w:rPr>
                <w:rFonts w:hint="eastAsia"/>
                <w:bCs/>
                <w:color w:val="auto"/>
                <w:sz w:val="24"/>
                <w:lang w:eastAsia="zh-CN"/>
              </w:rPr>
              <w:t>品</w:t>
            </w:r>
            <w:r>
              <w:rPr>
                <w:bCs/>
                <w:color w:val="auto"/>
                <w:sz w:val="24"/>
              </w:rPr>
              <w:t>、废无尘布</w:t>
            </w:r>
            <w:r>
              <w:rPr>
                <w:rFonts w:hint="eastAsia"/>
                <w:bCs/>
                <w:color w:val="auto"/>
                <w:sz w:val="24"/>
              </w:rPr>
              <w:t>。本项目固体废物产生及处置情况见下表。</w:t>
            </w:r>
          </w:p>
          <w:p>
            <w:pPr>
              <w:widowControl/>
              <w:numPr>
                <w:ilvl w:val="0"/>
                <w:numId w:val="2"/>
              </w:numPr>
              <w:jc w:val="center"/>
              <w:rPr>
                <w:rFonts w:hint="eastAsia"/>
                <w:b/>
                <w:bCs/>
                <w:color w:val="auto"/>
              </w:rPr>
            </w:pPr>
            <w:r>
              <w:rPr>
                <w:b/>
                <w:bCs/>
                <w:color w:val="auto"/>
              </w:rPr>
              <w:t>本项目</w:t>
            </w:r>
            <w:r>
              <w:rPr>
                <w:rFonts w:hint="eastAsia"/>
                <w:b/>
                <w:bCs/>
                <w:color w:val="auto"/>
              </w:rPr>
              <w:t>固体废物产生及排放情况一览表</w:t>
            </w:r>
          </w:p>
          <w:tbl>
            <w:tblPr>
              <w:tblStyle w:val="20"/>
              <w:tblW w:w="0" w:type="auto"/>
              <w:tblInd w:w="0" w:type="dxa"/>
              <w:tblLayout w:type="fixed"/>
              <w:tblCellMar>
                <w:top w:w="0" w:type="dxa"/>
                <w:left w:w="0" w:type="dxa"/>
                <w:bottom w:w="0" w:type="dxa"/>
                <w:right w:w="0" w:type="dxa"/>
              </w:tblCellMar>
            </w:tblPr>
            <w:tblGrid>
              <w:gridCol w:w="733"/>
              <w:gridCol w:w="1160"/>
              <w:gridCol w:w="1575"/>
              <w:gridCol w:w="1145"/>
              <w:gridCol w:w="1160"/>
              <w:gridCol w:w="1160"/>
              <w:gridCol w:w="959"/>
              <w:gridCol w:w="867"/>
              <w:gridCol w:w="959"/>
              <w:gridCol w:w="840"/>
              <w:gridCol w:w="1882"/>
              <w:gridCol w:w="814"/>
            </w:tblGrid>
            <w:tr>
              <w:tblPrEx>
                <w:tblCellMar>
                  <w:top w:w="0" w:type="dxa"/>
                  <w:left w:w="0" w:type="dxa"/>
                  <w:bottom w:w="0" w:type="dxa"/>
                  <w:right w:w="0" w:type="dxa"/>
                </w:tblCellMar>
              </w:tblPrEx>
              <w:trPr>
                <w:trHeight w:val="568"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序号</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产生环节</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固体废</w:t>
                  </w:r>
                </w:p>
                <w:p>
                  <w:pPr>
                    <w:widowControl/>
                    <w:jc w:val="center"/>
                    <w:textAlignment w:val="center"/>
                    <w:rPr>
                      <w:color w:val="auto"/>
                      <w:szCs w:val="21"/>
                    </w:rPr>
                  </w:pPr>
                  <w:r>
                    <w:rPr>
                      <w:rFonts w:hint="eastAsia" w:ascii="宋体" w:hAnsi="宋体" w:cs="宋体"/>
                      <w:color w:val="auto"/>
                      <w:kern w:val="0"/>
                      <w:szCs w:val="21"/>
                      <w:lang w:bidi="ar"/>
                    </w:rPr>
                    <w:t>物名称</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固体废</w:t>
                  </w:r>
                </w:p>
                <w:p>
                  <w:pPr>
                    <w:widowControl/>
                    <w:jc w:val="center"/>
                    <w:textAlignment w:val="center"/>
                    <w:rPr>
                      <w:color w:val="auto"/>
                      <w:szCs w:val="21"/>
                    </w:rPr>
                  </w:pPr>
                  <w:r>
                    <w:rPr>
                      <w:rFonts w:hint="eastAsia" w:ascii="宋体" w:hAnsi="宋体" w:cs="宋体"/>
                      <w:color w:val="auto"/>
                      <w:kern w:val="0"/>
                      <w:szCs w:val="21"/>
                      <w:lang w:bidi="ar"/>
                    </w:rPr>
                    <w:t>物属性</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固废代码</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主要有毒有害物质</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物理</w:t>
                  </w:r>
                  <w:r>
                    <w:rPr>
                      <w:color w:val="auto"/>
                      <w:kern w:val="0"/>
                      <w:szCs w:val="21"/>
                      <w:lang w:bidi="ar"/>
                    </w:rPr>
                    <w:br w:type="textWrapping"/>
                  </w:r>
                  <w:r>
                    <w:rPr>
                      <w:rFonts w:hint="eastAsia" w:ascii="宋体" w:hAnsi="宋体" w:cs="宋体"/>
                      <w:color w:val="auto"/>
                      <w:kern w:val="0"/>
                      <w:szCs w:val="21"/>
                      <w:lang w:bidi="ar"/>
                    </w:rPr>
                    <w:t>性状</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环境</w:t>
                  </w:r>
                  <w:r>
                    <w:rPr>
                      <w:color w:val="auto"/>
                      <w:kern w:val="0"/>
                      <w:szCs w:val="21"/>
                      <w:lang w:bidi="ar"/>
                    </w:rPr>
                    <w:br w:type="textWrapping"/>
                  </w:r>
                  <w:r>
                    <w:rPr>
                      <w:rFonts w:hint="eastAsia" w:ascii="宋体" w:hAnsi="宋体" w:cs="宋体"/>
                      <w:color w:val="auto"/>
                      <w:kern w:val="0"/>
                      <w:szCs w:val="21"/>
                      <w:lang w:bidi="ar"/>
                    </w:rPr>
                    <w:t>危险性</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产生量（</w:t>
                  </w:r>
                  <w:r>
                    <w:rPr>
                      <w:color w:val="auto"/>
                      <w:kern w:val="0"/>
                      <w:szCs w:val="21"/>
                      <w:lang w:bidi="ar"/>
                    </w:rPr>
                    <w:t>t/a</w:t>
                  </w:r>
                  <w:r>
                    <w:rPr>
                      <w:rFonts w:hint="eastAsia" w:ascii="宋体" w:hAnsi="宋体" w:cs="宋体"/>
                      <w:color w:val="auto"/>
                      <w:kern w:val="0"/>
                      <w:szCs w:val="21"/>
                      <w:lang w:bidi="ar"/>
                    </w:rPr>
                    <w:t>）</w:t>
                  </w:r>
                </w:p>
              </w:tc>
              <w:tc>
                <w:tcPr>
                  <w:tcW w:w="8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贮存</w:t>
                  </w:r>
                </w:p>
                <w:p>
                  <w:pPr>
                    <w:widowControl/>
                    <w:jc w:val="center"/>
                    <w:textAlignment w:val="center"/>
                    <w:rPr>
                      <w:color w:val="auto"/>
                      <w:szCs w:val="21"/>
                    </w:rPr>
                  </w:pPr>
                  <w:r>
                    <w:rPr>
                      <w:rFonts w:hint="eastAsia" w:ascii="宋体" w:hAnsi="宋体" w:cs="宋体"/>
                      <w:color w:val="auto"/>
                      <w:kern w:val="0"/>
                      <w:szCs w:val="21"/>
                      <w:lang w:bidi="ar"/>
                    </w:rPr>
                    <w:t>方式</w:t>
                  </w: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处置</w:t>
                  </w:r>
                  <w:r>
                    <w:rPr>
                      <w:color w:val="auto"/>
                      <w:kern w:val="0"/>
                      <w:szCs w:val="21"/>
                      <w:lang w:bidi="ar"/>
                    </w:rPr>
                    <w:t>/</w:t>
                  </w:r>
                  <w:r>
                    <w:rPr>
                      <w:rFonts w:hint="eastAsia" w:ascii="宋体" w:hAnsi="宋体" w:cs="宋体"/>
                      <w:color w:val="auto"/>
                      <w:kern w:val="0"/>
                      <w:szCs w:val="21"/>
                      <w:lang w:bidi="ar"/>
                    </w:rPr>
                    <w:t>利用</w:t>
                  </w:r>
                </w:p>
                <w:p>
                  <w:pPr>
                    <w:widowControl/>
                    <w:jc w:val="center"/>
                    <w:textAlignment w:val="center"/>
                    <w:rPr>
                      <w:color w:val="auto"/>
                      <w:szCs w:val="21"/>
                    </w:rPr>
                  </w:pPr>
                  <w:r>
                    <w:rPr>
                      <w:rFonts w:hint="eastAsia" w:ascii="宋体" w:hAnsi="宋体" w:cs="宋体"/>
                      <w:color w:val="auto"/>
                      <w:kern w:val="0"/>
                      <w:szCs w:val="21"/>
                      <w:lang w:bidi="ar"/>
                    </w:rPr>
                    <w:t>方式</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处置量（</w:t>
                  </w:r>
                  <w:r>
                    <w:rPr>
                      <w:color w:val="auto"/>
                      <w:kern w:val="0"/>
                      <w:szCs w:val="21"/>
                      <w:lang w:bidi="ar"/>
                    </w:rPr>
                    <w:t>t/a</w:t>
                  </w:r>
                  <w:r>
                    <w:rPr>
                      <w:rFonts w:hint="eastAsia" w:ascii="宋体" w:hAnsi="宋体" w:cs="宋体"/>
                      <w:color w:val="auto"/>
                      <w:kern w:val="0"/>
                      <w:szCs w:val="21"/>
                      <w:lang w:bidi="ar"/>
                    </w:rPr>
                    <w:t>）</w:t>
                  </w:r>
                </w:p>
              </w:tc>
            </w:tr>
            <w:tr>
              <w:tblPrEx>
                <w:tblCellMar>
                  <w:top w:w="0" w:type="dxa"/>
                  <w:left w:w="0" w:type="dxa"/>
                  <w:bottom w:w="0" w:type="dxa"/>
                  <w:right w:w="0" w:type="dxa"/>
                </w:tblCellMar>
              </w:tblPrEx>
              <w:trPr>
                <w:trHeight w:val="533"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废气处理</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废活性炭</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900-041-49</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活性炭、有机物</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T/In</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117</w:t>
                  </w:r>
                  <w:r>
                    <w:rPr>
                      <w:rFonts w:hint="eastAsia" w:ascii="Times New Roman" w:hAnsi="Times New Roman"/>
                      <w:bCs/>
                      <w:color w:val="auto"/>
                      <w:kern w:val="2"/>
                      <w:sz w:val="21"/>
                      <w:szCs w:val="21"/>
                      <w:vertAlign w:val="superscript"/>
                    </w:rPr>
                    <w:t>①</w:t>
                  </w:r>
                </w:p>
              </w:tc>
              <w:tc>
                <w:tcPr>
                  <w:tcW w:w="840"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贮存在危废仓库</w:t>
                  </w: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117</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2</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自动划焊</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废助焊剂</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900-404-06</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Fonts w:hint="eastAsia"/>
                      <w:color w:val="auto"/>
                      <w:szCs w:val="21"/>
                      <w:lang w:eastAsia="zh-CN"/>
                    </w:rPr>
                    <w:t>醇类</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液态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T/I</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1.64</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1.64</w:t>
                  </w:r>
                </w:p>
              </w:tc>
            </w:tr>
            <w:tr>
              <w:tblPrEx>
                <w:tblCellMar>
                  <w:top w:w="0" w:type="dxa"/>
                  <w:left w:w="0" w:type="dxa"/>
                  <w:bottom w:w="0" w:type="dxa"/>
                  <w:right w:w="0" w:type="dxa"/>
                </w:tblCellMar>
              </w:tblPrEx>
              <w:trPr>
                <w:trHeight w:val="533"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3</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Fonts w:hint="eastAsia" w:ascii="宋体" w:hAnsi="宋体" w:cs="宋体"/>
                      <w:color w:val="auto"/>
                      <w:kern w:val="0"/>
                      <w:szCs w:val="21"/>
                      <w:lang w:bidi="ar"/>
                    </w:rPr>
                    <w:t>设备维保</w:t>
                  </w:r>
                  <w:r>
                    <w:rPr>
                      <w:rFonts w:hint="eastAsia" w:ascii="宋体" w:hAnsi="宋体" w:cs="宋体"/>
                      <w:color w:val="auto"/>
                      <w:kern w:val="0"/>
                      <w:szCs w:val="21"/>
                      <w:lang w:eastAsia="zh-CN" w:bidi="ar"/>
                    </w:rPr>
                    <w:t>、废气处理</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废矿物油</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900-2</w:t>
                  </w:r>
                  <w:r>
                    <w:rPr>
                      <w:rFonts w:hint="eastAsia"/>
                      <w:color w:val="auto"/>
                      <w:kern w:val="0"/>
                      <w:szCs w:val="21"/>
                      <w:lang w:val="en-US" w:eastAsia="zh-CN" w:bidi="ar"/>
                    </w:rPr>
                    <w:t>49</w:t>
                  </w:r>
                  <w:r>
                    <w:rPr>
                      <w:color w:val="auto"/>
                      <w:kern w:val="0"/>
                      <w:szCs w:val="21"/>
                      <w:lang w:bidi="ar"/>
                    </w:rPr>
                    <w:t>-08</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矿物油</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液态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T</w:t>
                  </w:r>
                  <w:r>
                    <w:rPr>
                      <w:rFonts w:hint="eastAsia" w:ascii="宋体" w:hAnsi="宋体" w:cs="宋体"/>
                      <w:color w:val="auto"/>
                      <w:kern w:val="0"/>
                      <w:szCs w:val="21"/>
                      <w:lang w:bidi="ar"/>
                    </w:rPr>
                    <w:t>，</w:t>
                  </w:r>
                  <w:r>
                    <w:rPr>
                      <w:color w:val="auto"/>
                      <w:kern w:val="0"/>
                      <w:szCs w:val="21"/>
                      <w:lang w:bidi="ar"/>
                    </w:rPr>
                    <w:t>I</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25</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25</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4</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EVA</w:t>
                  </w:r>
                  <w:r>
                    <w:rPr>
                      <w:rFonts w:hint="eastAsia" w:ascii="宋体" w:hAnsi="宋体" w:cs="宋体"/>
                      <w:color w:val="auto"/>
                      <w:kern w:val="0"/>
                      <w:szCs w:val="21"/>
                      <w:lang w:bidi="ar"/>
                    </w:rPr>
                    <w:t>检测</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auto"/>
                      <w:kern w:val="0"/>
                      <w:szCs w:val="21"/>
                      <w:lang w:bidi="ar"/>
                    </w:rPr>
                  </w:pPr>
                  <w:r>
                    <w:rPr>
                      <w:rFonts w:ascii="宋体" w:hAnsi="宋体" w:cs="宋体"/>
                      <w:color w:val="auto"/>
                      <w:kern w:val="0"/>
                      <w:szCs w:val="21"/>
                      <w:lang w:bidi="ar"/>
                    </w:rPr>
                    <w:t>废二甲苯</w:t>
                  </w:r>
                  <w:r>
                    <w:rPr>
                      <w:rFonts w:hint="eastAsia" w:ascii="宋体" w:hAnsi="宋体" w:cs="宋体"/>
                      <w:color w:val="auto"/>
                      <w:kern w:val="0"/>
                      <w:szCs w:val="21"/>
                      <w:lang w:bidi="ar"/>
                    </w:rPr>
                    <w:t>溶液</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ascii="宋体" w:hAnsi="宋体" w:cs="宋体"/>
                      <w:color w:val="auto"/>
                      <w:kern w:val="0"/>
                      <w:szCs w:val="21"/>
                      <w:lang w:bidi="ar"/>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900-402-06</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二甲苯</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液态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T</w:t>
                  </w:r>
                  <w:r>
                    <w:rPr>
                      <w:rFonts w:hint="eastAsia" w:ascii="宋体" w:hAnsi="宋体" w:cs="宋体"/>
                      <w:color w:val="auto"/>
                      <w:kern w:val="0"/>
                      <w:szCs w:val="21"/>
                      <w:lang w:bidi="ar"/>
                    </w:rPr>
                    <w:t>，</w:t>
                  </w:r>
                  <w:r>
                    <w:rPr>
                      <w:color w:val="auto"/>
                      <w:kern w:val="0"/>
                      <w:szCs w:val="21"/>
                      <w:lang w:bidi="ar"/>
                    </w:rPr>
                    <w:t>I</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0.28</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0.28</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5</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原辅料使用</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ascii="宋体" w:hAnsi="宋体" w:cs="宋体"/>
                      <w:color w:val="auto"/>
                      <w:kern w:val="0"/>
                      <w:szCs w:val="21"/>
                      <w:lang w:bidi="ar"/>
                    </w:rPr>
                    <w:t>废</w:t>
                  </w:r>
                  <w:r>
                    <w:rPr>
                      <w:rFonts w:hint="eastAsia" w:ascii="宋体" w:hAnsi="宋体" w:cs="宋体"/>
                      <w:color w:val="auto"/>
                      <w:kern w:val="0"/>
                      <w:szCs w:val="21"/>
                      <w:lang w:eastAsia="zh-CN" w:bidi="ar"/>
                    </w:rPr>
                    <w:t>包装</w:t>
                  </w:r>
                  <w:r>
                    <w:rPr>
                      <w:rFonts w:hint="eastAsia" w:ascii="宋体" w:hAnsi="宋体" w:cs="宋体"/>
                      <w:color w:val="auto"/>
                      <w:kern w:val="0"/>
                      <w:szCs w:val="21"/>
                      <w:lang w:bidi="ar"/>
                    </w:rPr>
                    <w:t>桶</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900-041-49</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有机物</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T/In</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6</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设备维保</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eastAsia="宋体" w:cs="宋体"/>
                      <w:color w:val="auto"/>
                      <w:kern w:val="0"/>
                      <w:szCs w:val="21"/>
                      <w:lang w:eastAsia="zh-CN" w:bidi="ar"/>
                    </w:rPr>
                  </w:pPr>
                  <w:r>
                    <w:rPr>
                      <w:rFonts w:hint="eastAsia" w:ascii="宋体" w:hAnsi="宋体" w:cs="宋体"/>
                      <w:color w:val="auto"/>
                      <w:kern w:val="0"/>
                      <w:szCs w:val="21"/>
                      <w:lang w:eastAsia="zh-CN" w:bidi="ar"/>
                    </w:rPr>
                    <w:t>废矿物油桶</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危险废物</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900-249-08</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矿物油</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color w:val="auto"/>
                      <w:kern w:val="0"/>
                      <w:szCs w:val="21"/>
                      <w:lang w:bidi="ar"/>
                    </w:rPr>
                    <w:t>T</w:t>
                  </w:r>
                  <w:r>
                    <w:rPr>
                      <w:rFonts w:hint="eastAsia" w:ascii="宋体" w:hAnsi="宋体" w:cs="宋体"/>
                      <w:color w:val="auto"/>
                      <w:kern w:val="0"/>
                      <w:szCs w:val="21"/>
                      <w:lang w:bidi="ar"/>
                    </w:rPr>
                    <w:t>，</w:t>
                  </w:r>
                  <w:r>
                    <w:rPr>
                      <w:color w:val="auto"/>
                      <w:kern w:val="0"/>
                      <w:szCs w:val="21"/>
                      <w:lang w:bidi="ar"/>
                    </w:rPr>
                    <w:t>I</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kern w:val="0"/>
                      <w:szCs w:val="21"/>
                      <w:lang w:val="en-US" w:eastAsia="zh-CN" w:bidi="ar"/>
                    </w:rPr>
                  </w:pPr>
                  <w:r>
                    <w:rPr>
                      <w:rFonts w:hint="eastAsia"/>
                      <w:color w:val="auto"/>
                      <w:kern w:val="0"/>
                      <w:szCs w:val="21"/>
                      <w:lang w:val="en-US" w:eastAsia="zh-CN" w:bidi="ar"/>
                    </w:rPr>
                    <w:t>1</w:t>
                  </w:r>
                </w:p>
              </w:tc>
              <w:tc>
                <w:tcPr>
                  <w:tcW w:w="840"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ascii="宋体" w:hAnsi="宋体" w:cs="宋体"/>
                      <w:color w:val="auto"/>
                      <w:kern w:val="0"/>
                      <w:szCs w:val="21"/>
                      <w:lang w:bidi="ar"/>
                    </w:rPr>
                  </w:pPr>
                  <w:r>
                    <w:rPr>
                      <w:rFonts w:hint="eastAsia" w:ascii="宋体" w:hAnsi="宋体" w:cs="宋体"/>
                      <w:color w:val="auto"/>
                      <w:kern w:val="0"/>
                      <w:szCs w:val="21"/>
                      <w:lang w:bidi="ar"/>
                    </w:rPr>
                    <w:t>委托资质单位处置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kern w:val="0"/>
                      <w:szCs w:val="21"/>
                      <w:lang w:bidi="ar"/>
                    </w:rPr>
                  </w:pPr>
                  <w:r>
                    <w:rPr>
                      <w:rFonts w:hint="eastAsia"/>
                      <w:color w:val="auto"/>
                      <w:kern w:val="0"/>
                      <w:szCs w:val="21"/>
                      <w:lang w:val="en-US" w:eastAsia="zh-CN" w:bidi="ar"/>
                    </w:rPr>
                    <w:t>1</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Fonts w:hint="eastAsia"/>
                      <w:color w:val="auto"/>
                      <w:kern w:val="0"/>
                      <w:szCs w:val="21"/>
                      <w:lang w:val="en-US" w:eastAsia="zh-CN" w:bidi="ar"/>
                    </w:rPr>
                    <w:t>7</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包装</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废包装材料</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382-001-07</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10</w:t>
                  </w:r>
                </w:p>
              </w:tc>
              <w:tc>
                <w:tcPr>
                  <w:tcW w:w="840" w:type="dxa"/>
                  <w:vMerge w:val="restart"/>
                  <w:tcBorders>
                    <w:top w:val="single" w:color="000000" w:sz="4" w:space="0"/>
                    <w:left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贮存在一般固废仓库</w:t>
                  </w: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10</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Fonts w:hint="eastAsia"/>
                      <w:color w:val="auto"/>
                      <w:kern w:val="0"/>
                      <w:szCs w:val="21"/>
                      <w:lang w:val="en-US" w:eastAsia="zh-CN" w:bidi="ar"/>
                    </w:rPr>
                    <w:t>8</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ascii="宋体" w:hAnsi="宋体" w:cs="宋体"/>
                      <w:color w:val="auto"/>
                      <w:kern w:val="0"/>
                      <w:sz w:val="22"/>
                      <w:szCs w:val="22"/>
                      <w:lang w:bidi="ar"/>
                    </w:rPr>
                    <w:t>生产全过程</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废边角料</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382-001-0</w:t>
                  </w:r>
                  <w:r>
                    <w:rPr>
                      <w:color w:val="auto"/>
                      <w:kern w:val="0"/>
                      <w:szCs w:val="21"/>
                      <w:lang w:bidi="ar"/>
                    </w:rPr>
                    <w:t>6</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80</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80</w:t>
                  </w:r>
                </w:p>
              </w:tc>
            </w:tr>
            <w:tr>
              <w:tblPrEx>
                <w:tblCellMar>
                  <w:top w:w="0" w:type="dxa"/>
                  <w:left w:w="0" w:type="dxa"/>
                  <w:bottom w:w="0" w:type="dxa"/>
                  <w:right w:w="0" w:type="dxa"/>
                </w:tblCellMar>
              </w:tblPrEx>
              <w:trPr>
                <w:trHeight w:val="533"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9</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hint="eastAsia" w:eastAsia="宋体"/>
                      <w:color w:val="auto"/>
                      <w:sz w:val="22"/>
                      <w:szCs w:val="22"/>
                      <w:lang w:eastAsia="zh-CN"/>
                    </w:rPr>
                  </w:pPr>
                  <w:r>
                    <w:rPr>
                      <w:rFonts w:hint="eastAsia" w:ascii="宋体" w:hAnsi="宋体" w:cs="宋体"/>
                      <w:color w:val="auto"/>
                      <w:kern w:val="0"/>
                      <w:sz w:val="22"/>
                      <w:szCs w:val="22"/>
                      <w:lang w:eastAsia="zh-CN" w:bidi="ar"/>
                    </w:rPr>
                    <w:t>废气处理</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除尘</w:t>
                  </w:r>
                  <w:r>
                    <w:rPr>
                      <w:rFonts w:hint="eastAsia" w:ascii="宋体" w:hAnsi="宋体" w:cs="宋体"/>
                      <w:color w:val="auto"/>
                      <w:kern w:val="0"/>
                      <w:szCs w:val="21"/>
                      <w:lang w:eastAsia="zh-CN" w:bidi="ar"/>
                    </w:rPr>
                    <w:t>系统</w:t>
                  </w:r>
                  <w:r>
                    <w:rPr>
                      <w:rFonts w:hint="eastAsia" w:ascii="宋体" w:hAnsi="宋体" w:cs="宋体"/>
                      <w:color w:val="auto"/>
                      <w:kern w:val="0"/>
                      <w:szCs w:val="21"/>
                      <w:lang w:bidi="ar"/>
                    </w:rPr>
                    <w:t>收集粉尘</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382-001-</w:t>
                  </w:r>
                  <w:r>
                    <w:rPr>
                      <w:color w:val="auto"/>
                      <w:kern w:val="0"/>
                      <w:szCs w:val="21"/>
                      <w:lang w:bidi="ar"/>
                    </w:rPr>
                    <w:t>66</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szCs w:val="21"/>
                      <w:lang w:val="en-US" w:eastAsia="zh-CN"/>
                    </w:rPr>
                    <w:t>0.482</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color w:val="auto"/>
                      <w:szCs w:val="21"/>
                      <w:lang w:val="en-US"/>
                    </w:rPr>
                  </w:pPr>
                  <w:r>
                    <w:rPr>
                      <w:rFonts w:hint="eastAsia"/>
                      <w:color w:val="auto"/>
                      <w:szCs w:val="21"/>
                      <w:lang w:val="en-US" w:eastAsia="zh-CN"/>
                    </w:rPr>
                    <w:t>0.482</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10</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ascii="宋体" w:hAnsi="宋体" w:cs="宋体"/>
                      <w:color w:val="auto"/>
                      <w:kern w:val="0"/>
                      <w:sz w:val="22"/>
                      <w:szCs w:val="22"/>
                      <w:lang w:bidi="ar"/>
                    </w:rPr>
                    <w:t>酒精擦拭</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废无尘布</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382-001-0</w:t>
                  </w:r>
                  <w:r>
                    <w:rPr>
                      <w:color w:val="auto"/>
                      <w:kern w:val="0"/>
                      <w:szCs w:val="21"/>
                      <w:lang w:bidi="ar"/>
                    </w:rPr>
                    <w:t>1</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0.1</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0.1</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11</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ascii="宋体" w:hAnsi="宋体" w:cs="宋体"/>
                      <w:color w:val="auto"/>
                      <w:kern w:val="0"/>
                      <w:sz w:val="22"/>
                      <w:szCs w:val="22"/>
                      <w:lang w:bidi="ar"/>
                    </w:rPr>
                    <w:t>污水处理</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污泥</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382-001-</w:t>
                  </w:r>
                  <w:r>
                    <w:rPr>
                      <w:color w:val="auto"/>
                      <w:kern w:val="0"/>
                      <w:szCs w:val="21"/>
                      <w:lang w:bidi="ar"/>
                    </w:rPr>
                    <w:t>61</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80</w:t>
                  </w:r>
                </w:p>
              </w:tc>
              <w:tc>
                <w:tcPr>
                  <w:tcW w:w="840" w:type="dxa"/>
                  <w:vMerge w:val="continue"/>
                  <w:tcBorders>
                    <w:left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80</w:t>
                  </w:r>
                </w:p>
              </w:tc>
            </w:tr>
            <w:tr>
              <w:tblPrEx>
                <w:tblCellMar>
                  <w:top w:w="0" w:type="dxa"/>
                  <w:left w:w="0" w:type="dxa"/>
                  <w:bottom w:w="0" w:type="dxa"/>
                  <w:right w:w="0" w:type="dxa"/>
                </w:tblCellMar>
              </w:tblPrEx>
              <w:trPr>
                <w:trHeight w:val="362"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12</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ascii="宋体" w:hAnsi="宋体" w:cs="宋体"/>
                      <w:color w:val="auto"/>
                      <w:kern w:val="0"/>
                      <w:sz w:val="22"/>
                      <w:szCs w:val="22"/>
                      <w:lang w:bidi="ar"/>
                    </w:rPr>
                    <w:t>生产过程</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不合格元器件</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382-001-</w:t>
                  </w:r>
                  <w:r>
                    <w:rPr>
                      <w:color w:val="auto"/>
                      <w:kern w:val="0"/>
                      <w:szCs w:val="21"/>
                      <w:lang w:bidi="ar"/>
                    </w:rPr>
                    <w:t>14</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0.2</w:t>
                  </w:r>
                </w:p>
              </w:tc>
              <w:tc>
                <w:tcPr>
                  <w:tcW w:w="840" w:type="dxa"/>
                  <w:vMerge w:val="continue"/>
                  <w:tcBorders>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color w:val="auto"/>
                      <w:szCs w:val="21"/>
                    </w:rPr>
                  </w:pP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委托</w:t>
                  </w:r>
                  <w:r>
                    <w:rPr>
                      <w:rFonts w:hint="eastAsia" w:ascii="宋体" w:hAnsi="宋体" w:cs="宋体"/>
                      <w:color w:val="auto"/>
                      <w:kern w:val="0"/>
                      <w:szCs w:val="21"/>
                      <w:lang w:eastAsia="zh-CN" w:bidi="ar"/>
                    </w:rPr>
                    <w:t>回收单位</w:t>
                  </w:r>
                  <w:r>
                    <w:rPr>
                      <w:rFonts w:hint="eastAsia" w:ascii="宋体" w:hAnsi="宋体" w:cs="宋体"/>
                      <w:color w:val="auto"/>
                      <w:kern w:val="0"/>
                      <w:szCs w:val="21"/>
                      <w:lang w:bidi="ar"/>
                    </w:rPr>
                    <w:t>利用</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0.2</w:t>
                  </w:r>
                </w:p>
              </w:tc>
            </w:tr>
            <w:tr>
              <w:tblPrEx>
                <w:tblCellMar>
                  <w:top w:w="0" w:type="dxa"/>
                  <w:left w:w="0" w:type="dxa"/>
                  <w:bottom w:w="0" w:type="dxa"/>
                  <w:right w:w="0" w:type="dxa"/>
                </w:tblCellMar>
              </w:tblPrEx>
              <w:trPr>
                <w:trHeight w:val="426" w:hRule="atLeast"/>
              </w:trPr>
              <w:tc>
                <w:tcPr>
                  <w:tcW w:w="73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13</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rFonts w:hint="eastAsia" w:ascii="宋体" w:hAnsi="宋体" w:cs="宋体"/>
                      <w:color w:val="auto"/>
                      <w:kern w:val="0"/>
                      <w:sz w:val="22"/>
                      <w:szCs w:val="22"/>
                      <w:lang w:bidi="ar"/>
                    </w:rPr>
                    <w:t>生活</w:t>
                  </w:r>
                </w:p>
              </w:tc>
              <w:tc>
                <w:tcPr>
                  <w:tcW w:w="157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生活垃圾</w:t>
                  </w:r>
                </w:p>
              </w:tc>
              <w:tc>
                <w:tcPr>
                  <w:tcW w:w="114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一般固废</w:t>
                  </w:r>
                </w:p>
              </w:tc>
              <w:tc>
                <w:tcPr>
                  <w:tcW w:w="11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color w:val="auto"/>
                      <w:kern w:val="0"/>
                      <w:szCs w:val="21"/>
                      <w:lang w:bidi="ar"/>
                    </w:rPr>
                    <w:t>/</w:t>
                  </w:r>
                </w:p>
              </w:tc>
              <w:tc>
                <w:tcPr>
                  <w:tcW w:w="116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ascii="宋体" w:hAnsi="宋体" w:cs="宋体"/>
                      <w:color w:val="auto"/>
                      <w:kern w:val="0"/>
                      <w:szCs w:val="21"/>
                      <w:lang w:bidi="ar"/>
                    </w:rPr>
                    <w:t>固态</w:t>
                  </w:r>
                </w:p>
              </w:tc>
              <w:tc>
                <w:tcPr>
                  <w:tcW w:w="867"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color w:val="auto"/>
                      <w:sz w:val="22"/>
                      <w:szCs w:val="22"/>
                    </w:rPr>
                  </w:pPr>
                  <w:r>
                    <w:rPr>
                      <w:color w:val="auto"/>
                      <w:kern w:val="0"/>
                      <w:sz w:val="22"/>
                      <w:szCs w:val="22"/>
                      <w:lang w:bidi="ar"/>
                    </w:rPr>
                    <w:t>/</w:t>
                  </w:r>
                </w:p>
              </w:tc>
              <w:tc>
                <w:tcPr>
                  <w:tcW w:w="95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63.875</w:t>
                  </w:r>
                </w:p>
              </w:tc>
              <w:tc>
                <w:tcPr>
                  <w:tcW w:w="84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both"/>
                    <w:rPr>
                      <w:rFonts w:hint="eastAsia" w:eastAsia="宋体"/>
                      <w:color w:val="auto"/>
                      <w:szCs w:val="21"/>
                      <w:lang w:eastAsia="zh-CN"/>
                    </w:rPr>
                  </w:pPr>
                  <w:r>
                    <w:rPr>
                      <w:rFonts w:hint="eastAsia"/>
                      <w:color w:val="auto"/>
                      <w:szCs w:val="21"/>
                      <w:lang w:eastAsia="zh-CN"/>
                    </w:rPr>
                    <w:t>垃圾桶</w:t>
                  </w:r>
                </w:p>
              </w:tc>
              <w:tc>
                <w:tcPr>
                  <w:tcW w:w="1882"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rFonts w:hint="eastAsia" w:eastAsia="宋体"/>
                      <w:color w:val="auto"/>
                      <w:szCs w:val="21"/>
                      <w:lang w:eastAsia="zh-CN"/>
                    </w:rPr>
                  </w:pPr>
                  <w:r>
                    <w:rPr>
                      <w:rFonts w:hint="eastAsia" w:ascii="宋体" w:hAnsi="宋体" w:cs="宋体"/>
                      <w:color w:val="auto"/>
                      <w:kern w:val="0"/>
                      <w:szCs w:val="21"/>
                      <w:lang w:eastAsia="zh-CN" w:bidi="ar"/>
                    </w:rPr>
                    <w:t>环卫部门清运处置</w:t>
                  </w:r>
                </w:p>
              </w:tc>
              <w:tc>
                <w:tcPr>
                  <w:tcW w:w="814"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widowControl/>
                    <w:jc w:val="center"/>
                    <w:textAlignment w:val="center"/>
                    <w:rPr>
                      <w:color w:val="auto"/>
                      <w:szCs w:val="21"/>
                    </w:rPr>
                  </w:pPr>
                  <w:r>
                    <w:rPr>
                      <w:rFonts w:hint="eastAsia"/>
                      <w:color w:val="auto"/>
                      <w:kern w:val="0"/>
                      <w:szCs w:val="21"/>
                      <w:lang w:val="en-US" w:eastAsia="zh-CN" w:bidi="ar"/>
                    </w:rPr>
                    <w:t>63.875</w:t>
                  </w:r>
                </w:p>
              </w:tc>
            </w:tr>
          </w:tbl>
          <w:p>
            <w:pPr>
              <w:numPr>
                <w:ilvl w:val="0"/>
                <w:numId w:val="0"/>
              </w:numPr>
              <w:spacing w:line="440" w:lineRule="exact"/>
              <w:ind w:firstLine="420" w:firstLineChars="200"/>
              <w:jc w:val="both"/>
              <w:rPr>
                <w:rFonts w:hint="eastAsia" w:ascii="黑体" w:hAnsi="黑体" w:eastAsia="黑体"/>
                <w:snapToGrid w:val="0"/>
                <w:color w:val="auto"/>
                <w:sz w:val="30"/>
                <w:szCs w:val="30"/>
              </w:rPr>
            </w:pPr>
            <w:r>
              <w:rPr>
                <w:rFonts w:hint="eastAsia" w:ascii="Times New Roman" w:hAnsi="Times New Roman"/>
                <w:bCs/>
                <w:color w:val="auto"/>
                <w:kern w:val="2"/>
                <w:sz w:val="21"/>
                <w:szCs w:val="21"/>
              </w:rPr>
              <w:t>备注：①</w:t>
            </w:r>
            <w:r>
              <w:rPr>
                <w:rFonts w:hint="eastAsia" w:ascii="Times New Roman" w:hAnsi="Times New Roman" w:eastAsia="宋体" w:cs="Times New Roman"/>
                <w:bCs/>
                <w:color w:val="auto"/>
                <w:sz w:val="21"/>
                <w:szCs w:val="21"/>
                <w:lang w:val="en-US" w:eastAsia="zh-CN"/>
              </w:rPr>
              <w:t>项目有机废气采用“二级活性炭”装置处理，需要定期更换活性炭，经活性炭吸附的有机废气量32.285t/a，按照1t活性炭可以吸附0.33t有机废气计算，项目废活性炭产生量为117t/a，每三个月更换一次活性炭。</w:t>
            </w:r>
          </w:p>
        </w:tc>
      </w:tr>
    </w:tbl>
    <w:p>
      <w:pPr>
        <w:pStyle w:val="18"/>
        <w:jc w:val="center"/>
        <w:outlineLvl w:val="0"/>
        <w:rPr>
          <w:rFonts w:hint="eastAsia" w:ascii="黑体" w:hAnsi="黑体" w:eastAsia="黑体"/>
          <w:snapToGrid w:val="0"/>
          <w:color w:val="auto"/>
          <w:sz w:val="30"/>
          <w:szCs w:val="30"/>
        </w:rPr>
        <w:sectPr>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2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6"/>
        <w:gridCol w:w="79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66" w:type="dxa"/>
            <w:noWrap w:val="0"/>
            <w:vAlign w:val="center"/>
          </w:tcPr>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运营</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期环</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境影</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响和</w:t>
            </w:r>
          </w:p>
          <w:p>
            <w:pPr>
              <w:adjustRightInd w:val="0"/>
              <w:snapToGrid w:val="0"/>
              <w:jc w:val="center"/>
              <w:rPr>
                <w:rFonts w:hint="eastAsia" w:ascii="宋体" w:hAnsi="宋体" w:cs="宋体"/>
                <w:b/>
                <w:bCs/>
                <w:color w:val="auto"/>
                <w:szCs w:val="21"/>
              </w:rPr>
            </w:pPr>
            <w:r>
              <w:rPr>
                <w:rFonts w:hint="eastAsia" w:ascii="宋体" w:hAnsi="宋体" w:cs="宋体"/>
                <w:b/>
                <w:bCs/>
                <w:color w:val="auto"/>
                <w:szCs w:val="21"/>
              </w:rPr>
              <w:t>保护</w:t>
            </w:r>
          </w:p>
          <w:p>
            <w:pPr>
              <w:adjustRightInd w:val="0"/>
              <w:snapToGrid w:val="0"/>
              <w:jc w:val="center"/>
              <w:rPr>
                <w:rFonts w:hint="eastAsia"/>
                <w:color w:val="auto"/>
              </w:rPr>
            </w:pPr>
            <w:r>
              <w:rPr>
                <w:rFonts w:hint="eastAsia" w:ascii="宋体" w:hAnsi="宋体" w:cs="宋体"/>
                <w:b/>
                <w:bCs/>
                <w:color w:val="auto"/>
                <w:szCs w:val="21"/>
              </w:rPr>
              <w:t>措施</w:t>
            </w:r>
          </w:p>
        </w:tc>
        <w:tc>
          <w:tcPr>
            <w:tcW w:w="7999" w:type="dxa"/>
            <w:noWrap w:val="0"/>
            <w:vAlign w:val="top"/>
          </w:tcPr>
          <w:p>
            <w:pPr>
              <w:widowControl/>
              <w:adjustRightInd w:val="0"/>
              <w:snapToGrid w:val="0"/>
              <w:spacing w:line="360" w:lineRule="auto"/>
              <w:ind w:firstLine="482" w:firstLineChars="200"/>
              <w:rPr>
                <w:rFonts w:hint="eastAsia" w:ascii="Times New Roman" w:hAnsi="Times New Roman" w:eastAsia="宋体" w:cs="Times New Roman"/>
                <w:b/>
                <w:bCs/>
                <w:color w:val="auto"/>
                <w:sz w:val="24"/>
              </w:rPr>
            </w:pPr>
            <w:r>
              <w:rPr>
                <w:rFonts w:hint="eastAsia" w:ascii="Times New Roman" w:hAnsi="Times New Roman" w:eastAsia="宋体" w:cs="Times New Roman"/>
                <w:b/>
                <w:bCs/>
                <w:color w:val="auto"/>
                <w:sz w:val="24"/>
              </w:rPr>
              <w:t>固体废物环境管理要求：</w:t>
            </w:r>
          </w:p>
          <w:p>
            <w:pPr>
              <w:widowControl/>
              <w:adjustRightInd w:val="0"/>
              <w:snapToGrid w:val="0"/>
              <w:spacing w:line="360" w:lineRule="auto"/>
              <w:ind w:firstLine="480" w:firstLineChars="200"/>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依托在</w:t>
            </w:r>
            <w:r>
              <w:rPr>
                <w:rFonts w:hint="eastAsia" w:ascii="Times New Roman" w:hAnsi="Times New Roman" w:eastAsia="宋体" w:cs="Times New Roman"/>
                <w:color w:val="auto"/>
                <w:sz w:val="24"/>
              </w:rPr>
              <w:t>建危废仓库一座，</w:t>
            </w:r>
            <w:r>
              <w:rPr>
                <w:rFonts w:ascii="Times New Roman" w:hAnsi="Times New Roman" w:eastAsia="宋体" w:cs="Times New Roman"/>
                <w:color w:val="auto"/>
                <w:sz w:val="24"/>
              </w:rPr>
              <w:t>面积</w:t>
            </w:r>
            <w:r>
              <w:rPr>
                <w:rFonts w:hint="eastAsia" w:ascii="Times New Roman" w:hAnsi="Times New Roman" w:eastAsia="宋体" w:cs="Times New Roman"/>
                <w:color w:val="auto"/>
                <w:sz w:val="24"/>
              </w:rPr>
              <w:t>为639.18</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废活性炭、废矿物油</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废助焊剂</w:t>
            </w:r>
            <w:r>
              <w:rPr>
                <w:rFonts w:hint="eastAsia" w:ascii="Times New Roman" w:hAnsi="Times New Roman" w:eastAsia="宋体" w:cs="Times New Roman"/>
                <w:color w:val="auto"/>
                <w:sz w:val="24"/>
              </w:rPr>
              <w:t>等在危废仓库暂存后</w:t>
            </w:r>
            <w:r>
              <w:rPr>
                <w:rFonts w:hint="eastAsia" w:ascii="Times New Roman" w:hAnsi="Times New Roman" w:eastAsia="宋体" w:cs="Times New Roman"/>
                <w:color w:val="auto"/>
                <w:sz w:val="24"/>
                <w:lang w:eastAsia="zh-CN"/>
              </w:rPr>
              <w:t>定期</w:t>
            </w:r>
            <w:r>
              <w:rPr>
                <w:rFonts w:ascii="Times New Roman" w:hAnsi="Times New Roman" w:eastAsia="宋体" w:cs="Times New Roman"/>
                <w:color w:val="auto"/>
                <w:sz w:val="24"/>
              </w:rPr>
              <w:t>交有资质单位处置；</w:t>
            </w:r>
            <w:r>
              <w:rPr>
                <w:rFonts w:hint="eastAsia" w:ascii="Times New Roman" w:hAnsi="Times New Roman" w:eastAsia="宋体" w:cs="Times New Roman"/>
                <w:color w:val="auto"/>
                <w:sz w:val="24"/>
                <w:lang w:val="en-US" w:eastAsia="zh-CN"/>
              </w:rPr>
              <w:t>本项目依托在</w:t>
            </w:r>
            <w:r>
              <w:rPr>
                <w:rFonts w:hint="eastAsia" w:ascii="Times New Roman" w:hAnsi="Times New Roman" w:eastAsia="宋体" w:cs="Times New Roman"/>
                <w:color w:val="auto"/>
                <w:sz w:val="24"/>
              </w:rPr>
              <w:t>建</w:t>
            </w:r>
            <w:r>
              <w:rPr>
                <w:rFonts w:hint="eastAsia" w:ascii="Times New Roman" w:hAnsi="Times New Roman" w:eastAsia="宋体" w:cs="Times New Roman"/>
                <w:color w:val="auto"/>
                <w:sz w:val="24"/>
                <w:lang w:eastAsia="zh-CN"/>
              </w:rPr>
              <w:t>一般</w:t>
            </w:r>
            <w:r>
              <w:rPr>
                <w:rFonts w:hint="eastAsia" w:ascii="Times New Roman" w:hAnsi="Times New Roman" w:eastAsia="宋体" w:cs="Times New Roman"/>
                <w:color w:val="auto"/>
                <w:sz w:val="24"/>
              </w:rPr>
              <w:t>固废仓库一座，</w:t>
            </w:r>
            <w:r>
              <w:rPr>
                <w:rFonts w:ascii="Times New Roman" w:hAnsi="Times New Roman" w:eastAsia="宋体" w:cs="Times New Roman"/>
                <w:color w:val="auto"/>
                <w:sz w:val="24"/>
              </w:rPr>
              <w:t>面积</w:t>
            </w:r>
            <w:r>
              <w:rPr>
                <w:rFonts w:hint="eastAsia" w:ascii="Times New Roman" w:hAnsi="Times New Roman" w:eastAsia="宋体" w:cs="Times New Roman"/>
                <w:color w:val="auto"/>
                <w:sz w:val="24"/>
              </w:rPr>
              <w:t>为1494.72</w:t>
            </w:r>
            <w:r>
              <w:rPr>
                <w:rFonts w:ascii="Times New Roman" w:hAnsi="Times New Roman" w:eastAsia="宋体" w:cs="Times New Roman"/>
                <w:color w:val="auto"/>
                <w:sz w:val="24"/>
              </w:rPr>
              <w:t>m</w:t>
            </w:r>
            <w:r>
              <w:rPr>
                <w:rFonts w:ascii="Times New Roman" w:hAnsi="Times New Roman" w:eastAsia="宋体" w:cs="Times New Roman"/>
                <w:color w:val="auto"/>
                <w:sz w:val="24"/>
                <w:vertAlign w:val="superscript"/>
              </w:rPr>
              <w:t>2</w:t>
            </w:r>
            <w:r>
              <w:rPr>
                <w:rFonts w:hint="eastAsia"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位于厂区东侧中部，项目扩建后全厂</w:t>
            </w:r>
            <w:r>
              <w:rPr>
                <w:rFonts w:ascii="Times New Roman" w:hAnsi="Times New Roman" w:eastAsia="宋体" w:cs="Times New Roman"/>
                <w:color w:val="auto"/>
                <w:sz w:val="24"/>
              </w:rPr>
              <w:t>废边角料、</w:t>
            </w:r>
            <w:r>
              <w:rPr>
                <w:rFonts w:hint="eastAsia" w:ascii="Times New Roman" w:hAnsi="Times New Roman" w:eastAsia="宋体" w:cs="Times New Roman"/>
                <w:color w:val="auto"/>
                <w:sz w:val="24"/>
                <w:lang w:eastAsia="zh-CN"/>
              </w:rPr>
              <w:t>不合格品、</w:t>
            </w:r>
            <w:r>
              <w:rPr>
                <w:rFonts w:ascii="Times New Roman" w:hAnsi="Times New Roman" w:eastAsia="宋体" w:cs="Times New Roman"/>
                <w:color w:val="auto"/>
                <w:sz w:val="24"/>
              </w:rPr>
              <w:t>布袋除尘器收集粉尘、废包装材料</w:t>
            </w:r>
            <w:r>
              <w:rPr>
                <w:rFonts w:hint="eastAsia" w:ascii="Times New Roman" w:hAnsi="Times New Roman" w:eastAsia="宋体" w:cs="Times New Roman"/>
                <w:color w:val="auto"/>
                <w:sz w:val="24"/>
                <w:lang w:eastAsia="zh-CN"/>
              </w:rPr>
              <w:t>、废无尘布、</w:t>
            </w:r>
            <w:r>
              <w:rPr>
                <w:rFonts w:hint="eastAsia" w:ascii="Times New Roman" w:hAnsi="Times New Roman" w:eastAsia="宋体" w:cs="Times New Roman"/>
                <w:color w:val="auto"/>
                <w:sz w:val="24"/>
                <w:highlight w:val="none"/>
                <w:lang w:eastAsia="zh-CN"/>
              </w:rPr>
              <w:t>污泥</w:t>
            </w:r>
            <w:r>
              <w:rPr>
                <w:rFonts w:hint="eastAsia" w:ascii="Times New Roman" w:hAnsi="Times New Roman" w:eastAsia="宋体" w:cs="Times New Roman"/>
                <w:color w:val="auto"/>
                <w:sz w:val="24"/>
                <w:highlight w:val="none"/>
              </w:rPr>
              <w:t>等一</w:t>
            </w:r>
            <w:r>
              <w:rPr>
                <w:rFonts w:hint="eastAsia" w:ascii="Times New Roman" w:hAnsi="Times New Roman" w:eastAsia="宋体" w:cs="Times New Roman"/>
                <w:color w:val="auto"/>
                <w:sz w:val="24"/>
              </w:rPr>
              <w:t>般固废在</w:t>
            </w:r>
            <w:r>
              <w:rPr>
                <w:rFonts w:hint="eastAsia" w:ascii="Times New Roman" w:hAnsi="Times New Roman" w:eastAsia="宋体" w:cs="Times New Roman"/>
                <w:color w:val="auto"/>
                <w:sz w:val="24"/>
                <w:lang w:eastAsia="zh-CN"/>
              </w:rPr>
              <w:t>一般固废</w:t>
            </w:r>
            <w:r>
              <w:rPr>
                <w:rFonts w:hint="eastAsia" w:ascii="Times New Roman" w:hAnsi="Times New Roman" w:eastAsia="宋体" w:cs="Times New Roman"/>
                <w:color w:val="auto"/>
                <w:sz w:val="24"/>
              </w:rPr>
              <w:t>仓库暂</w:t>
            </w:r>
            <w:r>
              <w:rPr>
                <w:rFonts w:hint="eastAsia" w:ascii="Times New Roman" w:hAnsi="Times New Roman" w:eastAsia="宋体" w:cs="Times New Roman"/>
                <w:color w:val="auto"/>
                <w:sz w:val="24"/>
                <w:lang w:eastAsia="zh-CN"/>
              </w:rPr>
              <w:t>存</w:t>
            </w:r>
            <w:r>
              <w:rPr>
                <w:rFonts w:hint="eastAsia" w:ascii="Times New Roman" w:hAnsi="Times New Roman" w:eastAsia="宋体" w:cs="Times New Roman"/>
                <w:color w:val="auto"/>
                <w:sz w:val="24"/>
              </w:rPr>
              <w:t>后</w:t>
            </w:r>
            <w:r>
              <w:rPr>
                <w:rFonts w:ascii="Times New Roman" w:hAnsi="Times New Roman" w:eastAsia="宋体" w:cs="Times New Roman"/>
                <w:color w:val="auto"/>
                <w:sz w:val="24"/>
              </w:rPr>
              <w:t>由</w:t>
            </w:r>
            <w:r>
              <w:rPr>
                <w:rFonts w:hint="eastAsia" w:ascii="Times New Roman" w:hAnsi="Times New Roman" w:eastAsia="宋体" w:cs="Times New Roman"/>
                <w:color w:val="auto"/>
                <w:sz w:val="24"/>
                <w:lang w:eastAsia="zh-CN"/>
              </w:rPr>
              <w:t>物资</w:t>
            </w:r>
            <w:r>
              <w:rPr>
                <w:rFonts w:ascii="Times New Roman" w:hAnsi="Times New Roman" w:eastAsia="宋体" w:cs="Times New Roman"/>
                <w:color w:val="auto"/>
                <w:sz w:val="24"/>
              </w:rPr>
              <w:t>公司回收</w:t>
            </w:r>
            <w:r>
              <w:rPr>
                <w:rFonts w:hint="eastAsia"/>
                <w:color w:val="auto"/>
                <w:sz w:val="24"/>
                <w:szCs w:val="24"/>
                <w:lang w:eastAsia="zh-CN"/>
              </w:rPr>
              <w:t>利用</w:t>
            </w:r>
            <w:r>
              <w:rPr>
                <w:rFonts w:hint="eastAsia" w:ascii="Times New Roman" w:hAnsi="Times New Roman" w:eastAsia="宋体" w:cs="Times New Roman"/>
                <w:color w:val="auto"/>
                <w:sz w:val="24"/>
                <w:szCs w:val="24"/>
                <w:lang w:eastAsia="zh-CN"/>
              </w:rPr>
              <w:t>。</w:t>
            </w:r>
          </w:p>
          <w:p>
            <w:pPr>
              <w:widowControl/>
              <w:adjustRightInd w:val="0"/>
              <w:snapToGrid w:val="0"/>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危废</w:t>
            </w:r>
            <w:r>
              <w:rPr>
                <w:rFonts w:hint="eastAsia" w:ascii="Times New Roman" w:hAnsi="Times New Roman" w:eastAsia="宋体" w:cs="Times New Roman"/>
                <w:color w:val="auto"/>
                <w:sz w:val="24"/>
                <w:lang w:eastAsia="zh-CN"/>
              </w:rPr>
              <w:t>仓库</w:t>
            </w:r>
            <w:r>
              <w:rPr>
                <w:rFonts w:ascii="Times New Roman" w:hAnsi="Times New Roman" w:eastAsia="宋体" w:cs="Times New Roman"/>
                <w:color w:val="auto"/>
                <w:sz w:val="24"/>
              </w:rPr>
              <w:t>的建设和临时贮存</w:t>
            </w:r>
            <w:r>
              <w:rPr>
                <w:rFonts w:hint="eastAsia" w:ascii="Times New Roman" w:hAnsi="Times New Roman" w:eastAsia="宋体" w:cs="Times New Roman"/>
                <w:color w:val="auto"/>
                <w:sz w:val="24"/>
                <w:lang w:eastAsia="zh-CN"/>
              </w:rPr>
              <w:t>需要</w:t>
            </w:r>
            <w:r>
              <w:rPr>
                <w:rFonts w:ascii="Times New Roman" w:hAnsi="Times New Roman" w:eastAsia="宋体" w:cs="Times New Roman"/>
                <w:color w:val="auto"/>
                <w:sz w:val="24"/>
              </w:rPr>
              <w:t>满足《危险废物贮存污染控制标准》（GB18597-2001）及环保部2013年第36号修改单中内容要求。</w:t>
            </w:r>
          </w:p>
          <w:p>
            <w:pPr>
              <w:widowControl/>
              <w:numPr>
                <w:ilvl w:val="0"/>
                <w:numId w:val="2"/>
              </w:numPr>
              <w:jc w:val="center"/>
              <w:rPr>
                <w:b/>
                <w:color w:val="auto"/>
                <w:kern w:val="0"/>
                <w:szCs w:val="21"/>
                <w:lang w:val="zh-CN"/>
              </w:rPr>
            </w:pPr>
            <w:r>
              <w:rPr>
                <w:rFonts w:hint="eastAsia"/>
                <w:b/>
                <w:color w:val="auto"/>
                <w:kern w:val="0"/>
                <w:szCs w:val="21"/>
                <w:lang w:val="zh-CN"/>
              </w:rPr>
              <w:t>本项目</w:t>
            </w:r>
            <w:r>
              <w:rPr>
                <w:b/>
                <w:color w:val="auto"/>
                <w:kern w:val="0"/>
                <w:szCs w:val="21"/>
                <w:lang w:val="zh-CN"/>
              </w:rPr>
              <w:t>危险废物贮存场所基本情况表</w:t>
            </w:r>
          </w:p>
          <w:tbl>
            <w:tblPr>
              <w:tblStyle w:val="2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697"/>
              <w:gridCol w:w="1078"/>
              <w:gridCol w:w="856"/>
              <w:gridCol w:w="1227"/>
              <w:gridCol w:w="500"/>
              <w:gridCol w:w="720"/>
              <w:gridCol w:w="901"/>
              <w:gridCol w:w="714"/>
              <w:gridCol w:w="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426"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序号</w:t>
                  </w:r>
                </w:p>
              </w:tc>
              <w:tc>
                <w:tcPr>
                  <w:tcW w:w="697"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贮存场所名称</w:t>
                  </w:r>
                </w:p>
              </w:tc>
              <w:tc>
                <w:tcPr>
                  <w:tcW w:w="1078"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危险废物名称</w:t>
                  </w:r>
                </w:p>
              </w:tc>
              <w:tc>
                <w:tcPr>
                  <w:tcW w:w="856"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危险废物类别</w:t>
                  </w:r>
                </w:p>
              </w:tc>
              <w:tc>
                <w:tcPr>
                  <w:tcW w:w="1227"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危险废物代码</w:t>
                  </w:r>
                </w:p>
              </w:tc>
              <w:tc>
                <w:tcPr>
                  <w:tcW w:w="500"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位置</w:t>
                  </w:r>
                </w:p>
              </w:tc>
              <w:tc>
                <w:tcPr>
                  <w:tcW w:w="720"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占地面积</w:t>
                  </w:r>
                </w:p>
              </w:tc>
              <w:tc>
                <w:tcPr>
                  <w:tcW w:w="901"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贮存方式</w:t>
                  </w:r>
                </w:p>
              </w:tc>
              <w:tc>
                <w:tcPr>
                  <w:tcW w:w="714"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贮存</w:t>
                  </w:r>
                </w:p>
                <w:p>
                  <w:pPr>
                    <w:topLinePunct/>
                    <w:adjustRightInd w:val="0"/>
                    <w:snapToGrid w:val="0"/>
                    <w:jc w:val="center"/>
                    <w:rPr>
                      <w:b/>
                      <w:bCs/>
                      <w:snapToGrid w:val="0"/>
                      <w:color w:val="auto"/>
                      <w:kern w:val="0"/>
                      <w:szCs w:val="21"/>
                    </w:rPr>
                  </w:pPr>
                  <w:r>
                    <w:rPr>
                      <w:b/>
                      <w:bCs/>
                      <w:snapToGrid w:val="0"/>
                      <w:color w:val="auto"/>
                      <w:kern w:val="0"/>
                      <w:szCs w:val="21"/>
                    </w:rPr>
                    <w:t>能力</w:t>
                  </w:r>
                </w:p>
              </w:tc>
              <w:tc>
                <w:tcPr>
                  <w:tcW w:w="638" w:type="dxa"/>
                  <w:noWrap w:val="0"/>
                  <w:vAlign w:val="center"/>
                </w:tcPr>
                <w:p>
                  <w:pPr>
                    <w:topLinePunct/>
                    <w:adjustRightInd w:val="0"/>
                    <w:snapToGrid w:val="0"/>
                    <w:jc w:val="center"/>
                    <w:rPr>
                      <w:b/>
                      <w:bCs/>
                      <w:snapToGrid w:val="0"/>
                      <w:color w:val="auto"/>
                      <w:kern w:val="0"/>
                      <w:szCs w:val="21"/>
                    </w:rPr>
                  </w:pPr>
                  <w:r>
                    <w:rPr>
                      <w:b/>
                      <w:bCs/>
                      <w:snapToGrid w:val="0"/>
                      <w:color w:val="auto"/>
                      <w:kern w:val="0"/>
                      <w:szCs w:val="21"/>
                    </w:rPr>
                    <w:t>贮存</w:t>
                  </w:r>
                </w:p>
                <w:p>
                  <w:pPr>
                    <w:topLinePunct/>
                    <w:adjustRightInd w:val="0"/>
                    <w:snapToGrid w:val="0"/>
                    <w:jc w:val="center"/>
                    <w:rPr>
                      <w:b/>
                      <w:bCs/>
                      <w:snapToGrid w:val="0"/>
                      <w:color w:val="auto"/>
                      <w:kern w:val="0"/>
                      <w:szCs w:val="21"/>
                    </w:rPr>
                  </w:pPr>
                  <w:r>
                    <w:rPr>
                      <w:b/>
                      <w:bCs/>
                      <w:snapToGrid w:val="0"/>
                      <w:color w:val="auto"/>
                      <w:kern w:val="0"/>
                      <w:szCs w:val="21"/>
                    </w:rPr>
                    <w:t>周期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6" w:type="dxa"/>
                  <w:noWrap w:val="0"/>
                  <w:vAlign w:val="center"/>
                </w:tcPr>
                <w:p>
                  <w:pPr>
                    <w:topLinePunct/>
                    <w:adjustRightInd w:val="0"/>
                    <w:snapToGrid w:val="0"/>
                    <w:jc w:val="center"/>
                    <w:rPr>
                      <w:snapToGrid w:val="0"/>
                      <w:color w:val="auto"/>
                      <w:kern w:val="0"/>
                      <w:szCs w:val="21"/>
                    </w:rPr>
                  </w:pPr>
                  <w:r>
                    <w:rPr>
                      <w:snapToGrid w:val="0"/>
                      <w:color w:val="auto"/>
                      <w:kern w:val="0"/>
                      <w:szCs w:val="21"/>
                    </w:rPr>
                    <w:t>1</w:t>
                  </w:r>
                </w:p>
              </w:tc>
              <w:tc>
                <w:tcPr>
                  <w:tcW w:w="697" w:type="dxa"/>
                  <w:vMerge w:val="restart"/>
                  <w:noWrap w:val="0"/>
                  <w:vAlign w:val="center"/>
                </w:tcPr>
                <w:p>
                  <w:pPr>
                    <w:topLinePunct/>
                    <w:adjustRightInd w:val="0"/>
                    <w:snapToGrid w:val="0"/>
                    <w:jc w:val="center"/>
                    <w:rPr>
                      <w:rFonts w:hint="eastAsia" w:eastAsia="宋体"/>
                      <w:snapToGrid w:val="0"/>
                      <w:color w:val="auto"/>
                      <w:kern w:val="0"/>
                      <w:szCs w:val="21"/>
                      <w:lang w:eastAsia="zh-CN"/>
                    </w:rPr>
                  </w:pPr>
                  <w:r>
                    <w:rPr>
                      <w:snapToGrid w:val="0"/>
                      <w:color w:val="auto"/>
                      <w:kern w:val="0"/>
                      <w:szCs w:val="21"/>
                    </w:rPr>
                    <w:t>危废</w:t>
                  </w:r>
                  <w:r>
                    <w:rPr>
                      <w:rFonts w:hint="eastAsia"/>
                      <w:snapToGrid w:val="0"/>
                      <w:color w:val="auto"/>
                      <w:kern w:val="0"/>
                      <w:szCs w:val="21"/>
                      <w:lang w:eastAsia="zh-CN"/>
                    </w:rPr>
                    <w:t>仓库</w:t>
                  </w:r>
                </w:p>
              </w:tc>
              <w:tc>
                <w:tcPr>
                  <w:tcW w:w="1078" w:type="dxa"/>
                  <w:noWrap w:val="0"/>
                  <w:vAlign w:val="center"/>
                </w:tcPr>
                <w:p>
                  <w:pPr>
                    <w:widowControl/>
                    <w:jc w:val="center"/>
                    <w:textAlignment w:val="center"/>
                    <w:rPr>
                      <w:color w:val="auto"/>
                      <w:szCs w:val="21"/>
                    </w:rPr>
                  </w:pPr>
                  <w:r>
                    <w:rPr>
                      <w:rFonts w:hint="eastAsia" w:ascii="宋体" w:hAnsi="宋体" w:cs="宋体"/>
                      <w:color w:val="auto"/>
                      <w:kern w:val="0"/>
                      <w:szCs w:val="21"/>
                      <w:lang w:bidi="ar"/>
                    </w:rPr>
                    <w:t>废活性炭</w:t>
                  </w:r>
                </w:p>
              </w:tc>
              <w:tc>
                <w:tcPr>
                  <w:tcW w:w="856" w:type="dxa"/>
                  <w:noWrap w:val="0"/>
                  <w:vAlign w:val="center"/>
                </w:tcPr>
                <w:p>
                  <w:pPr>
                    <w:adjustRightInd w:val="0"/>
                    <w:snapToGrid w:val="0"/>
                    <w:jc w:val="center"/>
                    <w:rPr>
                      <w:color w:val="auto"/>
                      <w:szCs w:val="21"/>
                    </w:rPr>
                  </w:pPr>
                  <w:r>
                    <w:rPr>
                      <w:rFonts w:hint="eastAsia"/>
                      <w:bCs/>
                      <w:color w:val="auto"/>
                      <w:kern w:val="0"/>
                      <w:szCs w:val="21"/>
                    </w:rPr>
                    <w:t>HW49</w:t>
                  </w:r>
                </w:p>
              </w:tc>
              <w:tc>
                <w:tcPr>
                  <w:tcW w:w="1227" w:type="dxa"/>
                  <w:noWrap w:val="0"/>
                  <w:vAlign w:val="center"/>
                </w:tcPr>
                <w:p>
                  <w:pPr>
                    <w:widowControl/>
                    <w:jc w:val="center"/>
                    <w:textAlignment w:val="center"/>
                    <w:rPr>
                      <w:color w:val="auto"/>
                      <w:szCs w:val="21"/>
                    </w:rPr>
                  </w:pPr>
                  <w:r>
                    <w:rPr>
                      <w:color w:val="auto"/>
                      <w:kern w:val="0"/>
                      <w:szCs w:val="21"/>
                      <w:lang w:bidi="ar"/>
                    </w:rPr>
                    <w:t>900-041-49</w:t>
                  </w:r>
                </w:p>
              </w:tc>
              <w:tc>
                <w:tcPr>
                  <w:tcW w:w="500" w:type="dxa"/>
                  <w:vMerge w:val="restart"/>
                  <w:noWrap w:val="0"/>
                  <w:vAlign w:val="center"/>
                </w:tcPr>
                <w:p>
                  <w:pPr>
                    <w:jc w:val="center"/>
                    <w:rPr>
                      <w:rFonts w:hint="eastAsia" w:eastAsia="宋体"/>
                      <w:snapToGrid w:val="0"/>
                      <w:color w:val="auto"/>
                      <w:kern w:val="0"/>
                      <w:szCs w:val="21"/>
                      <w:lang w:eastAsia="zh-CN"/>
                    </w:rPr>
                  </w:pPr>
                  <w:r>
                    <w:rPr>
                      <w:rFonts w:hint="eastAsia"/>
                      <w:color w:val="auto"/>
                      <w:szCs w:val="21"/>
                      <w:lang w:eastAsia="zh-CN"/>
                    </w:rPr>
                    <w:t>厂区西南角</w:t>
                  </w:r>
                </w:p>
              </w:tc>
              <w:tc>
                <w:tcPr>
                  <w:tcW w:w="720" w:type="dxa"/>
                  <w:vMerge w:val="restart"/>
                  <w:noWrap w:val="0"/>
                  <w:vAlign w:val="center"/>
                </w:tcPr>
                <w:p>
                  <w:pPr>
                    <w:topLinePunct/>
                    <w:adjustRightInd w:val="0"/>
                    <w:snapToGrid w:val="0"/>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639.18</w:t>
                  </w:r>
                </w:p>
              </w:tc>
              <w:tc>
                <w:tcPr>
                  <w:tcW w:w="901" w:type="dxa"/>
                  <w:tcBorders>
                    <w:bottom w:val="single" w:color="auto" w:sz="4" w:space="0"/>
                  </w:tcBorders>
                  <w:noWrap w:val="0"/>
                  <w:vAlign w:val="top"/>
                </w:tcPr>
                <w:p>
                  <w:pPr>
                    <w:jc w:val="center"/>
                    <w:rPr>
                      <w:color w:val="auto"/>
                      <w:szCs w:val="21"/>
                    </w:rPr>
                  </w:pPr>
                  <w:r>
                    <w:rPr>
                      <w:color w:val="auto"/>
                      <w:szCs w:val="21"/>
                    </w:rPr>
                    <w:t>专用</w:t>
                  </w:r>
                </w:p>
                <w:p>
                  <w:pPr>
                    <w:jc w:val="center"/>
                    <w:rPr>
                      <w:color w:val="auto"/>
                      <w:szCs w:val="21"/>
                    </w:rPr>
                  </w:pPr>
                  <w:r>
                    <w:rPr>
                      <w:rFonts w:hint="eastAsia"/>
                      <w:color w:val="auto"/>
                      <w:szCs w:val="21"/>
                    </w:rPr>
                    <w:t>袋</w:t>
                  </w:r>
                  <w:r>
                    <w:rPr>
                      <w:color w:val="auto"/>
                      <w:szCs w:val="21"/>
                    </w:rPr>
                    <w:t>存放</w:t>
                  </w:r>
                </w:p>
              </w:tc>
              <w:tc>
                <w:tcPr>
                  <w:tcW w:w="714" w:type="dxa"/>
                  <w:vMerge w:val="restart"/>
                  <w:noWrap w:val="0"/>
                  <w:vAlign w:val="center"/>
                </w:tcPr>
                <w:p>
                  <w:pPr>
                    <w:topLinePunct/>
                    <w:adjustRightInd w:val="0"/>
                    <w:snapToGrid w:val="0"/>
                    <w:jc w:val="center"/>
                    <w:rPr>
                      <w:snapToGrid w:val="0"/>
                      <w:color w:val="auto"/>
                      <w:kern w:val="0"/>
                      <w:szCs w:val="21"/>
                    </w:rPr>
                  </w:pPr>
                  <w:r>
                    <w:rPr>
                      <w:rFonts w:hint="eastAsia"/>
                      <w:snapToGrid w:val="0"/>
                      <w:color w:val="auto"/>
                      <w:kern w:val="0"/>
                      <w:szCs w:val="21"/>
                      <w:lang w:val="en-US" w:eastAsia="zh-CN"/>
                    </w:rPr>
                    <w:t>200</w:t>
                  </w:r>
                  <w:r>
                    <w:rPr>
                      <w:snapToGrid w:val="0"/>
                      <w:color w:val="auto"/>
                      <w:kern w:val="0"/>
                      <w:szCs w:val="21"/>
                    </w:rPr>
                    <w:t>t</w:t>
                  </w:r>
                </w:p>
              </w:tc>
              <w:tc>
                <w:tcPr>
                  <w:tcW w:w="638" w:type="dxa"/>
                  <w:vMerge w:val="restart"/>
                  <w:noWrap w:val="0"/>
                  <w:vAlign w:val="center"/>
                </w:tcPr>
                <w:p>
                  <w:pPr>
                    <w:topLinePunct/>
                    <w:adjustRightInd w:val="0"/>
                    <w:snapToGrid w:val="0"/>
                    <w:jc w:val="center"/>
                    <w:rPr>
                      <w:snapToGrid w:val="0"/>
                      <w:color w:val="auto"/>
                      <w:kern w:val="0"/>
                      <w:szCs w:val="21"/>
                    </w:rPr>
                  </w:pPr>
                </w:p>
                <w:p>
                  <w:pPr>
                    <w:topLinePunct/>
                    <w:adjustRightInd w:val="0"/>
                    <w:snapToGrid w:val="0"/>
                    <w:jc w:val="center"/>
                    <w:rPr>
                      <w:rFonts w:hint="eastAsia"/>
                      <w:snapToGrid w:val="0"/>
                      <w:color w:val="auto"/>
                      <w:kern w:val="0"/>
                      <w:szCs w:val="21"/>
                    </w:rPr>
                  </w:pPr>
                  <w:r>
                    <w:rPr>
                      <w:rFonts w:hint="eastAsia"/>
                      <w:snapToGrid w:val="0"/>
                      <w:color w:val="auto"/>
                      <w:kern w:val="0"/>
                      <w:szCs w:val="21"/>
                    </w:rPr>
                    <w:t>3</w:t>
                  </w:r>
                </w:p>
                <w:p>
                  <w:pPr>
                    <w:topLinePunct/>
                    <w:adjustRightInd w:val="0"/>
                    <w:snapToGrid w:val="0"/>
                    <w:jc w:val="center"/>
                    <w:rPr>
                      <w:rFonts w:hint="eastAsia"/>
                      <w:snapToGrid w:val="0"/>
                      <w:color w:val="auto"/>
                      <w:kern w:val="0"/>
                      <w:szCs w:val="21"/>
                    </w:rPr>
                  </w:pPr>
                  <w:r>
                    <w:rPr>
                      <w:rFonts w:hint="eastAsia"/>
                      <w:snapToGrid w:val="0"/>
                      <w:color w:val="auto"/>
                      <w:kern w:val="0"/>
                      <w:szCs w:val="21"/>
                    </w:rPr>
                    <w:t>个</w:t>
                  </w:r>
                </w:p>
                <w:p>
                  <w:pPr>
                    <w:topLinePunct/>
                    <w:adjustRightInd w:val="0"/>
                    <w:snapToGrid w:val="0"/>
                    <w:jc w:val="center"/>
                    <w:rPr>
                      <w:rFonts w:hint="eastAsia"/>
                      <w:snapToGrid w:val="0"/>
                      <w:color w:val="auto"/>
                      <w:kern w:val="0"/>
                      <w:szCs w:val="21"/>
                    </w:rPr>
                  </w:pPr>
                  <w:r>
                    <w:rPr>
                      <w:rFonts w:hint="eastAsia"/>
                      <w:snapToGrid w:val="0"/>
                      <w:color w:val="auto"/>
                      <w:kern w:val="0"/>
                      <w:szCs w:val="21"/>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6" w:type="dxa"/>
                  <w:noWrap w:val="0"/>
                  <w:vAlign w:val="center"/>
                </w:tcPr>
                <w:p>
                  <w:pPr>
                    <w:topLinePunct/>
                    <w:adjustRightInd w:val="0"/>
                    <w:snapToGrid w:val="0"/>
                    <w:jc w:val="center"/>
                    <w:rPr>
                      <w:snapToGrid w:val="0"/>
                      <w:color w:val="auto"/>
                      <w:kern w:val="0"/>
                      <w:szCs w:val="21"/>
                    </w:rPr>
                  </w:pPr>
                  <w:r>
                    <w:rPr>
                      <w:snapToGrid w:val="0"/>
                      <w:color w:val="auto"/>
                      <w:kern w:val="0"/>
                      <w:szCs w:val="21"/>
                    </w:rPr>
                    <w:t>2</w:t>
                  </w:r>
                </w:p>
              </w:tc>
              <w:tc>
                <w:tcPr>
                  <w:tcW w:w="697" w:type="dxa"/>
                  <w:vMerge w:val="continue"/>
                  <w:noWrap w:val="0"/>
                  <w:vAlign w:val="center"/>
                </w:tcPr>
                <w:p>
                  <w:pPr>
                    <w:topLinePunct/>
                    <w:adjustRightInd w:val="0"/>
                    <w:snapToGrid w:val="0"/>
                    <w:jc w:val="center"/>
                    <w:rPr>
                      <w:snapToGrid w:val="0"/>
                      <w:color w:val="auto"/>
                      <w:kern w:val="0"/>
                      <w:szCs w:val="21"/>
                    </w:rPr>
                  </w:pPr>
                </w:p>
              </w:tc>
              <w:tc>
                <w:tcPr>
                  <w:tcW w:w="1078" w:type="dxa"/>
                  <w:noWrap w:val="0"/>
                  <w:vAlign w:val="center"/>
                </w:tcPr>
                <w:p>
                  <w:pPr>
                    <w:widowControl/>
                    <w:jc w:val="center"/>
                    <w:textAlignment w:val="center"/>
                    <w:rPr>
                      <w:color w:val="auto"/>
                      <w:szCs w:val="21"/>
                    </w:rPr>
                  </w:pPr>
                  <w:r>
                    <w:rPr>
                      <w:rFonts w:hint="eastAsia" w:ascii="宋体" w:hAnsi="宋体" w:cs="宋体"/>
                      <w:color w:val="auto"/>
                      <w:kern w:val="0"/>
                      <w:szCs w:val="21"/>
                      <w:lang w:bidi="ar"/>
                    </w:rPr>
                    <w:t>废助焊剂</w:t>
                  </w:r>
                </w:p>
              </w:tc>
              <w:tc>
                <w:tcPr>
                  <w:tcW w:w="856" w:type="dxa"/>
                  <w:noWrap w:val="0"/>
                  <w:vAlign w:val="center"/>
                </w:tcPr>
                <w:p>
                  <w:pPr>
                    <w:adjustRightInd w:val="0"/>
                    <w:snapToGrid w:val="0"/>
                    <w:jc w:val="center"/>
                    <w:rPr>
                      <w:rFonts w:hint="default" w:eastAsia="宋体"/>
                      <w:color w:val="auto"/>
                      <w:szCs w:val="21"/>
                      <w:lang w:val="en-US" w:eastAsia="zh-CN"/>
                    </w:rPr>
                  </w:pPr>
                  <w:r>
                    <w:rPr>
                      <w:rFonts w:hint="eastAsia"/>
                      <w:bCs/>
                      <w:color w:val="auto"/>
                      <w:kern w:val="0"/>
                      <w:szCs w:val="21"/>
                    </w:rPr>
                    <w:t>HW</w:t>
                  </w:r>
                  <w:r>
                    <w:rPr>
                      <w:rFonts w:hint="eastAsia"/>
                      <w:bCs/>
                      <w:color w:val="auto"/>
                      <w:kern w:val="0"/>
                      <w:szCs w:val="21"/>
                      <w:lang w:val="en-US" w:eastAsia="zh-CN"/>
                    </w:rPr>
                    <w:t>06</w:t>
                  </w:r>
                </w:p>
              </w:tc>
              <w:tc>
                <w:tcPr>
                  <w:tcW w:w="1227" w:type="dxa"/>
                  <w:noWrap w:val="0"/>
                  <w:vAlign w:val="center"/>
                </w:tcPr>
                <w:p>
                  <w:pPr>
                    <w:widowControl/>
                    <w:jc w:val="center"/>
                    <w:textAlignment w:val="center"/>
                    <w:rPr>
                      <w:color w:val="auto"/>
                      <w:szCs w:val="21"/>
                    </w:rPr>
                  </w:pPr>
                  <w:r>
                    <w:rPr>
                      <w:color w:val="auto"/>
                      <w:kern w:val="0"/>
                      <w:szCs w:val="21"/>
                      <w:lang w:bidi="ar"/>
                    </w:rPr>
                    <w:t>900-404-06</w:t>
                  </w:r>
                </w:p>
              </w:tc>
              <w:tc>
                <w:tcPr>
                  <w:tcW w:w="500" w:type="dxa"/>
                  <w:vMerge w:val="continue"/>
                  <w:noWrap w:val="0"/>
                  <w:vAlign w:val="center"/>
                </w:tcPr>
                <w:p>
                  <w:pPr>
                    <w:topLinePunct/>
                    <w:adjustRightInd w:val="0"/>
                    <w:snapToGrid w:val="0"/>
                    <w:jc w:val="center"/>
                    <w:rPr>
                      <w:snapToGrid w:val="0"/>
                      <w:color w:val="auto"/>
                      <w:kern w:val="0"/>
                      <w:szCs w:val="21"/>
                    </w:rPr>
                  </w:pPr>
                </w:p>
              </w:tc>
              <w:tc>
                <w:tcPr>
                  <w:tcW w:w="720" w:type="dxa"/>
                  <w:vMerge w:val="continue"/>
                  <w:noWrap w:val="0"/>
                  <w:vAlign w:val="center"/>
                </w:tcPr>
                <w:p>
                  <w:pPr>
                    <w:topLinePunct/>
                    <w:adjustRightInd w:val="0"/>
                    <w:snapToGrid w:val="0"/>
                    <w:jc w:val="center"/>
                    <w:rPr>
                      <w:snapToGrid w:val="0"/>
                      <w:color w:val="auto"/>
                      <w:kern w:val="0"/>
                      <w:szCs w:val="21"/>
                    </w:rPr>
                  </w:pPr>
                </w:p>
              </w:tc>
              <w:tc>
                <w:tcPr>
                  <w:tcW w:w="901" w:type="dxa"/>
                  <w:tcBorders>
                    <w:top w:val="single" w:color="auto" w:sz="4" w:space="0"/>
                  </w:tcBorders>
                  <w:noWrap w:val="0"/>
                  <w:vAlign w:val="top"/>
                </w:tcPr>
                <w:p>
                  <w:pPr>
                    <w:jc w:val="center"/>
                    <w:rPr>
                      <w:color w:val="auto"/>
                      <w:szCs w:val="21"/>
                    </w:rPr>
                  </w:pPr>
                  <w:r>
                    <w:rPr>
                      <w:color w:val="auto"/>
                      <w:szCs w:val="21"/>
                    </w:rPr>
                    <w:t>专用</w:t>
                  </w:r>
                </w:p>
                <w:p>
                  <w:pPr>
                    <w:jc w:val="center"/>
                    <w:rPr>
                      <w:rFonts w:hint="eastAsia" w:eastAsia="宋体"/>
                      <w:color w:val="auto"/>
                      <w:szCs w:val="21"/>
                      <w:lang w:val="en-US" w:eastAsia="zh-CN"/>
                    </w:rPr>
                  </w:pPr>
                  <w:r>
                    <w:rPr>
                      <w:rFonts w:hint="eastAsia"/>
                      <w:color w:val="auto"/>
                      <w:szCs w:val="21"/>
                      <w:lang w:eastAsia="zh-CN"/>
                    </w:rPr>
                    <w:t>桶</w:t>
                  </w:r>
                  <w:r>
                    <w:rPr>
                      <w:color w:val="auto"/>
                      <w:szCs w:val="21"/>
                    </w:rPr>
                    <w:t>存放</w:t>
                  </w:r>
                </w:p>
              </w:tc>
              <w:tc>
                <w:tcPr>
                  <w:tcW w:w="714" w:type="dxa"/>
                  <w:vMerge w:val="continue"/>
                  <w:noWrap w:val="0"/>
                  <w:vAlign w:val="center"/>
                </w:tcPr>
                <w:p>
                  <w:pPr>
                    <w:topLinePunct/>
                    <w:adjustRightInd w:val="0"/>
                    <w:snapToGrid w:val="0"/>
                    <w:jc w:val="center"/>
                    <w:rPr>
                      <w:snapToGrid w:val="0"/>
                      <w:color w:val="auto"/>
                      <w:kern w:val="0"/>
                      <w:szCs w:val="21"/>
                    </w:rPr>
                  </w:pPr>
                </w:p>
              </w:tc>
              <w:tc>
                <w:tcPr>
                  <w:tcW w:w="638" w:type="dxa"/>
                  <w:vMerge w:val="continue"/>
                  <w:noWrap w:val="0"/>
                  <w:vAlign w:val="center"/>
                </w:tcPr>
                <w:p>
                  <w:pPr>
                    <w:topLinePunct/>
                    <w:adjustRightInd w:val="0"/>
                    <w:snapToGrid w:val="0"/>
                    <w:jc w:val="center"/>
                    <w:rPr>
                      <w:snapToGrid w:val="0"/>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6" w:type="dxa"/>
                  <w:noWrap w:val="0"/>
                  <w:vAlign w:val="center"/>
                </w:tcPr>
                <w:p>
                  <w:pPr>
                    <w:topLinePunct/>
                    <w:adjustRightInd w:val="0"/>
                    <w:snapToGrid w:val="0"/>
                    <w:jc w:val="center"/>
                    <w:rPr>
                      <w:snapToGrid w:val="0"/>
                      <w:color w:val="auto"/>
                      <w:kern w:val="0"/>
                      <w:szCs w:val="21"/>
                    </w:rPr>
                  </w:pPr>
                  <w:r>
                    <w:rPr>
                      <w:snapToGrid w:val="0"/>
                      <w:color w:val="auto"/>
                      <w:kern w:val="0"/>
                      <w:szCs w:val="21"/>
                    </w:rPr>
                    <w:t>3</w:t>
                  </w:r>
                </w:p>
              </w:tc>
              <w:tc>
                <w:tcPr>
                  <w:tcW w:w="697" w:type="dxa"/>
                  <w:vMerge w:val="continue"/>
                  <w:noWrap w:val="0"/>
                  <w:vAlign w:val="center"/>
                </w:tcPr>
                <w:p>
                  <w:pPr>
                    <w:topLinePunct/>
                    <w:adjustRightInd w:val="0"/>
                    <w:snapToGrid w:val="0"/>
                    <w:jc w:val="center"/>
                    <w:rPr>
                      <w:snapToGrid w:val="0"/>
                      <w:color w:val="auto"/>
                      <w:kern w:val="0"/>
                      <w:szCs w:val="21"/>
                    </w:rPr>
                  </w:pPr>
                </w:p>
              </w:tc>
              <w:tc>
                <w:tcPr>
                  <w:tcW w:w="1078" w:type="dxa"/>
                  <w:noWrap w:val="0"/>
                  <w:vAlign w:val="center"/>
                </w:tcPr>
                <w:p>
                  <w:pPr>
                    <w:widowControl/>
                    <w:jc w:val="center"/>
                    <w:textAlignment w:val="center"/>
                    <w:rPr>
                      <w:color w:val="auto"/>
                      <w:szCs w:val="21"/>
                    </w:rPr>
                  </w:pPr>
                  <w:r>
                    <w:rPr>
                      <w:rFonts w:hint="eastAsia" w:ascii="宋体" w:hAnsi="宋体" w:cs="宋体"/>
                      <w:color w:val="auto"/>
                      <w:kern w:val="0"/>
                      <w:szCs w:val="21"/>
                      <w:lang w:bidi="ar"/>
                    </w:rPr>
                    <w:t>废矿物油</w:t>
                  </w:r>
                </w:p>
              </w:tc>
              <w:tc>
                <w:tcPr>
                  <w:tcW w:w="856" w:type="dxa"/>
                  <w:noWrap w:val="0"/>
                  <w:vAlign w:val="center"/>
                </w:tcPr>
                <w:p>
                  <w:pPr>
                    <w:adjustRightInd w:val="0"/>
                    <w:snapToGrid w:val="0"/>
                    <w:jc w:val="center"/>
                    <w:rPr>
                      <w:rFonts w:hint="default" w:eastAsia="宋体"/>
                      <w:color w:val="auto"/>
                      <w:szCs w:val="21"/>
                      <w:lang w:val="en-US" w:eastAsia="zh-CN"/>
                    </w:rPr>
                  </w:pPr>
                  <w:r>
                    <w:rPr>
                      <w:rFonts w:hint="eastAsia"/>
                      <w:bCs/>
                      <w:color w:val="auto"/>
                      <w:kern w:val="0"/>
                      <w:szCs w:val="21"/>
                    </w:rPr>
                    <w:t>HW</w:t>
                  </w:r>
                  <w:r>
                    <w:rPr>
                      <w:rFonts w:hint="eastAsia"/>
                      <w:bCs/>
                      <w:color w:val="auto"/>
                      <w:kern w:val="0"/>
                      <w:szCs w:val="21"/>
                      <w:lang w:val="en-US" w:eastAsia="zh-CN"/>
                    </w:rPr>
                    <w:t>08</w:t>
                  </w:r>
                </w:p>
              </w:tc>
              <w:tc>
                <w:tcPr>
                  <w:tcW w:w="1227" w:type="dxa"/>
                  <w:noWrap w:val="0"/>
                  <w:vAlign w:val="center"/>
                </w:tcPr>
                <w:p>
                  <w:pPr>
                    <w:widowControl/>
                    <w:jc w:val="center"/>
                    <w:textAlignment w:val="center"/>
                    <w:rPr>
                      <w:color w:val="auto"/>
                      <w:szCs w:val="21"/>
                    </w:rPr>
                  </w:pPr>
                  <w:r>
                    <w:rPr>
                      <w:color w:val="auto"/>
                      <w:kern w:val="0"/>
                      <w:szCs w:val="21"/>
                      <w:lang w:bidi="ar"/>
                    </w:rPr>
                    <w:t>900-2</w:t>
                  </w:r>
                  <w:r>
                    <w:rPr>
                      <w:rFonts w:hint="eastAsia"/>
                      <w:color w:val="auto"/>
                      <w:kern w:val="0"/>
                      <w:szCs w:val="21"/>
                      <w:lang w:val="en-US" w:eastAsia="zh-CN" w:bidi="ar"/>
                    </w:rPr>
                    <w:t>49</w:t>
                  </w:r>
                  <w:r>
                    <w:rPr>
                      <w:color w:val="auto"/>
                      <w:kern w:val="0"/>
                      <w:szCs w:val="21"/>
                      <w:lang w:bidi="ar"/>
                    </w:rPr>
                    <w:t>-08</w:t>
                  </w:r>
                </w:p>
              </w:tc>
              <w:tc>
                <w:tcPr>
                  <w:tcW w:w="500" w:type="dxa"/>
                  <w:vMerge w:val="continue"/>
                  <w:noWrap w:val="0"/>
                  <w:vAlign w:val="center"/>
                </w:tcPr>
                <w:p>
                  <w:pPr>
                    <w:topLinePunct/>
                    <w:adjustRightInd w:val="0"/>
                    <w:snapToGrid w:val="0"/>
                    <w:jc w:val="center"/>
                    <w:rPr>
                      <w:snapToGrid w:val="0"/>
                      <w:color w:val="auto"/>
                      <w:kern w:val="0"/>
                      <w:szCs w:val="21"/>
                    </w:rPr>
                  </w:pPr>
                </w:p>
              </w:tc>
              <w:tc>
                <w:tcPr>
                  <w:tcW w:w="720" w:type="dxa"/>
                  <w:vMerge w:val="continue"/>
                  <w:noWrap w:val="0"/>
                  <w:vAlign w:val="center"/>
                </w:tcPr>
                <w:p>
                  <w:pPr>
                    <w:topLinePunct/>
                    <w:adjustRightInd w:val="0"/>
                    <w:snapToGrid w:val="0"/>
                    <w:jc w:val="center"/>
                    <w:rPr>
                      <w:snapToGrid w:val="0"/>
                      <w:color w:val="auto"/>
                      <w:kern w:val="0"/>
                      <w:szCs w:val="21"/>
                    </w:rPr>
                  </w:pPr>
                </w:p>
              </w:tc>
              <w:tc>
                <w:tcPr>
                  <w:tcW w:w="901" w:type="dxa"/>
                  <w:noWrap w:val="0"/>
                  <w:vAlign w:val="top"/>
                </w:tcPr>
                <w:p>
                  <w:pPr>
                    <w:jc w:val="center"/>
                    <w:rPr>
                      <w:color w:val="auto"/>
                      <w:szCs w:val="21"/>
                    </w:rPr>
                  </w:pPr>
                  <w:r>
                    <w:rPr>
                      <w:color w:val="auto"/>
                      <w:szCs w:val="21"/>
                    </w:rPr>
                    <w:t>专用</w:t>
                  </w:r>
                </w:p>
                <w:p>
                  <w:pPr>
                    <w:jc w:val="center"/>
                    <w:rPr>
                      <w:color w:val="auto"/>
                      <w:szCs w:val="21"/>
                    </w:rPr>
                  </w:pPr>
                  <w:r>
                    <w:rPr>
                      <w:rFonts w:hint="eastAsia"/>
                      <w:color w:val="auto"/>
                      <w:szCs w:val="21"/>
                      <w:lang w:eastAsia="zh-CN"/>
                    </w:rPr>
                    <w:t>桶</w:t>
                  </w:r>
                  <w:r>
                    <w:rPr>
                      <w:color w:val="auto"/>
                      <w:szCs w:val="21"/>
                    </w:rPr>
                    <w:t>存放</w:t>
                  </w:r>
                </w:p>
              </w:tc>
              <w:tc>
                <w:tcPr>
                  <w:tcW w:w="714" w:type="dxa"/>
                  <w:vMerge w:val="continue"/>
                  <w:noWrap w:val="0"/>
                  <w:vAlign w:val="center"/>
                </w:tcPr>
                <w:p>
                  <w:pPr>
                    <w:topLinePunct/>
                    <w:adjustRightInd w:val="0"/>
                    <w:snapToGrid w:val="0"/>
                    <w:jc w:val="center"/>
                    <w:rPr>
                      <w:snapToGrid w:val="0"/>
                      <w:color w:val="auto"/>
                      <w:kern w:val="0"/>
                      <w:szCs w:val="21"/>
                    </w:rPr>
                  </w:pPr>
                </w:p>
              </w:tc>
              <w:tc>
                <w:tcPr>
                  <w:tcW w:w="638" w:type="dxa"/>
                  <w:vMerge w:val="continue"/>
                  <w:noWrap w:val="0"/>
                  <w:vAlign w:val="center"/>
                </w:tcPr>
                <w:p>
                  <w:pPr>
                    <w:topLinePunct/>
                    <w:adjustRightInd w:val="0"/>
                    <w:snapToGrid w:val="0"/>
                    <w:jc w:val="center"/>
                    <w:rPr>
                      <w:snapToGrid w:val="0"/>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6" w:type="dxa"/>
                  <w:noWrap w:val="0"/>
                  <w:vAlign w:val="center"/>
                </w:tcPr>
                <w:p>
                  <w:pPr>
                    <w:topLinePunct/>
                    <w:adjustRightInd w:val="0"/>
                    <w:snapToGrid w:val="0"/>
                    <w:jc w:val="center"/>
                    <w:rPr>
                      <w:snapToGrid w:val="0"/>
                      <w:color w:val="auto"/>
                      <w:kern w:val="0"/>
                      <w:szCs w:val="21"/>
                    </w:rPr>
                  </w:pPr>
                  <w:r>
                    <w:rPr>
                      <w:snapToGrid w:val="0"/>
                      <w:color w:val="auto"/>
                      <w:kern w:val="0"/>
                      <w:szCs w:val="21"/>
                    </w:rPr>
                    <w:t>4</w:t>
                  </w:r>
                </w:p>
              </w:tc>
              <w:tc>
                <w:tcPr>
                  <w:tcW w:w="697" w:type="dxa"/>
                  <w:vMerge w:val="continue"/>
                  <w:noWrap w:val="0"/>
                  <w:vAlign w:val="center"/>
                </w:tcPr>
                <w:p>
                  <w:pPr>
                    <w:topLinePunct/>
                    <w:adjustRightInd w:val="0"/>
                    <w:snapToGrid w:val="0"/>
                    <w:jc w:val="center"/>
                    <w:rPr>
                      <w:snapToGrid w:val="0"/>
                      <w:color w:val="auto"/>
                      <w:kern w:val="0"/>
                      <w:szCs w:val="21"/>
                    </w:rPr>
                  </w:pPr>
                </w:p>
              </w:tc>
              <w:tc>
                <w:tcPr>
                  <w:tcW w:w="1078" w:type="dxa"/>
                  <w:noWrap w:val="0"/>
                  <w:vAlign w:val="center"/>
                </w:tcPr>
                <w:p>
                  <w:pPr>
                    <w:widowControl/>
                    <w:jc w:val="center"/>
                    <w:textAlignment w:val="center"/>
                    <w:rPr>
                      <w:color w:val="auto"/>
                      <w:szCs w:val="21"/>
                    </w:rPr>
                  </w:pPr>
                  <w:r>
                    <w:rPr>
                      <w:rFonts w:ascii="宋体" w:hAnsi="宋体" w:cs="宋体"/>
                      <w:color w:val="auto"/>
                      <w:kern w:val="0"/>
                      <w:szCs w:val="21"/>
                      <w:lang w:bidi="ar"/>
                    </w:rPr>
                    <w:t>废二甲苯</w:t>
                  </w:r>
                  <w:r>
                    <w:rPr>
                      <w:rFonts w:hint="eastAsia" w:ascii="宋体" w:hAnsi="宋体" w:cs="宋体"/>
                      <w:color w:val="auto"/>
                      <w:kern w:val="0"/>
                      <w:szCs w:val="21"/>
                      <w:lang w:bidi="ar"/>
                    </w:rPr>
                    <w:t>溶液</w:t>
                  </w:r>
                </w:p>
              </w:tc>
              <w:tc>
                <w:tcPr>
                  <w:tcW w:w="856" w:type="dxa"/>
                  <w:noWrap w:val="0"/>
                  <w:vAlign w:val="center"/>
                </w:tcPr>
                <w:p>
                  <w:pPr>
                    <w:adjustRightInd w:val="0"/>
                    <w:snapToGrid w:val="0"/>
                    <w:jc w:val="center"/>
                    <w:rPr>
                      <w:rFonts w:hint="default" w:eastAsia="宋体"/>
                      <w:color w:val="auto"/>
                      <w:szCs w:val="21"/>
                      <w:lang w:val="en-US" w:eastAsia="zh-CN"/>
                    </w:rPr>
                  </w:pPr>
                  <w:r>
                    <w:rPr>
                      <w:rFonts w:hint="eastAsia"/>
                      <w:bCs/>
                      <w:color w:val="auto"/>
                      <w:kern w:val="0"/>
                      <w:szCs w:val="21"/>
                    </w:rPr>
                    <w:t>HW</w:t>
                  </w:r>
                  <w:r>
                    <w:rPr>
                      <w:rFonts w:hint="eastAsia"/>
                      <w:bCs/>
                      <w:color w:val="auto"/>
                      <w:kern w:val="0"/>
                      <w:szCs w:val="21"/>
                      <w:lang w:val="en-US" w:eastAsia="zh-CN"/>
                    </w:rPr>
                    <w:t>06</w:t>
                  </w:r>
                </w:p>
              </w:tc>
              <w:tc>
                <w:tcPr>
                  <w:tcW w:w="1227" w:type="dxa"/>
                  <w:noWrap w:val="0"/>
                  <w:vAlign w:val="center"/>
                </w:tcPr>
                <w:p>
                  <w:pPr>
                    <w:widowControl/>
                    <w:jc w:val="center"/>
                    <w:textAlignment w:val="center"/>
                    <w:rPr>
                      <w:color w:val="auto"/>
                      <w:szCs w:val="21"/>
                    </w:rPr>
                  </w:pPr>
                  <w:r>
                    <w:rPr>
                      <w:color w:val="auto"/>
                      <w:kern w:val="0"/>
                      <w:szCs w:val="21"/>
                      <w:lang w:bidi="ar"/>
                    </w:rPr>
                    <w:t>900-402-06</w:t>
                  </w:r>
                </w:p>
              </w:tc>
              <w:tc>
                <w:tcPr>
                  <w:tcW w:w="500" w:type="dxa"/>
                  <w:vMerge w:val="continue"/>
                  <w:noWrap w:val="0"/>
                  <w:vAlign w:val="center"/>
                </w:tcPr>
                <w:p>
                  <w:pPr>
                    <w:topLinePunct/>
                    <w:adjustRightInd w:val="0"/>
                    <w:snapToGrid w:val="0"/>
                    <w:jc w:val="center"/>
                    <w:rPr>
                      <w:snapToGrid w:val="0"/>
                      <w:color w:val="auto"/>
                      <w:kern w:val="0"/>
                      <w:szCs w:val="21"/>
                    </w:rPr>
                  </w:pPr>
                </w:p>
              </w:tc>
              <w:tc>
                <w:tcPr>
                  <w:tcW w:w="720" w:type="dxa"/>
                  <w:vMerge w:val="continue"/>
                  <w:noWrap w:val="0"/>
                  <w:vAlign w:val="center"/>
                </w:tcPr>
                <w:p>
                  <w:pPr>
                    <w:topLinePunct/>
                    <w:adjustRightInd w:val="0"/>
                    <w:snapToGrid w:val="0"/>
                    <w:jc w:val="center"/>
                    <w:rPr>
                      <w:snapToGrid w:val="0"/>
                      <w:color w:val="auto"/>
                      <w:kern w:val="0"/>
                      <w:szCs w:val="21"/>
                    </w:rPr>
                  </w:pPr>
                </w:p>
              </w:tc>
              <w:tc>
                <w:tcPr>
                  <w:tcW w:w="901" w:type="dxa"/>
                  <w:noWrap w:val="0"/>
                  <w:vAlign w:val="top"/>
                </w:tcPr>
                <w:p>
                  <w:pPr>
                    <w:jc w:val="center"/>
                    <w:rPr>
                      <w:color w:val="auto"/>
                      <w:szCs w:val="21"/>
                    </w:rPr>
                  </w:pPr>
                  <w:r>
                    <w:rPr>
                      <w:color w:val="auto"/>
                      <w:szCs w:val="21"/>
                    </w:rPr>
                    <w:t>专用</w:t>
                  </w:r>
                </w:p>
                <w:p>
                  <w:pPr>
                    <w:jc w:val="center"/>
                    <w:rPr>
                      <w:color w:val="auto"/>
                      <w:szCs w:val="21"/>
                    </w:rPr>
                  </w:pPr>
                  <w:r>
                    <w:rPr>
                      <w:rFonts w:hint="eastAsia"/>
                      <w:color w:val="auto"/>
                      <w:szCs w:val="21"/>
                      <w:lang w:eastAsia="zh-CN"/>
                    </w:rPr>
                    <w:t>桶</w:t>
                  </w:r>
                  <w:r>
                    <w:rPr>
                      <w:color w:val="auto"/>
                      <w:szCs w:val="21"/>
                    </w:rPr>
                    <w:t>存放</w:t>
                  </w:r>
                </w:p>
              </w:tc>
              <w:tc>
                <w:tcPr>
                  <w:tcW w:w="714" w:type="dxa"/>
                  <w:vMerge w:val="continue"/>
                  <w:noWrap w:val="0"/>
                  <w:vAlign w:val="center"/>
                </w:tcPr>
                <w:p>
                  <w:pPr>
                    <w:topLinePunct/>
                    <w:adjustRightInd w:val="0"/>
                    <w:snapToGrid w:val="0"/>
                    <w:jc w:val="center"/>
                    <w:rPr>
                      <w:snapToGrid w:val="0"/>
                      <w:color w:val="auto"/>
                      <w:kern w:val="0"/>
                      <w:szCs w:val="21"/>
                    </w:rPr>
                  </w:pPr>
                </w:p>
              </w:tc>
              <w:tc>
                <w:tcPr>
                  <w:tcW w:w="638" w:type="dxa"/>
                  <w:vMerge w:val="continue"/>
                  <w:noWrap w:val="0"/>
                  <w:vAlign w:val="center"/>
                </w:tcPr>
                <w:p>
                  <w:pPr>
                    <w:topLinePunct/>
                    <w:adjustRightInd w:val="0"/>
                    <w:snapToGrid w:val="0"/>
                    <w:jc w:val="center"/>
                    <w:rPr>
                      <w:snapToGrid w:val="0"/>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26" w:type="dxa"/>
                  <w:noWrap w:val="0"/>
                  <w:vAlign w:val="center"/>
                </w:tcPr>
                <w:p>
                  <w:pPr>
                    <w:topLinePunct/>
                    <w:adjustRightInd w:val="0"/>
                    <w:snapToGrid w:val="0"/>
                    <w:jc w:val="center"/>
                    <w:rPr>
                      <w:snapToGrid w:val="0"/>
                      <w:color w:val="auto"/>
                      <w:kern w:val="0"/>
                      <w:szCs w:val="21"/>
                    </w:rPr>
                  </w:pPr>
                  <w:r>
                    <w:rPr>
                      <w:snapToGrid w:val="0"/>
                      <w:color w:val="auto"/>
                      <w:kern w:val="0"/>
                      <w:szCs w:val="21"/>
                    </w:rPr>
                    <w:t>5</w:t>
                  </w:r>
                </w:p>
              </w:tc>
              <w:tc>
                <w:tcPr>
                  <w:tcW w:w="697" w:type="dxa"/>
                  <w:vMerge w:val="continue"/>
                  <w:noWrap w:val="0"/>
                  <w:vAlign w:val="center"/>
                </w:tcPr>
                <w:p>
                  <w:pPr>
                    <w:topLinePunct/>
                    <w:adjustRightInd w:val="0"/>
                    <w:snapToGrid w:val="0"/>
                    <w:jc w:val="center"/>
                    <w:rPr>
                      <w:snapToGrid w:val="0"/>
                      <w:color w:val="auto"/>
                      <w:kern w:val="0"/>
                      <w:szCs w:val="21"/>
                    </w:rPr>
                  </w:pPr>
                </w:p>
              </w:tc>
              <w:tc>
                <w:tcPr>
                  <w:tcW w:w="1078" w:type="dxa"/>
                  <w:noWrap w:val="0"/>
                  <w:vAlign w:val="center"/>
                </w:tcPr>
                <w:p>
                  <w:pPr>
                    <w:widowControl/>
                    <w:jc w:val="center"/>
                    <w:textAlignment w:val="center"/>
                    <w:rPr>
                      <w:rFonts w:hint="default" w:eastAsia="宋体"/>
                      <w:color w:val="auto"/>
                      <w:szCs w:val="21"/>
                      <w:lang w:val="en-US" w:eastAsia="zh-CN"/>
                    </w:rPr>
                  </w:pPr>
                  <w:r>
                    <w:rPr>
                      <w:rFonts w:hint="eastAsia" w:ascii="宋体" w:hAnsi="宋体" w:cs="宋体"/>
                      <w:color w:val="auto"/>
                      <w:kern w:val="0"/>
                      <w:szCs w:val="21"/>
                      <w:lang w:bidi="ar"/>
                    </w:rPr>
                    <w:t>废</w:t>
                  </w:r>
                  <w:r>
                    <w:rPr>
                      <w:rFonts w:hint="eastAsia" w:ascii="宋体" w:hAnsi="宋体" w:cs="宋体"/>
                      <w:color w:val="auto"/>
                      <w:kern w:val="0"/>
                      <w:szCs w:val="21"/>
                      <w:lang w:eastAsia="zh-CN" w:bidi="ar"/>
                    </w:rPr>
                    <w:t>包装</w:t>
                  </w:r>
                  <w:r>
                    <w:rPr>
                      <w:rFonts w:hint="eastAsia" w:ascii="宋体" w:hAnsi="宋体" w:cs="宋体"/>
                      <w:color w:val="auto"/>
                      <w:kern w:val="0"/>
                      <w:szCs w:val="21"/>
                      <w:lang w:bidi="ar"/>
                    </w:rPr>
                    <w:t>桶</w:t>
                  </w:r>
                  <w:r>
                    <w:rPr>
                      <w:rFonts w:hint="eastAsia" w:ascii="宋体" w:hAnsi="宋体" w:cs="宋体"/>
                      <w:color w:val="auto"/>
                      <w:kern w:val="0"/>
                      <w:szCs w:val="21"/>
                      <w:lang w:val="en-US" w:eastAsia="zh-CN" w:bidi="ar"/>
                    </w:rPr>
                    <w:t>(助焊剂、二甲苯)</w:t>
                  </w:r>
                </w:p>
              </w:tc>
              <w:tc>
                <w:tcPr>
                  <w:tcW w:w="856" w:type="dxa"/>
                  <w:noWrap w:val="0"/>
                  <w:vAlign w:val="center"/>
                </w:tcPr>
                <w:p>
                  <w:pPr>
                    <w:adjustRightInd w:val="0"/>
                    <w:snapToGrid w:val="0"/>
                    <w:jc w:val="center"/>
                    <w:rPr>
                      <w:rFonts w:hint="default" w:eastAsia="宋体"/>
                      <w:color w:val="auto"/>
                      <w:szCs w:val="21"/>
                      <w:lang w:val="en-US" w:eastAsia="zh-CN"/>
                    </w:rPr>
                  </w:pPr>
                  <w:r>
                    <w:rPr>
                      <w:rFonts w:hint="eastAsia"/>
                      <w:bCs/>
                      <w:color w:val="auto"/>
                      <w:kern w:val="0"/>
                      <w:szCs w:val="21"/>
                    </w:rPr>
                    <w:t>HW</w:t>
                  </w:r>
                  <w:r>
                    <w:rPr>
                      <w:rFonts w:hint="eastAsia"/>
                      <w:bCs/>
                      <w:color w:val="auto"/>
                      <w:kern w:val="0"/>
                      <w:szCs w:val="21"/>
                      <w:lang w:val="en-US" w:eastAsia="zh-CN"/>
                    </w:rPr>
                    <w:t>49</w:t>
                  </w:r>
                </w:p>
              </w:tc>
              <w:tc>
                <w:tcPr>
                  <w:tcW w:w="1227" w:type="dxa"/>
                  <w:noWrap w:val="0"/>
                  <w:vAlign w:val="center"/>
                </w:tcPr>
                <w:p>
                  <w:pPr>
                    <w:widowControl/>
                    <w:jc w:val="center"/>
                    <w:textAlignment w:val="center"/>
                    <w:rPr>
                      <w:color w:val="auto"/>
                      <w:szCs w:val="21"/>
                    </w:rPr>
                  </w:pPr>
                  <w:r>
                    <w:rPr>
                      <w:color w:val="auto"/>
                      <w:kern w:val="0"/>
                      <w:szCs w:val="21"/>
                      <w:lang w:bidi="ar"/>
                    </w:rPr>
                    <w:t>900-041-49</w:t>
                  </w:r>
                </w:p>
              </w:tc>
              <w:tc>
                <w:tcPr>
                  <w:tcW w:w="500" w:type="dxa"/>
                  <w:vMerge w:val="continue"/>
                  <w:noWrap w:val="0"/>
                  <w:vAlign w:val="center"/>
                </w:tcPr>
                <w:p>
                  <w:pPr>
                    <w:topLinePunct/>
                    <w:adjustRightInd w:val="0"/>
                    <w:snapToGrid w:val="0"/>
                    <w:jc w:val="center"/>
                    <w:rPr>
                      <w:snapToGrid w:val="0"/>
                      <w:color w:val="auto"/>
                      <w:kern w:val="0"/>
                      <w:szCs w:val="21"/>
                    </w:rPr>
                  </w:pPr>
                </w:p>
              </w:tc>
              <w:tc>
                <w:tcPr>
                  <w:tcW w:w="720" w:type="dxa"/>
                  <w:vMerge w:val="continue"/>
                  <w:noWrap w:val="0"/>
                  <w:vAlign w:val="center"/>
                </w:tcPr>
                <w:p>
                  <w:pPr>
                    <w:topLinePunct/>
                    <w:adjustRightInd w:val="0"/>
                    <w:snapToGrid w:val="0"/>
                    <w:jc w:val="center"/>
                    <w:rPr>
                      <w:snapToGrid w:val="0"/>
                      <w:color w:val="auto"/>
                      <w:kern w:val="0"/>
                      <w:szCs w:val="21"/>
                    </w:rPr>
                  </w:pPr>
                </w:p>
              </w:tc>
              <w:tc>
                <w:tcPr>
                  <w:tcW w:w="901" w:type="dxa"/>
                  <w:noWrap w:val="0"/>
                  <w:vAlign w:val="top"/>
                </w:tcPr>
                <w:p>
                  <w:pPr>
                    <w:jc w:val="center"/>
                    <w:rPr>
                      <w:rFonts w:hint="eastAsia"/>
                      <w:color w:val="auto"/>
                      <w:szCs w:val="21"/>
                    </w:rPr>
                  </w:pPr>
                  <w:r>
                    <w:rPr>
                      <w:rFonts w:hint="eastAsia"/>
                      <w:color w:val="auto"/>
                      <w:szCs w:val="21"/>
                      <w:lang w:eastAsia="zh-CN"/>
                    </w:rPr>
                    <w:t>托板</w:t>
                  </w:r>
                  <w:r>
                    <w:rPr>
                      <w:color w:val="auto"/>
                      <w:szCs w:val="21"/>
                    </w:rPr>
                    <w:t>存放</w:t>
                  </w:r>
                </w:p>
              </w:tc>
              <w:tc>
                <w:tcPr>
                  <w:tcW w:w="714" w:type="dxa"/>
                  <w:vMerge w:val="continue"/>
                  <w:noWrap w:val="0"/>
                  <w:vAlign w:val="center"/>
                </w:tcPr>
                <w:p>
                  <w:pPr>
                    <w:topLinePunct/>
                    <w:adjustRightInd w:val="0"/>
                    <w:snapToGrid w:val="0"/>
                    <w:jc w:val="center"/>
                    <w:rPr>
                      <w:snapToGrid w:val="0"/>
                      <w:color w:val="auto"/>
                      <w:kern w:val="0"/>
                      <w:szCs w:val="21"/>
                    </w:rPr>
                  </w:pPr>
                </w:p>
              </w:tc>
              <w:tc>
                <w:tcPr>
                  <w:tcW w:w="638" w:type="dxa"/>
                  <w:vMerge w:val="continue"/>
                  <w:noWrap w:val="0"/>
                  <w:vAlign w:val="center"/>
                </w:tcPr>
                <w:p>
                  <w:pPr>
                    <w:topLinePunct/>
                    <w:adjustRightInd w:val="0"/>
                    <w:snapToGrid w:val="0"/>
                    <w:jc w:val="center"/>
                    <w:rPr>
                      <w:snapToGrid w:val="0"/>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426" w:type="dxa"/>
                  <w:noWrap w:val="0"/>
                  <w:vAlign w:val="center"/>
                </w:tcPr>
                <w:p>
                  <w:pPr>
                    <w:topLinePunct/>
                    <w:adjustRightInd w:val="0"/>
                    <w:snapToGrid w:val="0"/>
                    <w:jc w:val="center"/>
                    <w:rPr>
                      <w:rFonts w:hint="eastAsia" w:eastAsia="宋体"/>
                      <w:snapToGrid w:val="0"/>
                      <w:color w:val="auto"/>
                      <w:kern w:val="0"/>
                      <w:szCs w:val="21"/>
                      <w:lang w:val="en-US" w:eastAsia="zh-CN"/>
                    </w:rPr>
                  </w:pPr>
                  <w:r>
                    <w:rPr>
                      <w:rFonts w:hint="eastAsia"/>
                      <w:snapToGrid w:val="0"/>
                      <w:color w:val="auto"/>
                      <w:kern w:val="0"/>
                      <w:szCs w:val="21"/>
                      <w:lang w:val="en-US" w:eastAsia="zh-CN"/>
                    </w:rPr>
                    <w:t>6</w:t>
                  </w:r>
                </w:p>
              </w:tc>
              <w:tc>
                <w:tcPr>
                  <w:tcW w:w="697" w:type="dxa"/>
                  <w:vMerge w:val="continue"/>
                  <w:noWrap w:val="0"/>
                  <w:vAlign w:val="center"/>
                </w:tcPr>
                <w:p>
                  <w:pPr>
                    <w:topLinePunct/>
                    <w:adjustRightInd w:val="0"/>
                    <w:snapToGrid w:val="0"/>
                    <w:jc w:val="center"/>
                    <w:rPr>
                      <w:snapToGrid w:val="0"/>
                      <w:color w:val="auto"/>
                      <w:kern w:val="0"/>
                      <w:szCs w:val="21"/>
                    </w:rPr>
                  </w:pPr>
                </w:p>
              </w:tc>
              <w:tc>
                <w:tcPr>
                  <w:tcW w:w="1078" w:type="dxa"/>
                  <w:noWrap w:val="0"/>
                  <w:vAlign w:val="center"/>
                </w:tcPr>
                <w:p>
                  <w:pPr>
                    <w:widowControl/>
                    <w:jc w:val="center"/>
                    <w:textAlignment w:val="center"/>
                    <w:rPr>
                      <w:rFonts w:hint="eastAsia" w:eastAsia="宋体"/>
                      <w:bCs/>
                      <w:color w:val="auto"/>
                      <w:kern w:val="0"/>
                      <w:szCs w:val="21"/>
                      <w:lang w:eastAsia="zh-CN"/>
                    </w:rPr>
                  </w:pPr>
                  <w:r>
                    <w:rPr>
                      <w:rFonts w:hint="eastAsia" w:ascii="宋体" w:hAnsi="宋体" w:cs="宋体"/>
                      <w:color w:val="auto"/>
                      <w:kern w:val="0"/>
                      <w:szCs w:val="21"/>
                      <w:lang w:eastAsia="zh-CN" w:bidi="ar"/>
                    </w:rPr>
                    <w:t>废矿物油桶</w:t>
                  </w:r>
                </w:p>
              </w:tc>
              <w:tc>
                <w:tcPr>
                  <w:tcW w:w="856" w:type="dxa"/>
                  <w:noWrap w:val="0"/>
                  <w:vAlign w:val="center"/>
                </w:tcPr>
                <w:p>
                  <w:pPr>
                    <w:adjustRightInd w:val="0"/>
                    <w:snapToGrid w:val="0"/>
                    <w:jc w:val="center"/>
                    <w:rPr>
                      <w:rFonts w:hint="default" w:eastAsia="宋体"/>
                      <w:bCs/>
                      <w:color w:val="auto"/>
                      <w:kern w:val="0"/>
                      <w:szCs w:val="21"/>
                      <w:lang w:val="en-US" w:eastAsia="zh-CN"/>
                    </w:rPr>
                  </w:pPr>
                  <w:r>
                    <w:rPr>
                      <w:rFonts w:hint="eastAsia"/>
                      <w:bCs/>
                      <w:color w:val="auto"/>
                      <w:kern w:val="0"/>
                      <w:szCs w:val="21"/>
                    </w:rPr>
                    <w:t>HW</w:t>
                  </w:r>
                  <w:r>
                    <w:rPr>
                      <w:rFonts w:hint="eastAsia"/>
                      <w:bCs/>
                      <w:color w:val="auto"/>
                      <w:kern w:val="0"/>
                      <w:szCs w:val="21"/>
                      <w:lang w:val="en-US" w:eastAsia="zh-CN"/>
                    </w:rPr>
                    <w:t>08</w:t>
                  </w:r>
                </w:p>
              </w:tc>
              <w:tc>
                <w:tcPr>
                  <w:tcW w:w="1227" w:type="dxa"/>
                  <w:noWrap w:val="0"/>
                  <w:vAlign w:val="center"/>
                </w:tcPr>
                <w:p>
                  <w:pPr>
                    <w:widowControl/>
                    <w:jc w:val="center"/>
                    <w:textAlignment w:val="center"/>
                    <w:rPr>
                      <w:bCs/>
                      <w:color w:val="auto"/>
                      <w:kern w:val="0"/>
                      <w:szCs w:val="21"/>
                    </w:rPr>
                  </w:pPr>
                  <w:r>
                    <w:rPr>
                      <w:rFonts w:hint="eastAsia"/>
                      <w:color w:val="auto"/>
                      <w:kern w:val="0"/>
                      <w:szCs w:val="21"/>
                      <w:lang w:val="en-US" w:eastAsia="zh-CN" w:bidi="ar"/>
                    </w:rPr>
                    <w:t>900-249-08</w:t>
                  </w:r>
                </w:p>
              </w:tc>
              <w:tc>
                <w:tcPr>
                  <w:tcW w:w="500" w:type="dxa"/>
                  <w:vMerge w:val="continue"/>
                  <w:noWrap w:val="0"/>
                  <w:vAlign w:val="center"/>
                </w:tcPr>
                <w:p>
                  <w:pPr>
                    <w:topLinePunct/>
                    <w:adjustRightInd w:val="0"/>
                    <w:snapToGrid w:val="0"/>
                    <w:jc w:val="center"/>
                    <w:rPr>
                      <w:snapToGrid w:val="0"/>
                      <w:color w:val="auto"/>
                      <w:kern w:val="0"/>
                      <w:szCs w:val="21"/>
                    </w:rPr>
                  </w:pPr>
                </w:p>
              </w:tc>
              <w:tc>
                <w:tcPr>
                  <w:tcW w:w="720" w:type="dxa"/>
                  <w:vMerge w:val="continue"/>
                  <w:noWrap w:val="0"/>
                  <w:vAlign w:val="center"/>
                </w:tcPr>
                <w:p>
                  <w:pPr>
                    <w:topLinePunct/>
                    <w:adjustRightInd w:val="0"/>
                    <w:snapToGrid w:val="0"/>
                    <w:jc w:val="center"/>
                    <w:rPr>
                      <w:snapToGrid w:val="0"/>
                      <w:color w:val="auto"/>
                      <w:kern w:val="0"/>
                      <w:szCs w:val="21"/>
                    </w:rPr>
                  </w:pPr>
                </w:p>
              </w:tc>
              <w:tc>
                <w:tcPr>
                  <w:tcW w:w="901" w:type="dxa"/>
                  <w:noWrap w:val="0"/>
                  <w:vAlign w:val="top"/>
                </w:tcPr>
                <w:p>
                  <w:pPr>
                    <w:jc w:val="center"/>
                    <w:rPr>
                      <w:rFonts w:hint="eastAsia"/>
                      <w:color w:val="auto"/>
                      <w:szCs w:val="21"/>
                      <w:lang w:eastAsia="zh-CN"/>
                    </w:rPr>
                  </w:pPr>
                  <w:r>
                    <w:rPr>
                      <w:rFonts w:hint="eastAsia"/>
                      <w:color w:val="auto"/>
                      <w:szCs w:val="21"/>
                      <w:lang w:eastAsia="zh-CN"/>
                    </w:rPr>
                    <w:t>托板</w:t>
                  </w:r>
                  <w:r>
                    <w:rPr>
                      <w:color w:val="auto"/>
                      <w:szCs w:val="21"/>
                    </w:rPr>
                    <w:t>存放</w:t>
                  </w:r>
                </w:p>
              </w:tc>
              <w:tc>
                <w:tcPr>
                  <w:tcW w:w="714" w:type="dxa"/>
                  <w:vMerge w:val="continue"/>
                  <w:noWrap w:val="0"/>
                  <w:vAlign w:val="center"/>
                </w:tcPr>
                <w:p>
                  <w:pPr>
                    <w:topLinePunct/>
                    <w:adjustRightInd w:val="0"/>
                    <w:snapToGrid w:val="0"/>
                    <w:jc w:val="center"/>
                    <w:rPr>
                      <w:snapToGrid w:val="0"/>
                      <w:color w:val="auto"/>
                      <w:kern w:val="0"/>
                      <w:szCs w:val="21"/>
                    </w:rPr>
                  </w:pPr>
                </w:p>
              </w:tc>
              <w:tc>
                <w:tcPr>
                  <w:tcW w:w="638" w:type="dxa"/>
                  <w:vMerge w:val="continue"/>
                  <w:noWrap w:val="0"/>
                  <w:vAlign w:val="center"/>
                </w:tcPr>
                <w:p>
                  <w:pPr>
                    <w:topLinePunct/>
                    <w:adjustRightInd w:val="0"/>
                    <w:snapToGrid w:val="0"/>
                    <w:jc w:val="center"/>
                    <w:rPr>
                      <w:snapToGrid w:val="0"/>
                      <w:color w:val="auto"/>
                      <w:kern w:val="0"/>
                      <w:szCs w:val="21"/>
                    </w:rPr>
                  </w:pPr>
                </w:p>
              </w:tc>
            </w:tr>
          </w:tbl>
          <w:p>
            <w:pPr>
              <w:widowControl/>
              <w:adjustRightInd w:val="0"/>
              <w:snapToGrid w:val="0"/>
              <w:spacing w:line="360" w:lineRule="auto"/>
              <w:ind w:firstLine="480" w:firstLineChars="200"/>
              <w:rPr>
                <w:rFonts w:ascii="Times New Roman" w:hAnsi="Times New Roman" w:eastAsia="宋体" w:cs="Times New Roman"/>
                <w:b w:val="0"/>
                <w:color w:val="auto"/>
                <w:sz w:val="24"/>
              </w:rPr>
            </w:pPr>
            <w:r>
              <w:rPr>
                <w:rFonts w:ascii="Times New Roman" w:hAnsi="Times New Roman" w:eastAsia="宋体" w:cs="Times New Roman"/>
                <w:color w:val="auto"/>
                <w:sz w:val="24"/>
              </w:rPr>
              <w:t>本项目临时储存危险废物应做到以下防范措施：①不相容的危险废物不能堆放在一起，必</w:t>
            </w:r>
            <w:r>
              <w:rPr>
                <w:rFonts w:ascii="Times New Roman" w:hAnsi="Times New Roman" w:eastAsia="宋体" w:cs="Times New Roman"/>
                <w:b w:val="0"/>
                <w:color w:val="auto"/>
                <w:sz w:val="24"/>
              </w:rPr>
              <w:t>须将危险废物装入容器内，且容器必须完好无损，禁止将不相容（相互反应）的危险废物在同一容器内混装；②必须有</w:t>
            </w:r>
            <w:r>
              <w:rPr>
                <w:rFonts w:hint="eastAsia" w:ascii="Times New Roman" w:hAnsi="Times New Roman" w:eastAsia="宋体" w:cs="Times New Roman"/>
                <w:b w:val="0"/>
                <w:color w:val="auto"/>
                <w:sz w:val="24"/>
                <w:lang w:eastAsia="zh-CN"/>
              </w:rPr>
              <w:t>泄漏</w:t>
            </w:r>
            <w:r>
              <w:rPr>
                <w:rFonts w:ascii="Times New Roman" w:hAnsi="Times New Roman" w:eastAsia="宋体" w:cs="Times New Roman"/>
                <w:b w:val="0"/>
                <w:color w:val="auto"/>
                <w:sz w:val="24"/>
              </w:rPr>
              <w:t>液体收集装置。</w:t>
            </w:r>
          </w:p>
          <w:p>
            <w:pPr>
              <w:widowControl/>
              <w:adjustRightInd w:val="0"/>
              <w:snapToGrid w:val="0"/>
              <w:spacing w:line="360" w:lineRule="auto"/>
              <w:ind w:firstLine="480" w:firstLineChars="200"/>
              <w:rPr>
                <w:color w:val="auto"/>
                <w:sz w:val="24"/>
              </w:rPr>
            </w:pPr>
            <w:r>
              <w:rPr>
                <w:color w:val="auto"/>
                <w:sz w:val="24"/>
              </w:rPr>
              <w:t>根据中华人民共和国国务院令第344号《危险化学品安全管理条例》的有关规定，在危险废弃物外运至处置单位时必须严格遵守以下要求：</w:t>
            </w:r>
          </w:p>
          <w:p>
            <w:pPr>
              <w:widowControl/>
              <w:adjustRightInd w:val="0"/>
              <w:snapToGrid w:val="0"/>
              <w:spacing w:line="360" w:lineRule="auto"/>
              <w:ind w:firstLine="480" w:firstLineChars="200"/>
              <w:rPr>
                <w:color w:val="auto"/>
                <w:sz w:val="24"/>
              </w:rPr>
            </w:pPr>
            <w:r>
              <w:rPr>
                <w:color w:val="auto"/>
                <w:sz w:val="24"/>
              </w:rPr>
              <w:t>①做好每次外运处置废弃物的运输登记，按照危险废物转移规定开展网上申报。</w:t>
            </w:r>
          </w:p>
          <w:p>
            <w:pPr>
              <w:widowControl/>
              <w:adjustRightInd w:val="0"/>
              <w:snapToGrid w:val="0"/>
              <w:spacing w:line="360" w:lineRule="auto"/>
              <w:ind w:firstLine="480" w:firstLineChars="200"/>
              <w:rPr>
                <w:color w:val="auto"/>
                <w:sz w:val="24"/>
              </w:rPr>
            </w:pPr>
            <w:r>
              <w:rPr>
                <w:color w:val="auto"/>
                <w:sz w:val="24"/>
              </w:rPr>
              <w:t>②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widowControl/>
              <w:adjustRightInd w:val="0"/>
              <w:snapToGrid w:val="0"/>
              <w:spacing w:line="360" w:lineRule="auto"/>
              <w:ind w:firstLine="480" w:firstLineChars="200"/>
              <w:rPr>
                <w:color w:val="auto"/>
                <w:sz w:val="24"/>
              </w:rPr>
            </w:pPr>
            <w:r>
              <w:rPr>
                <w:color w:val="auto"/>
                <w:sz w:val="24"/>
              </w:rPr>
              <w:t>③处置单位在运输危险废弃物时必须配备押运人员，并随时处于押运人员的监管之下，不得超装、超载，严格按照所在城市规定的行车时间和行车路线行驶，不得进入危险化学品运输车辆禁止通行的区域。</w:t>
            </w:r>
          </w:p>
          <w:p>
            <w:pPr>
              <w:widowControl/>
              <w:adjustRightInd w:val="0"/>
              <w:snapToGrid w:val="0"/>
              <w:spacing w:line="360" w:lineRule="auto"/>
              <w:ind w:firstLine="480" w:firstLineChars="200"/>
              <w:rPr>
                <w:color w:val="auto"/>
                <w:sz w:val="24"/>
              </w:rPr>
            </w:pPr>
            <w:r>
              <w:rPr>
                <w:color w:val="auto"/>
                <w:sz w:val="24"/>
              </w:rPr>
              <w:t>④危险废弃物在运输途中若发生被盗、丢失、流散、泄漏等情况时，公司及押运人员必须立即向当地公安部门报告，并采取一切可能的警示措施。</w:t>
            </w:r>
          </w:p>
          <w:p>
            <w:pPr>
              <w:spacing w:line="360" w:lineRule="auto"/>
              <w:ind w:firstLine="480" w:firstLineChars="200"/>
              <w:rPr>
                <w:color w:val="auto"/>
                <w:sz w:val="24"/>
              </w:rPr>
            </w:pPr>
            <w:r>
              <w:rPr>
                <w:color w:val="auto"/>
                <w:sz w:val="24"/>
              </w:rPr>
              <w:t>⑤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spacing w:line="360" w:lineRule="auto"/>
              <w:ind w:firstLine="480" w:firstLineChars="200"/>
              <w:rPr>
                <w:rFonts w:hint="eastAsia"/>
                <w:color w:val="auto"/>
              </w:rPr>
            </w:pPr>
            <w:r>
              <w:rPr>
                <w:rFonts w:hint="eastAsia" w:ascii="Times New Roman" w:hAnsi="Times New Roman" w:eastAsia="宋体" w:cs="Times New Roman"/>
                <w:color w:val="auto"/>
                <w:sz w:val="24"/>
              </w:rPr>
              <w:t>本</w:t>
            </w:r>
            <w:r>
              <w:rPr>
                <w:rFonts w:ascii="Times New Roman" w:hAnsi="Times New Roman" w:eastAsia="宋体" w:cs="Times New Roman"/>
                <w:color w:val="auto"/>
                <w:sz w:val="24"/>
              </w:rPr>
              <w:t>项目产生</w:t>
            </w:r>
            <w:r>
              <w:rPr>
                <w:rFonts w:hint="eastAsia" w:ascii="Times New Roman" w:hAnsi="Times New Roman" w:eastAsia="宋体" w:cs="Times New Roman"/>
                <w:color w:val="auto"/>
                <w:sz w:val="24"/>
              </w:rPr>
              <w:t>的危险废物</w:t>
            </w:r>
            <w:r>
              <w:rPr>
                <w:rFonts w:ascii="Times New Roman" w:hAnsi="Times New Roman" w:eastAsia="宋体" w:cs="Times New Roman"/>
                <w:color w:val="auto"/>
                <w:sz w:val="24"/>
              </w:rPr>
              <w:t>委托</w:t>
            </w:r>
            <w:r>
              <w:rPr>
                <w:rFonts w:hint="eastAsia" w:ascii="Times New Roman" w:hAnsi="Times New Roman" w:eastAsia="宋体" w:cs="Times New Roman"/>
                <w:color w:val="auto"/>
                <w:sz w:val="24"/>
              </w:rPr>
              <w:t>有</w:t>
            </w:r>
            <w:r>
              <w:rPr>
                <w:rFonts w:ascii="Times New Roman" w:hAnsi="Times New Roman" w:eastAsia="宋体" w:cs="Times New Roman"/>
                <w:color w:val="auto"/>
                <w:sz w:val="24"/>
              </w:rPr>
              <w:t>资质单位进行处置，项目</w:t>
            </w:r>
            <w:r>
              <w:rPr>
                <w:rFonts w:hint="eastAsia" w:ascii="Times New Roman" w:hAnsi="Times New Roman" w:eastAsia="宋体" w:cs="Times New Roman"/>
                <w:color w:val="auto"/>
                <w:sz w:val="24"/>
              </w:rPr>
              <w:t>周边区域</w:t>
            </w:r>
            <w:r>
              <w:rPr>
                <w:rFonts w:ascii="Times New Roman" w:hAnsi="Times New Roman" w:eastAsia="宋体" w:cs="Times New Roman"/>
                <w:color w:val="auto"/>
                <w:sz w:val="24"/>
              </w:rPr>
              <w:t>危废处置单位有安徽浩悦环境科技有限责任公司</w:t>
            </w:r>
            <w:r>
              <w:rPr>
                <w:rFonts w:hint="eastAsia" w:ascii="Times New Roman" w:hAnsi="Times New Roman" w:eastAsia="宋体" w:cs="Times New Roman"/>
                <w:color w:val="auto"/>
                <w:sz w:val="24"/>
              </w:rPr>
              <w:t>、</w:t>
            </w:r>
            <w:r>
              <w:rPr>
                <w:rFonts w:ascii="Times New Roman" w:hAnsi="Times New Roman" w:eastAsia="宋体" w:cs="Times New Roman"/>
                <w:color w:val="auto"/>
                <w:sz w:val="24"/>
              </w:rPr>
              <w:t>安徽远大燃料油有限公司</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rPr>
              <w:t>安徽嘉朋特环保科技服务有限公司</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rPr>
              <w:t>芜湖海创环保科技有限责任公司</w:t>
            </w:r>
            <w:r>
              <w:rPr>
                <w:rFonts w:ascii="Times New Roman" w:hAnsi="Times New Roman" w:eastAsia="宋体" w:cs="Times New Roman"/>
                <w:color w:val="auto"/>
                <w:sz w:val="24"/>
              </w:rPr>
              <w:t>等，本项目危废产生类别以及处理量均在其处置范围</w:t>
            </w:r>
            <w:r>
              <w:rPr>
                <w:color w:val="auto"/>
                <w:sz w:val="24"/>
              </w:rPr>
              <w:t>内，因此项目区附近资质单位有能力接纳本项目产生的危废</w:t>
            </w:r>
            <w:r>
              <w:rPr>
                <w:rFonts w:hint="eastAsia"/>
                <w:color w:val="auto"/>
                <w:sz w:val="24"/>
              </w:rPr>
              <w:t>，项目危险废物处置去向合理</w:t>
            </w:r>
            <w:r>
              <w:rPr>
                <w:color w:val="auto"/>
                <w:sz w:val="24"/>
              </w:rPr>
              <w:t>。</w:t>
            </w:r>
          </w:p>
          <w:p>
            <w:pPr>
              <w:spacing w:line="360" w:lineRule="auto"/>
              <w:ind w:firstLine="482" w:firstLineChars="200"/>
              <w:rPr>
                <w:rFonts w:hint="eastAsia"/>
                <w:b/>
                <w:bCs/>
                <w:color w:val="auto"/>
                <w:sz w:val="24"/>
              </w:rPr>
            </w:pPr>
            <w:r>
              <w:rPr>
                <w:rFonts w:hint="eastAsia"/>
                <w:b/>
                <w:bCs/>
                <w:color w:val="auto"/>
                <w:sz w:val="24"/>
              </w:rPr>
              <w:t>（五）地下水、土壤</w:t>
            </w:r>
          </w:p>
          <w:p>
            <w:pPr>
              <w:pStyle w:val="56"/>
              <w:ind w:firstLine="480" w:firstLineChars="200"/>
              <w:rPr>
                <w:rFonts w:hint="eastAsia" w:eastAsia="宋体"/>
                <w:b w:val="0"/>
                <w:bCs w:val="0"/>
                <w:color w:val="auto"/>
                <w:szCs w:val="24"/>
              </w:rPr>
            </w:pPr>
            <w:r>
              <w:rPr>
                <w:rFonts w:hint="eastAsia" w:eastAsia="宋体"/>
                <w:b w:val="0"/>
                <w:bCs w:val="0"/>
                <w:color w:val="auto"/>
                <w:szCs w:val="24"/>
              </w:rPr>
              <w:t>为防止污染地下水，本项目危废</w:t>
            </w:r>
            <w:r>
              <w:rPr>
                <w:rFonts w:hint="eastAsia" w:eastAsia="宋体"/>
                <w:b w:val="0"/>
                <w:bCs w:val="0"/>
                <w:color w:val="auto"/>
                <w:szCs w:val="24"/>
                <w:lang w:eastAsia="zh-CN"/>
              </w:rPr>
              <w:t>仓库</w:t>
            </w:r>
            <w:r>
              <w:rPr>
                <w:rFonts w:hint="eastAsia" w:eastAsia="宋体"/>
                <w:b w:val="0"/>
                <w:bCs w:val="0"/>
                <w:color w:val="auto"/>
                <w:szCs w:val="24"/>
              </w:rPr>
              <w:t>、</w:t>
            </w:r>
            <w:r>
              <w:rPr>
                <w:rFonts w:hint="eastAsia" w:eastAsia="宋体"/>
                <w:b w:val="0"/>
                <w:bCs w:val="0"/>
                <w:color w:val="auto"/>
                <w:szCs w:val="24"/>
                <w:lang w:eastAsia="zh-CN"/>
              </w:rPr>
              <w:t>甲类仓库</w:t>
            </w:r>
            <w:r>
              <w:rPr>
                <w:rFonts w:hint="eastAsia" w:eastAsia="宋体"/>
                <w:b w:val="0"/>
                <w:bCs w:val="0"/>
                <w:color w:val="auto"/>
                <w:szCs w:val="24"/>
              </w:rPr>
              <w:t>、</w:t>
            </w:r>
            <w:r>
              <w:rPr>
                <w:rFonts w:hint="eastAsia" w:eastAsia="宋体"/>
                <w:b w:val="0"/>
                <w:bCs w:val="0"/>
                <w:color w:val="auto"/>
                <w:szCs w:val="24"/>
                <w:lang w:eastAsia="zh-CN"/>
              </w:rPr>
              <w:t>事故池</w:t>
            </w:r>
            <w:r>
              <w:rPr>
                <w:rFonts w:hint="eastAsia" w:eastAsia="宋体"/>
                <w:b w:val="0"/>
                <w:bCs w:val="0"/>
                <w:color w:val="auto"/>
                <w:szCs w:val="24"/>
              </w:rPr>
              <w:t>、</w:t>
            </w:r>
            <w:r>
              <w:rPr>
                <w:rFonts w:hint="eastAsia" w:eastAsia="宋体"/>
                <w:b w:val="0"/>
                <w:bCs w:val="0"/>
                <w:color w:val="auto"/>
                <w:szCs w:val="24"/>
                <w:lang w:eastAsia="zh-CN"/>
              </w:rPr>
              <w:t>污水处理站</w:t>
            </w:r>
            <w:r>
              <w:rPr>
                <w:rFonts w:hint="eastAsia" w:eastAsia="宋体"/>
                <w:b w:val="0"/>
                <w:bCs w:val="0"/>
                <w:color w:val="auto"/>
                <w:szCs w:val="24"/>
              </w:rPr>
              <w:t>等均</w:t>
            </w:r>
            <w:r>
              <w:rPr>
                <w:rFonts w:hint="eastAsia" w:eastAsia="宋体"/>
                <w:b w:val="0"/>
                <w:bCs w:val="0"/>
                <w:color w:val="auto"/>
                <w:szCs w:val="24"/>
                <w:lang w:val="en-US" w:eastAsia="zh-CN"/>
              </w:rPr>
              <w:t>依托现有在建的防渗措施</w:t>
            </w:r>
            <w:r>
              <w:rPr>
                <w:rFonts w:hint="eastAsia" w:eastAsia="宋体"/>
                <w:b w:val="0"/>
                <w:bCs w:val="0"/>
                <w:color w:val="auto"/>
                <w:szCs w:val="24"/>
              </w:rPr>
              <w:t>进行分区防渗处理。</w:t>
            </w:r>
          </w:p>
          <w:p>
            <w:pPr>
              <w:widowControl/>
              <w:numPr>
                <w:ilvl w:val="0"/>
                <w:numId w:val="2"/>
              </w:numPr>
              <w:spacing w:line="360" w:lineRule="auto"/>
              <w:jc w:val="center"/>
              <w:rPr>
                <w:b/>
                <w:bCs/>
                <w:color w:val="auto"/>
              </w:rPr>
            </w:pPr>
            <w:r>
              <w:rPr>
                <w:b/>
                <w:bCs/>
                <w:color w:val="auto"/>
              </w:rPr>
              <w:t>本项目分区防渗一览表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189"/>
              <w:gridCol w:w="1653"/>
              <w:gridCol w:w="2461"/>
              <w:gridCol w:w="14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2189" w:type="dxa"/>
                  <w:noWrap w:val="0"/>
                  <w:vAlign w:val="center"/>
                </w:tcPr>
                <w:p>
                  <w:pPr>
                    <w:widowControl/>
                    <w:autoSpaceDN w:val="0"/>
                    <w:adjustRightInd w:val="0"/>
                    <w:snapToGrid w:val="0"/>
                    <w:spacing w:line="360" w:lineRule="exact"/>
                    <w:jc w:val="center"/>
                    <w:rPr>
                      <w:b/>
                      <w:bCs/>
                      <w:color w:val="auto"/>
                    </w:rPr>
                  </w:pPr>
                  <w:r>
                    <w:rPr>
                      <w:b/>
                      <w:bCs/>
                      <w:color w:val="auto"/>
                    </w:rPr>
                    <w:t>装置、单元</w:t>
                  </w:r>
                </w:p>
                <w:p>
                  <w:pPr>
                    <w:widowControl/>
                    <w:autoSpaceDN w:val="0"/>
                    <w:adjustRightInd w:val="0"/>
                    <w:snapToGrid w:val="0"/>
                    <w:spacing w:line="360" w:lineRule="exact"/>
                    <w:jc w:val="center"/>
                    <w:rPr>
                      <w:b/>
                      <w:bCs/>
                      <w:color w:val="auto"/>
                    </w:rPr>
                  </w:pPr>
                  <w:r>
                    <w:rPr>
                      <w:b/>
                      <w:bCs/>
                      <w:color w:val="auto"/>
                    </w:rPr>
                    <w:t>名称</w:t>
                  </w:r>
                </w:p>
              </w:tc>
              <w:tc>
                <w:tcPr>
                  <w:tcW w:w="1653" w:type="dxa"/>
                  <w:noWrap w:val="0"/>
                  <w:vAlign w:val="center"/>
                </w:tcPr>
                <w:p>
                  <w:pPr>
                    <w:widowControl/>
                    <w:autoSpaceDN w:val="0"/>
                    <w:adjustRightInd w:val="0"/>
                    <w:snapToGrid w:val="0"/>
                    <w:spacing w:line="360" w:lineRule="exact"/>
                    <w:jc w:val="center"/>
                    <w:rPr>
                      <w:b/>
                      <w:bCs/>
                      <w:color w:val="auto"/>
                    </w:rPr>
                  </w:pPr>
                  <w:r>
                    <w:rPr>
                      <w:b/>
                      <w:bCs/>
                      <w:color w:val="auto"/>
                    </w:rPr>
                    <w:t>污染防治区</w:t>
                  </w:r>
                </w:p>
                <w:p>
                  <w:pPr>
                    <w:widowControl/>
                    <w:autoSpaceDN w:val="0"/>
                    <w:adjustRightInd w:val="0"/>
                    <w:snapToGrid w:val="0"/>
                    <w:spacing w:line="360" w:lineRule="exact"/>
                    <w:jc w:val="center"/>
                    <w:rPr>
                      <w:b/>
                      <w:bCs/>
                      <w:color w:val="auto"/>
                    </w:rPr>
                  </w:pPr>
                  <w:r>
                    <w:rPr>
                      <w:b/>
                      <w:bCs/>
                      <w:color w:val="auto"/>
                    </w:rPr>
                    <w:t>类别</w:t>
                  </w:r>
                </w:p>
              </w:tc>
              <w:tc>
                <w:tcPr>
                  <w:tcW w:w="2461" w:type="dxa"/>
                  <w:noWrap w:val="0"/>
                  <w:vAlign w:val="center"/>
                </w:tcPr>
                <w:p>
                  <w:pPr>
                    <w:widowControl/>
                    <w:autoSpaceDN w:val="0"/>
                    <w:adjustRightInd w:val="0"/>
                    <w:snapToGrid w:val="0"/>
                    <w:spacing w:line="360" w:lineRule="exact"/>
                    <w:jc w:val="center"/>
                    <w:rPr>
                      <w:b/>
                      <w:bCs/>
                      <w:color w:val="auto"/>
                    </w:rPr>
                  </w:pPr>
                  <w:r>
                    <w:rPr>
                      <w:b/>
                      <w:bCs/>
                      <w:color w:val="auto"/>
                    </w:rPr>
                    <w:t>防渗设计要求</w:t>
                  </w:r>
                </w:p>
              </w:tc>
              <w:tc>
                <w:tcPr>
                  <w:tcW w:w="1435" w:type="dxa"/>
                  <w:noWrap w:val="0"/>
                  <w:vAlign w:val="center"/>
                </w:tcPr>
                <w:p>
                  <w:pPr>
                    <w:widowControl/>
                    <w:autoSpaceDN w:val="0"/>
                    <w:adjustRightInd w:val="0"/>
                    <w:snapToGrid w:val="0"/>
                    <w:spacing w:line="360" w:lineRule="exact"/>
                    <w:jc w:val="center"/>
                    <w:rPr>
                      <w:rFonts w:hint="eastAsia" w:eastAsia="宋体"/>
                      <w:b/>
                      <w:bCs/>
                      <w:color w:val="auto"/>
                      <w:lang w:eastAsia="zh-CN"/>
                    </w:rPr>
                  </w:pPr>
                  <w:r>
                    <w:rPr>
                      <w:rFonts w:hint="eastAsia"/>
                      <w:b/>
                      <w:bCs/>
                      <w:color w:val="auto"/>
                      <w:lang w:eastAsia="zh-CN"/>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50" w:hRule="atLeast"/>
                <w:jc w:val="center"/>
              </w:trPr>
              <w:tc>
                <w:tcPr>
                  <w:tcW w:w="2189" w:type="dxa"/>
                  <w:noWrap w:val="0"/>
                  <w:vAlign w:val="center"/>
                </w:tcPr>
                <w:p>
                  <w:pPr>
                    <w:widowControl/>
                    <w:autoSpaceDN w:val="0"/>
                    <w:adjustRightInd w:val="0"/>
                    <w:snapToGrid w:val="0"/>
                    <w:spacing w:line="360" w:lineRule="exact"/>
                    <w:rPr>
                      <w:b w:val="0"/>
                      <w:bCs w:val="0"/>
                      <w:color w:val="auto"/>
                    </w:rPr>
                  </w:pPr>
                  <w:r>
                    <w:rPr>
                      <w:rFonts w:hint="eastAsia" w:eastAsia="宋体"/>
                      <w:b w:val="0"/>
                      <w:bCs w:val="0"/>
                      <w:color w:val="auto"/>
                      <w:szCs w:val="24"/>
                    </w:rPr>
                    <w:t>危废</w:t>
                  </w:r>
                  <w:r>
                    <w:rPr>
                      <w:rFonts w:hint="eastAsia" w:eastAsia="宋体"/>
                      <w:b w:val="0"/>
                      <w:bCs w:val="0"/>
                      <w:color w:val="auto"/>
                      <w:szCs w:val="24"/>
                      <w:lang w:eastAsia="zh-CN"/>
                    </w:rPr>
                    <w:t>仓库</w:t>
                  </w:r>
                  <w:r>
                    <w:rPr>
                      <w:rFonts w:hint="eastAsia" w:eastAsia="宋体"/>
                      <w:b w:val="0"/>
                      <w:bCs w:val="0"/>
                      <w:color w:val="auto"/>
                      <w:szCs w:val="24"/>
                    </w:rPr>
                    <w:t>、</w:t>
                  </w:r>
                  <w:r>
                    <w:rPr>
                      <w:rFonts w:hint="eastAsia" w:eastAsia="宋体"/>
                      <w:b w:val="0"/>
                      <w:bCs w:val="0"/>
                      <w:color w:val="auto"/>
                      <w:szCs w:val="24"/>
                      <w:lang w:eastAsia="zh-CN"/>
                    </w:rPr>
                    <w:t>甲类仓库</w:t>
                  </w:r>
                  <w:r>
                    <w:rPr>
                      <w:rFonts w:hint="eastAsia" w:eastAsia="宋体"/>
                      <w:b w:val="0"/>
                      <w:bCs w:val="0"/>
                      <w:color w:val="auto"/>
                      <w:szCs w:val="24"/>
                    </w:rPr>
                    <w:t>、</w:t>
                  </w:r>
                  <w:r>
                    <w:rPr>
                      <w:rFonts w:hint="eastAsia" w:eastAsia="宋体"/>
                      <w:b w:val="0"/>
                      <w:bCs w:val="0"/>
                      <w:color w:val="auto"/>
                      <w:szCs w:val="24"/>
                      <w:lang w:eastAsia="zh-CN"/>
                    </w:rPr>
                    <w:t>事故池</w:t>
                  </w:r>
                  <w:r>
                    <w:rPr>
                      <w:rFonts w:hint="eastAsia" w:eastAsia="宋体"/>
                      <w:b w:val="0"/>
                      <w:bCs w:val="0"/>
                      <w:color w:val="auto"/>
                      <w:szCs w:val="24"/>
                    </w:rPr>
                    <w:t>、</w:t>
                  </w:r>
                  <w:r>
                    <w:rPr>
                      <w:rFonts w:hint="eastAsia" w:eastAsia="宋体"/>
                      <w:b w:val="0"/>
                      <w:bCs w:val="0"/>
                      <w:color w:val="auto"/>
                      <w:szCs w:val="24"/>
                      <w:lang w:eastAsia="zh-CN"/>
                    </w:rPr>
                    <w:t>污水处理站</w:t>
                  </w:r>
                </w:p>
              </w:tc>
              <w:tc>
                <w:tcPr>
                  <w:tcW w:w="1653" w:type="dxa"/>
                  <w:noWrap w:val="0"/>
                  <w:vAlign w:val="center"/>
                </w:tcPr>
                <w:p>
                  <w:pPr>
                    <w:widowControl/>
                    <w:autoSpaceDN w:val="0"/>
                    <w:adjustRightInd w:val="0"/>
                    <w:snapToGrid w:val="0"/>
                    <w:spacing w:line="360" w:lineRule="exact"/>
                    <w:jc w:val="center"/>
                    <w:rPr>
                      <w:b w:val="0"/>
                      <w:bCs w:val="0"/>
                      <w:color w:val="auto"/>
                    </w:rPr>
                  </w:pPr>
                  <w:r>
                    <w:rPr>
                      <w:b w:val="0"/>
                      <w:bCs w:val="0"/>
                      <w:color w:val="auto"/>
                    </w:rPr>
                    <w:t>重点</w:t>
                  </w:r>
                </w:p>
                <w:p>
                  <w:pPr>
                    <w:widowControl/>
                    <w:autoSpaceDN w:val="0"/>
                    <w:adjustRightInd w:val="0"/>
                    <w:snapToGrid w:val="0"/>
                    <w:spacing w:line="360" w:lineRule="exact"/>
                    <w:jc w:val="center"/>
                    <w:rPr>
                      <w:b w:val="0"/>
                      <w:bCs w:val="0"/>
                      <w:color w:val="auto"/>
                    </w:rPr>
                  </w:pPr>
                  <w:r>
                    <w:rPr>
                      <w:b w:val="0"/>
                      <w:bCs w:val="0"/>
                      <w:color w:val="auto"/>
                    </w:rPr>
                    <w:t>防渗区</w:t>
                  </w:r>
                </w:p>
              </w:tc>
              <w:tc>
                <w:tcPr>
                  <w:tcW w:w="2461" w:type="dxa"/>
                  <w:noWrap w:val="0"/>
                  <w:vAlign w:val="center"/>
                </w:tcPr>
                <w:p>
                  <w:pPr>
                    <w:widowControl/>
                    <w:adjustRightInd w:val="0"/>
                    <w:snapToGrid w:val="0"/>
                    <w:rPr>
                      <w:b w:val="0"/>
                      <w:bCs w:val="0"/>
                      <w:color w:val="auto"/>
                    </w:rPr>
                  </w:pPr>
                  <w:r>
                    <w:rPr>
                      <w:rFonts w:hint="eastAsia"/>
                      <w:color w:val="auto"/>
                    </w:rPr>
                    <w:t>要求</w:t>
                  </w:r>
                  <w:r>
                    <w:rPr>
                      <w:rFonts w:hint="eastAsia"/>
                      <w:color w:val="auto"/>
                      <w:lang w:eastAsia="zh-CN"/>
                    </w:rPr>
                    <w:t>等效粘土防渗层</w:t>
                  </w:r>
                  <w:r>
                    <w:rPr>
                      <w:color w:val="auto"/>
                      <w:kern w:val="0"/>
                      <w:szCs w:val="21"/>
                    </w:rPr>
                    <w:t>Mb≥6.0m，渗透系数K</w:t>
                  </w:r>
                  <w:r>
                    <w:rPr>
                      <w:color w:val="auto"/>
                    </w:rPr>
                    <w:t>≤</w:t>
                  </w:r>
                  <w:r>
                    <w:rPr>
                      <w:rFonts w:hint="eastAsia"/>
                      <w:color w:val="auto"/>
                      <w:lang w:val="en-US" w:eastAsia="zh-CN"/>
                    </w:rPr>
                    <w:t>1</w:t>
                  </w:r>
                  <w:r>
                    <w:rPr>
                      <w:rFonts w:hint="default" w:ascii="Arial" w:hAnsi="Arial" w:cs="Arial"/>
                      <w:color w:val="auto"/>
                      <w:lang w:val="en-US" w:eastAsia="zh-CN"/>
                    </w:rPr>
                    <w:t>×</w:t>
                  </w:r>
                  <w:r>
                    <w:rPr>
                      <w:color w:val="auto"/>
                    </w:rPr>
                    <w:t>10</w:t>
                  </w:r>
                  <w:r>
                    <w:rPr>
                      <w:color w:val="auto"/>
                      <w:vertAlign w:val="superscript"/>
                    </w:rPr>
                    <w:t>-7</w:t>
                  </w:r>
                  <w:r>
                    <w:rPr>
                      <w:color w:val="auto"/>
                    </w:rPr>
                    <w:t>cm/s</w:t>
                  </w:r>
                </w:p>
              </w:tc>
              <w:tc>
                <w:tcPr>
                  <w:tcW w:w="1435" w:type="dxa"/>
                  <w:noWrap w:val="0"/>
                  <w:vAlign w:val="center"/>
                </w:tcPr>
                <w:p>
                  <w:pPr>
                    <w:widowControl/>
                    <w:adjustRightInd w:val="0"/>
                    <w:snapToGrid w:val="0"/>
                    <w:spacing w:line="360" w:lineRule="exact"/>
                    <w:rPr>
                      <w:rFonts w:hint="eastAsia" w:eastAsia="宋体"/>
                      <w:b w:val="0"/>
                      <w:bCs w:val="0"/>
                      <w:color w:val="auto"/>
                      <w:lang w:eastAsia="zh-CN"/>
                    </w:rPr>
                  </w:pPr>
                  <w:r>
                    <w:rPr>
                      <w:rFonts w:hint="eastAsia"/>
                      <w:b w:val="0"/>
                      <w:bCs w:val="0"/>
                      <w:color w:val="auto"/>
                      <w:lang w:eastAsia="zh-CN"/>
                    </w:rPr>
                    <w:t>现有工程</w:t>
                  </w:r>
                  <w:r>
                    <w:rPr>
                      <w:b w:val="0"/>
                      <w:bCs w:val="0"/>
                      <w:color w:val="auto"/>
                    </w:rPr>
                    <w:t>重点防渗措施</w:t>
                  </w:r>
                  <w:r>
                    <w:rPr>
                      <w:rFonts w:hint="eastAsia"/>
                      <w:b w:val="0"/>
                      <w:bCs w:val="0"/>
                      <w:color w:val="auto"/>
                      <w:lang w:eastAsia="zh-CN"/>
                    </w:rPr>
                    <w:t>不变</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189" w:type="dxa"/>
                  <w:noWrap w:val="0"/>
                  <w:vAlign w:val="center"/>
                </w:tcPr>
                <w:p>
                  <w:pPr>
                    <w:widowControl/>
                    <w:autoSpaceDN w:val="0"/>
                    <w:adjustRightInd w:val="0"/>
                    <w:snapToGrid w:val="0"/>
                    <w:spacing w:line="360" w:lineRule="exact"/>
                    <w:rPr>
                      <w:b w:val="0"/>
                      <w:bCs w:val="0"/>
                      <w:color w:val="auto"/>
                      <w:lang w:val="zh-CN"/>
                    </w:rPr>
                  </w:pPr>
                  <w:r>
                    <w:rPr>
                      <w:b w:val="0"/>
                      <w:bCs w:val="0"/>
                      <w:color w:val="auto"/>
                      <w:lang w:val="zh-CN"/>
                    </w:rPr>
                    <w:t>车间厂房、一般固废暂存库</w:t>
                  </w:r>
                </w:p>
              </w:tc>
              <w:tc>
                <w:tcPr>
                  <w:tcW w:w="1653" w:type="dxa"/>
                  <w:noWrap w:val="0"/>
                  <w:vAlign w:val="center"/>
                </w:tcPr>
                <w:p>
                  <w:pPr>
                    <w:widowControl/>
                    <w:autoSpaceDN w:val="0"/>
                    <w:adjustRightInd w:val="0"/>
                    <w:snapToGrid w:val="0"/>
                    <w:spacing w:line="360" w:lineRule="exact"/>
                    <w:jc w:val="center"/>
                    <w:rPr>
                      <w:b w:val="0"/>
                      <w:bCs w:val="0"/>
                      <w:color w:val="auto"/>
                    </w:rPr>
                  </w:pPr>
                  <w:r>
                    <w:rPr>
                      <w:b w:val="0"/>
                      <w:bCs w:val="0"/>
                      <w:color w:val="auto"/>
                    </w:rPr>
                    <w:t>一般</w:t>
                  </w:r>
                </w:p>
                <w:p>
                  <w:pPr>
                    <w:widowControl/>
                    <w:autoSpaceDN w:val="0"/>
                    <w:adjustRightInd w:val="0"/>
                    <w:snapToGrid w:val="0"/>
                    <w:spacing w:line="360" w:lineRule="exact"/>
                    <w:jc w:val="center"/>
                    <w:rPr>
                      <w:b w:val="0"/>
                      <w:bCs w:val="0"/>
                      <w:color w:val="auto"/>
                    </w:rPr>
                  </w:pPr>
                  <w:r>
                    <w:rPr>
                      <w:b w:val="0"/>
                      <w:bCs w:val="0"/>
                      <w:color w:val="auto"/>
                    </w:rPr>
                    <w:t>防渗区</w:t>
                  </w:r>
                </w:p>
              </w:tc>
              <w:tc>
                <w:tcPr>
                  <w:tcW w:w="2461" w:type="dxa"/>
                  <w:noWrap w:val="0"/>
                  <w:vAlign w:val="center"/>
                </w:tcPr>
                <w:p>
                  <w:pPr>
                    <w:widowControl/>
                    <w:autoSpaceDN w:val="0"/>
                    <w:adjustRightInd w:val="0"/>
                    <w:snapToGrid w:val="0"/>
                    <w:rPr>
                      <w:b w:val="0"/>
                      <w:bCs w:val="0"/>
                      <w:color w:val="auto"/>
                    </w:rPr>
                  </w:pPr>
                  <w:r>
                    <w:rPr>
                      <w:rFonts w:hint="eastAsia"/>
                      <w:color w:val="auto"/>
                    </w:rPr>
                    <w:t>要求</w:t>
                  </w:r>
                  <w:r>
                    <w:rPr>
                      <w:rFonts w:hint="eastAsia"/>
                      <w:color w:val="auto"/>
                      <w:lang w:eastAsia="zh-CN"/>
                    </w:rPr>
                    <w:t>等效粘土防渗层</w:t>
                  </w:r>
                  <w:r>
                    <w:rPr>
                      <w:color w:val="auto"/>
                      <w:kern w:val="0"/>
                      <w:szCs w:val="21"/>
                    </w:rPr>
                    <w:t>Mb≥</w:t>
                  </w:r>
                  <w:r>
                    <w:rPr>
                      <w:rFonts w:hint="eastAsia"/>
                      <w:color w:val="auto"/>
                      <w:kern w:val="0"/>
                      <w:szCs w:val="21"/>
                      <w:lang w:val="en-US" w:eastAsia="zh-CN"/>
                    </w:rPr>
                    <w:t>1.5</w:t>
                  </w:r>
                  <w:r>
                    <w:rPr>
                      <w:color w:val="auto"/>
                      <w:kern w:val="0"/>
                      <w:szCs w:val="21"/>
                    </w:rPr>
                    <w:t>m，渗透系数K</w:t>
                  </w:r>
                  <w:r>
                    <w:rPr>
                      <w:color w:val="auto"/>
                    </w:rPr>
                    <w:t>≤</w:t>
                  </w:r>
                  <w:r>
                    <w:rPr>
                      <w:rFonts w:hint="eastAsia"/>
                      <w:color w:val="auto"/>
                      <w:lang w:val="en-US" w:eastAsia="zh-CN"/>
                    </w:rPr>
                    <w:t>1</w:t>
                  </w:r>
                  <w:r>
                    <w:rPr>
                      <w:rFonts w:hint="default" w:ascii="Arial" w:hAnsi="Arial" w:cs="Arial"/>
                      <w:color w:val="auto"/>
                      <w:lang w:val="en-US" w:eastAsia="zh-CN"/>
                    </w:rPr>
                    <w:t>×</w:t>
                  </w:r>
                  <w:r>
                    <w:rPr>
                      <w:color w:val="auto"/>
                    </w:rPr>
                    <w:t>10</w:t>
                  </w:r>
                  <w:r>
                    <w:rPr>
                      <w:color w:val="auto"/>
                      <w:vertAlign w:val="superscript"/>
                    </w:rPr>
                    <w:t>-7</w:t>
                  </w:r>
                  <w:r>
                    <w:rPr>
                      <w:color w:val="auto"/>
                    </w:rPr>
                    <w:t>cm/s</w:t>
                  </w:r>
                </w:p>
              </w:tc>
              <w:tc>
                <w:tcPr>
                  <w:tcW w:w="1435" w:type="dxa"/>
                  <w:noWrap w:val="0"/>
                  <w:vAlign w:val="center"/>
                </w:tcPr>
                <w:p>
                  <w:pPr>
                    <w:widowControl/>
                    <w:autoSpaceDN w:val="0"/>
                    <w:adjustRightInd w:val="0"/>
                    <w:snapToGrid w:val="0"/>
                    <w:spacing w:line="360" w:lineRule="exact"/>
                    <w:rPr>
                      <w:b w:val="0"/>
                      <w:bCs w:val="0"/>
                      <w:color w:val="auto"/>
                    </w:rPr>
                  </w:pPr>
                  <w:r>
                    <w:rPr>
                      <w:rFonts w:hint="eastAsia"/>
                      <w:b w:val="0"/>
                      <w:bCs w:val="0"/>
                      <w:color w:val="auto"/>
                      <w:lang w:eastAsia="zh-CN"/>
                    </w:rPr>
                    <w:t>现有工程一般</w:t>
                  </w:r>
                  <w:r>
                    <w:rPr>
                      <w:b w:val="0"/>
                      <w:bCs w:val="0"/>
                      <w:color w:val="auto"/>
                    </w:rPr>
                    <w:t>防渗措施</w:t>
                  </w:r>
                  <w:r>
                    <w:rPr>
                      <w:rFonts w:hint="eastAsia"/>
                      <w:b w:val="0"/>
                      <w:bCs w:val="0"/>
                      <w:color w:val="auto"/>
                      <w:lang w:eastAsia="zh-CN"/>
                    </w:rPr>
                    <w:t>不变</w:t>
                  </w:r>
                </w:p>
              </w:tc>
            </w:tr>
          </w:tbl>
          <w:p>
            <w:pPr>
              <w:spacing w:line="360" w:lineRule="auto"/>
              <w:ind w:firstLine="482" w:firstLineChars="200"/>
              <w:rPr>
                <w:rFonts w:hint="eastAsia"/>
                <w:b/>
                <w:bCs/>
                <w:color w:val="auto"/>
                <w:sz w:val="24"/>
              </w:rPr>
            </w:pPr>
            <w:r>
              <w:rPr>
                <w:rFonts w:hint="eastAsia"/>
                <w:b/>
                <w:bCs/>
                <w:color w:val="auto"/>
                <w:sz w:val="24"/>
              </w:rPr>
              <w:t>（六）环境风险</w:t>
            </w:r>
          </w:p>
          <w:p>
            <w:pPr>
              <w:spacing w:line="360" w:lineRule="auto"/>
              <w:ind w:firstLine="480" w:firstLineChars="200"/>
              <w:rPr>
                <w:bCs/>
                <w:color w:val="auto"/>
                <w:sz w:val="24"/>
              </w:rPr>
            </w:pPr>
            <w:r>
              <w:rPr>
                <w:bCs/>
                <w:color w:val="auto"/>
                <w:sz w:val="24"/>
              </w:rPr>
              <w:t>本项目涉及的危险物质主要为二甲苯、润滑油等。根据辨识结果，计算项目涉及的危险物质在厂界内的最大存储量与其对应的临界量的比值Q。本项目按下列公示计算物质总量与其临界量比值：</w:t>
            </w:r>
          </w:p>
          <w:p>
            <w:pPr>
              <w:ind w:firstLine="27" w:firstLineChars="13"/>
              <w:jc w:val="center"/>
              <w:rPr>
                <w:bCs/>
                <w:color w:val="auto"/>
                <w:sz w:val="24"/>
              </w:rPr>
            </w:pPr>
            <w:r>
              <w:rPr>
                <w:color w:val="auto"/>
              </w:rPr>
              <w:pict>
                <v:shape id="_x0000_i1041" o:spt="75" alt="C:\Users\GAOSHA~1\AppData\Local\Temp\企业微信截图_156679238122.png" type="#_x0000_t75" style="height:40.5pt;width:113.25pt;" filled="f" o:preferrelative="t" stroked="f" coordsize="21600,21600">
                  <v:path/>
                  <v:fill on="f" focussize="0,0"/>
                  <v:stroke on="f"/>
                  <v:imagedata r:id="rId37" o:title="企业微信截图_156679238122"/>
                  <o:lock v:ext="edit" aspectratio="t"/>
                  <w10:wrap type="none"/>
                  <w10:anchorlock/>
                </v:shape>
              </w:pict>
            </w:r>
          </w:p>
          <w:p>
            <w:pPr>
              <w:spacing w:line="360" w:lineRule="auto"/>
              <w:ind w:firstLine="480" w:firstLineChars="200"/>
              <w:rPr>
                <w:bCs/>
                <w:color w:val="auto"/>
                <w:sz w:val="24"/>
              </w:rPr>
            </w:pPr>
            <w:r>
              <w:rPr>
                <w:bCs/>
                <w:color w:val="auto"/>
                <w:sz w:val="24"/>
              </w:rPr>
              <w:t>式中：</w:t>
            </w:r>
          </w:p>
          <w:p>
            <w:pPr>
              <w:spacing w:line="360" w:lineRule="auto"/>
              <w:ind w:firstLine="480" w:firstLineChars="200"/>
              <w:rPr>
                <w:bCs/>
                <w:color w:val="auto"/>
                <w:sz w:val="24"/>
              </w:rPr>
            </w:pPr>
            <w:r>
              <w:rPr>
                <w:bCs/>
                <w:color w:val="auto"/>
                <w:sz w:val="24"/>
              </w:rPr>
              <w:t>q</w:t>
            </w:r>
            <w:r>
              <w:rPr>
                <w:bCs/>
                <w:color w:val="auto"/>
                <w:sz w:val="24"/>
                <w:vertAlign w:val="subscript"/>
              </w:rPr>
              <w:t>1</w:t>
            </w:r>
            <w:r>
              <w:rPr>
                <w:bCs/>
                <w:color w:val="auto"/>
                <w:sz w:val="24"/>
              </w:rPr>
              <w:t>，q</w:t>
            </w:r>
            <w:r>
              <w:rPr>
                <w:bCs/>
                <w:color w:val="auto"/>
                <w:sz w:val="24"/>
                <w:vertAlign w:val="subscript"/>
              </w:rPr>
              <w:t>2</w:t>
            </w:r>
            <w:r>
              <w:rPr>
                <w:bCs/>
                <w:color w:val="auto"/>
                <w:sz w:val="24"/>
              </w:rPr>
              <w:t>……q</w:t>
            </w:r>
            <w:r>
              <w:rPr>
                <w:bCs/>
                <w:color w:val="auto"/>
                <w:sz w:val="24"/>
                <w:vertAlign w:val="subscript"/>
              </w:rPr>
              <w:t>n</w:t>
            </w:r>
            <w:r>
              <w:rPr>
                <w:bCs/>
                <w:color w:val="auto"/>
                <w:sz w:val="24"/>
              </w:rPr>
              <w:t>每种危险物质的最大存在总量t</w:t>
            </w:r>
          </w:p>
          <w:p>
            <w:pPr>
              <w:spacing w:line="360" w:lineRule="auto"/>
              <w:ind w:firstLine="480" w:firstLineChars="200"/>
              <w:rPr>
                <w:bCs/>
                <w:color w:val="auto"/>
                <w:sz w:val="24"/>
              </w:rPr>
            </w:pPr>
            <w:r>
              <w:rPr>
                <w:bCs/>
                <w:color w:val="auto"/>
                <w:sz w:val="24"/>
              </w:rPr>
              <w:t>Q</w:t>
            </w:r>
            <w:r>
              <w:rPr>
                <w:bCs/>
                <w:color w:val="auto"/>
                <w:sz w:val="24"/>
                <w:vertAlign w:val="subscript"/>
              </w:rPr>
              <w:t>1</w:t>
            </w:r>
            <w:r>
              <w:rPr>
                <w:bCs/>
                <w:color w:val="auto"/>
                <w:sz w:val="24"/>
              </w:rPr>
              <w:t>，Q</w:t>
            </w:r>
            <w:r>
              <w:rPr>
                <w:bCs/>
                <w:color w:val="auto"/>
                <w:sz w:val="24"/>
                <w:vertAlign w:val="subscript"/>
              </w:rPr>
              <w:t>2</w:t>
            </w:r>
            <w:r>
              <w:rPr>
                <w:bCs/>
                <w:color w:val="auto"/>
                <w:sz w:val="24"/>
              </w:rPr>
              <w:t>……Q</w:t>
            </w:r>
            <w:r>
              <w:rPr>
                <w:bCs/>
                <w:color w:val="auto"/>
                <w:sz w:val="24"/>
                <w:vertAlign w:val="subscript"/>
              </w:rPr>
              <w:t>n</w:t>
            </w:r>
            <w:r>
              <w:rPr>
                <w:bCs/>
                <w:color w:val="auto"/>
                <w:sz w:val="24"/>
              </w:rPr>
              <w:t>每种危险物质的临界量t。</w:t>
            </w:r>
          </w:p>
          <w:p>
            <w:pPr>
              <w:spacing w:line="360" w:lineRule="auto"/>
              <w:ind w:firstLine="480" w:firstLineChars="200"/>
              <w:rPr>
                <w:bCs/>
                <w:color w:val="auto"/>
                <w:sz w:val="24"/>
              </w:rPr>
            </w:pPr>
            <w:r>
              <w:rPr>
                <w:bCs/>
                <w:color w:val="auto"/>
                <w:sz w:val="24"/>
              </w:rPr>
              <w:t>当Q＜1时，该项目环境风险潜势为I。</w:t>
            </w:r>
          </w:p>
          <w:p>
            <w:pPr>
              <w:spacing w:line="360" w:lineRule="auto"/>
              <w:ind w:firstLine="480" w:firstLineChars="200"/>
              <w:rPr>
                <w:bCs/>
                <w:color w:val="auto"/>
                <w:sz w:val="24"/>
              </w:rPr>
            </w:pPr>
            <w:r>
              <w:rPr>
                <w:bCs/>
                <w:color w:val="auto"/>
                <w:sz w:val="24"/>
              </w:rPr>
              <w:t>通过查询《建设项目环境风险评价技术导则》（HJ169-2018）中附录B的表B1和表B2计算危险物质的Q值。计算结果如下表所示：</w:t>
            </w:r>
          </w:p>
          <w:p>
            <w:pPr>
              <w:pStyle w:val="50"/>
              <w:numPr>
                <w:ilvl w:val="0"/>
                <w:numId w:val="6"/>
              </w:numPr>
              <w:rPr>
                <w:bCs w:val="0"/>
                <w:color w:val="auto"/>
                <w:sz w:val="21"/>
                <w:szCs w:val="21"/>
              </w:rPr>
            </w:pPr>
            <w:r>
              <w:rPr>
                <w:bCs w:val="0"/>
                <w:color w:val="auto"/>
                <w:sz w:val="21"/>
                <w:szCs w:val="21"/>
              </w:rPr>
              <w:t>扩建项目Q值确定表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180"/>
              <w:gridCol w:w="1178"/>
              <w:gridCol w:w="1370"/>
              <w:gridCol w:w="960"/>
              <w:gridCol w:w="1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755" w:type="dxa"/>
                  <w:noWrap w:val="0"/>
                  <w:vAlign w:val="center"/>
                </w:tcPr>
                <w:p>
                  <w:pPr>
                    <w:jc w:val="center"/>
                    <w:rPr>
                      <w:b/>
                      <w:color w:val="auto"/>
                      <w:szCs w:val="21"/>
                    </w:rPr>
                  </w:pPr>
                  <w:r>
                    <w:rPr>
                      <w:b/>
                      <w:color w:val="auto"/>
                      <w:szCs w:val="21"/>
                    </w:rPr>
                    <w:t>序号</w:t>
                  </w:r>
                </w:p>
              </w:tc>
              <w:tc>
                <w:tcPr>
                  <w:tcW w:w="2180" w:type="dxa"/>
                  <w:noWrap w:val="0"/>
                  <w:vAlign w:val="center"/>
                </w:tcPr>
                <w:p>
                  <w:pPr>
                    <w:jc w:val="center"/>
                    <w:rPr>
                      <w:b/>
                      <w:color w:val="auto"/>
                      <w:szCs w:val="21"/>
                    </w:rPr>
                  </w:pPr>
                  <w:r>
                    <w:rPr>
                      <w:b/>
                      <w:color w:val="auto"/>
                      <w:szCs w:val="21"/>
                    </w:rPr>
                    <w:t>物质名称</w:t>
                  </w:r>
                </w:p>
              </w:tc>
              <w:tc>
                <w:tcPr>
                  <w:tcW w:w="1178" w:type="dxa"/>
                  <w:noWrap w:val="0"/>
                  <w:vAlign w:val="center"/>
                </w:tcPr>
                <w:p>
                  <w:pPr>
                    <w:jc w:val="center"/>
                    <w:rPr>
                      <w:b/>
                      <w:color w:val="auto"/>
                      <w:szCs w:val="21"/>
                    </w:rPr>
                  </w:pPr>
                  <w:r>
                    <w:rPr>
                      <w:b/>
                      <w:color w:val="auto"/>
                      <w:szCs w:val="21"/>
                    </w:rPr>
                    <w:t>CAS号</w:t>
                  </w:r>
                </w:p>
              </w:tc>
              <w:tc>
                <w:tcPr>
                  <w:tcW w:w="1370" w:type="dxa"/>
                  <w:noWrap w:val="0"/>
                  <w:vAlign w:val="center"/>
                </w:tcPr>
                <w:p>
                  <w:pPr>
                    <w:jc w:val="center"/>
                    <w:rPr>
                      <w:b/>
                      <w:color w:val="auto"/>
                      <w:szCs w:val="21"/>
                    </w:rPr>
                  </w:pPr>
                  <w:r>
                    <w:rPr>
                      <w:b/>
                      <w:color w:val="auto"/>
                      <w:szCs w:val="21"/>
                    </w:rPr>
                    <w:t>全厂最大储存量/t</w:t>
                  </w:r>
                </w:p>
              </w:tc>
              <w:tc>
                <w:tcPr>
                  <w:tcW w:w="960" w:type="dxa"/>
                  <w:noWrap w:val="0"/>
                  <w:vAlign w:val="center"/>
                </w:tcPr>
                <w:p>
                  <w:pPr>
                    <w:jc w:val="center"/>
                    <w:rPr>
                      <w:b/>
                      <w:color w:val="auto"/>
                      <w:szCs w:val="21"/>
                    </w:rPr>
                  </w:pPr>
                  <w:r>
                    <w:rPr>
                      <w:b/>
                      <w:color w:val="auto"/>
                      <w:szCs w:val="21"/>
                    </w:rPr>
                    <w:t>临界量/t</w:t>
                  </w:r>
                </w:p>
              </w:tc>
              <w:tc>
                <w:tcPr>
                  <w:tcW w:w="1291" w:type="dxa"/>
                  <w:noWrap w:val="0"/>
                  <w:vAlign w:val="center"/>
                </w:tcPr>
                <w:p>
                  <w:pPr>
                    <w:jc w:val="center"/>
                    <w:rPr>
                      <w:b/>
                      <w:color w:val="auto"/>
                      <w:szCs w:val="21"/>
                    </w:rPr>
                  </w:pPr>
                  <w:r>
                    <w:rPr>
                      <w:b/>
                      <w:color w:val="auto"/>
                      <w:szCs w:val="21"/>
                    </w:rPr>
                    <w:t>该种危险</w:t>
                  </w:r>
                </w:p>
                <w:p>
                  <w:pPr>
                    <w:jc w:val="center"/>
                    <w:rPr>
                      <w:b/>
                      <w:color w:val="auto"/>
                      <w:szCs w:val="21"/>
                    </w:rPr>
                  </w:pPr>
                  <w:r>
                    <w:rPr>
                      <w:b/>
                      <w:color w:val="auto"/>
                      <w:szCs w:val="21"/>
                    </w:rPr>
                    <w:t>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bCs/>
                      <w:color w:val="auto"/>
                      <w:szCs w:val="21"/>
                    </w:rPr>
                  </w:pPr>
                  <w:r>
                    <w:rPr>
                      <w:bCs/>
                      <w:color w:val="auto"/>
                      <w:szCs w:val="21"/>
                    </w:rPr>
                    <w:t>1</w:t>
                  </w:r>
                </w:p>
              </w:tc>
              <w:tc>
                <w:tcPr>
                  <w:tcW w:w="2180" w:type="dxa"/>
                  <w:noWrap w:val="0"/>
                  <w:vAlign w:val="center"/>
                </w:tcPr>
                <w:p>
                  <w:pPr>
                    <w:widowControl/>
                    <w:adjustRightInd w:val="0"/>
                    <w:snapToGrid w:val="0"/>
                    <w:jc w:val="center"/>
                    <w:textAlignment w:val="center"/>
                    <w:rPr>
                      <w:bCs/>
                      <w:color w:val="auto"/>
                      <w:szCs w:val="21"/>
                    </w:rPr>
                  </w:pPr>
                  <w:r>
                    <w:rPr>
                      <w:color w:val="auto"/>
                      <w:szCs w:val="21"/>
                    </w:rPr>
                    <w:t>二甲苯</w:t>
                  </w:r>
                </w:p>
              </w:tc>
              <w:tc>
                <w:tcPr>
                  <w:tcW w:w="1178" w:type="dxa"/>
                  <w:noWrap w:val="0"/>
                  <w:vAlign w:val="center"/>
                </w:tcPr>
                <w:p>
                  <w:pPr>
                    <w:jc w:val="center"/>
                    <w:rPr>
                      <w:bCs/>
                      <w:color w:val="auto"/>
                      <w:szCs w:val="21"/>
                    </w:rPr>
                  </w:pPr>
                  <w:r>
                    <w:rPr>
                      <w:bCs/>
                      <w:color w:val="auto"/>
                      <w:szCs w:val="21"/>
                    </w:rPr>
                    <w:t>95-47-6</w:t>
                  </w:r>
                </w:p>
              </w:tc>
              <w:tc>
                <w:tcPr>
                  <w:tcW w:w="1370" w:type="dxa"/>
                  <w:noWrap w:val="0"/>
                  <w:vAlign w:val="center"/>
                </w:tcPr>
                <w:p>
                  <w:pPr>
                    <w:jc w:val="center"/>
                    <w:rPr>
                      <w:bCs/>
                      <w:color w:val="auto"/>
                      <w:szCs w:val="21"/>
                    </w:rPr>
                  </w:pPr>
                  <w:r>
                    <w:rPr>
                      <w:bCs/>
                      <w:color w:val="auto"/>
                      <w:szCs w:val="21"/>
                    </w:rPr>
                    <w:t>1</w:t>
                  </w:r>
                </w:p>
              </w:tc>
              <w:tc>
                <w:tcPr>
                  <w:tcW w:w="960" w:type="dxa"/>
                  <w:noWrap w:val="0"/>
                  <w:vAlign w:val="center"/>
                </w:tcPr>
                <w:p>
                  <w:pPr>
                    <w:jc w:val="center"/>
                    <w:rPr>
                      <w:bCs/>
                      <w:color w:val="auto"/>
                      <w:szCs w:val="21"/>
                    </w:rPr>
                  </w:pPr>
                  <w:r>
                    <w:rPr>
                      <w:bCs/>
                      <w:color w:val="auto"/>
                      <w:szCs w:val="21"/>
                    </w:rPr>
                    <w:t>10</w:t>
                  </w:r>
                </w:p>
              </w:tc>
              <w:tc>
                <w:tcPr>
                  <w:tcW w:w="1291" w:type="dxa"/>
                  <w:noWrap w:val="0"/>
                  <w:vAlign w:val="center"/>
                </w:tcPr>
                <w:p>
                  <w:pPr>
                    <w:jc w:val="center"/>
                    <w:rPr>
                      <w:bCs/>
                      <w:color w:val="auto"/>
                      <w:szCs w:val="21"/>
                    </w:rPr>
                  </w:pPr>
                  <w:r>
                    <w:rPr>
                      <w:bCs/>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2</w:t>
                  </w:r>
                </w:p>
              </w:tc>
              <w:tc>
                <w:tcPr>
                  <w:tcW w:w="2180" w:type="dxa"/>
                  <w:noWrap w:val="0"/>
                  <w:vAlign w:val="center"/>
                </w:tcPr>
                <w:p>
                  <w:pPr>
                    <w:widowControl/>
                    <w:adjustRightInd w:val="0"/>
                    <w:snapToGrid w:val="0"/>
                    <w:jc w:val="center"/>
                    <w:textAlignment w:val="center"/>
                    <w:rPr>
                      <w:rFonts w:hint="eastAsia" w:eastAsia="宋体"/>
                      <w:color w:val="auto"/>
                      <w:szCs w:val="21"/>
                      <w:lang w:eastAsia="zh-CN"/>
                    </w:rPr>
                  </w:pPr>
                  <w:r>
                    <w:rPr>
                      <w:rFonts w:hint="eastAsia"/>
                      <w:color w:val="auto"/>
                      <w:szCs w:val="21"/>
                      <w:lang w:eastAsia="zh-CN"/>
                    </w:rPr>
                    <w:t>矿物油</w:t>
                  </w:r>
                </w:p>
              </w:tc>
              <w:tc>
                <w:tcPr>
                  <w:tcW w:w="1178"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w:t>
                  </w:r>
                </w:p>
              </w:tc>
              <w:tc>
                <w:tcPr>
                  <w:tcW w:w="1370" w:type="dxa"/>
                  <w:noWrap w:val="0"/>
                  <w:vAlign w:val="center"/>
                </w:tcPr>
                <w:p>
                  <w:pPr>
                    <w:jc w:val="center"/>
                    <w:rPr>
                      <w:rFonts w:hint="eastAsia" w:eastAsia="宋体"/>
                      <w:bCs/>
                      <w:color w:val="auto"/>
                      <w:szCs w:val="21"/>
                      <w:lang w:val="en-US" w:eastAsia="zh-CN"/>
                    </w:rPr>
                  </w:pPr>
                  <w:r>
                    <w:rPr>
                      <w:rFonts w:hint="eastAsia"/>
                      <w:bCs/>
                      <w:color w:val="auto"/>
                      <w:szCs w:val="21"/>
                      <w:lang w:val="en-US" w:eastAsia="zh-CN"/>
                    </w:rPr>
                    <w:t>5</w:t>
                  </w:r>
                </w:p>
              </w:tc>
              <w:tc>
                <w:tcPr>
                  <w:tcW w:w="960"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2500</w:t>
                  </w:r>
                </w:p>
              </w:tc>
              <w:tc>
                <w:tcPr>
                  <w:tcW w:w="1291" w:type="dxa"/>
                  <w:noWrap w:val="0"/>
                  <w:vAlign w:val="center"/>
                </w:tcPr>
                <w:p>
                  <w:pPr>
                    <w:jc w:val="center"/>
                    <w:rPr>
                      <w:rFonts w:hint="default" w:eastAsia="宋体"/>
                      <w:bCs/>
                      <w:color w:val="auto"/>
                      <w:szCs w:val="21"/>
                      <w:lang w:val="en-US" w:eastAsia="zh-CN"/>
                    </w:rPr>
                  </w:pPr>
                  <w:r>
                    <w:rPr>
                      <w:rFonts w:hint="eastAsia"/>
                      <w:bCs/>
                      <w:color w:val="auto"/>
                      <w:szCs w:val="21"/>
                      <w:lang w:val="en-US" w:eastAsia="zh-CN"/>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rFonts w:hint="default"/>
                      <w:bCs/>
                      <w:color w:val="auto"/>
                      <w:szCs w:val="21"/>
                      <w:lang w:val="en-US" w:eastAsia="zh-CN"/>
                    </w:rPr>
                  </w:pPr>
                  <w:r>
                    <w:rPr>
                      <w:rFonts w:hint="eastAsia"/>
                      <w:bCs/>
                      <w:color w:val="auto"/>
                      <w:szCs w:val="21"/>
                      <w:lang w:val="en-US" w:eastAsia="zh-CN"/>
                    </w:rPr>
                    <w:t>3</w:t>
                  </w:r>
                </w:p>
              </w:tc>
              <w:tc>
                <w:tcPr>
                  <w:tcW w:w="2180" w:type="dxa"/>
                  <w:noWrap w:val="0"/>
                  <w:vAlign w:val="center"/>
                </w:tcPr>
                <w:p>
                  <w:pPr>
                    <w:widowControl/>
                    <w:adjustRightInd w:val="0"/>
                    <w:snapToGrid w:val="0"/>
                    <w:jc w:val="center"/>
                    <w:textAlignment w:val="center"/>
                    <w:rPr>
                      <w:rFonts w:hint="eastAsia"/>
                      <w:color w:val="auto"/>
                      <w:szCs w:val="21"/>
                      <w:lang w:eastAsia="zh-CN"/>
                    </w:rPr>
                  </w:pPr>
                  <w:r>
                    <w:rPr>
                      <w:rFonts w:hint="eastAsia"/>
                      <w:color w:val="auto"/>
                      <w:szCs w:val="21"/>
                      <w:lang w:val="en-US" w:eastAsia="zh-CN"/>
                    </w:rPr>
                    <w:t>94%</w:t>
                  </w:r>
                  <w:r>
                    <w:rPr>
                      <w:rFonts w:hint="eastAsia"/>
                      <w:color w:val="auto"/>
                      <w:szCs w:val="21"/>
                      <w:lang w:eastAsia="zh-CN"/>
                    </w:rPr>
                    <w:t>乙醇</w:t>
                  </w:r>
                </w:p>
              </w:tc>
              <w:tc>
                <w:tcPr>
                  <w:tcW w:w="1178" w:type="dxa"/>
                  <w:noWrap w:val="0"/>
                  <w:vAlign w:val="center"/>
                </w:tcPr>
                <w:p>
                  <w:pPr>
                    <w:jc w:val="center"/>
                    <w:rPr>
                      <w:rFonts w:hint="default"/>
                      <w:bCs/>
                      <w:color w:val="auto"/>
                      <w:szCs w:val="21"/>
                      <w:lang w:val="en-US" w:eastAsia="zh-CN"/>
                    </w:rPr>
                  </w:pPr>
                  <w:r>
                    <w:rPr>
                      <w:rFonts w:hint="eastAsia"/>
                      <w:bCs/>
                      <w:color w:val="auto"/>
                      <w:szCs w:val="21"/>
                      <w:lang w:val="en-US" w:eastAsia="zh-CN"/>
                    </w:rPr>
                    <w:t>64-17-5</w:t>
                  </w:r>
                </w:p>
              </w:tc>
              <w:tc>
                <w:tcPr>
                  <w:tcW w:w="1370" w:type="dxa"/>
                  <w:noWrap w:val="0"/>
                  <w:vAlign w:val="center"/>
                </w:tcPr>
                <w:p>
                  <w:pPr>
                    <w:jc w:val="center"/>
                    <w:rPr>
                      <w:rFonts w:hint="default"/>
                      <w:bCs/>
                      <w:color w:val="auto"/>
                      <w:szCs w:val="21"/>
                      <w:lang w:val="en-US" w:eastAsia="zh-CN"/>
                    </w:rPr>
                  </w:pPr>
                  <w:r>
                    <w:rPr>
                      <w:rFonts w:hint="eastAsia"/>
                      <w:bCs/>
                      <w:color w:val="auto"/>
                      <w:szCs w:val="21"/>
                      <w:lang w:val="en-US" w:eastAsia="zh-CN"/>
                    </w:rPr>
                    <w:t>4</w:t>
                  </w:r>
                </w:p>
              </w:tc>
              <w:tc>
                <w:tcPr>
                  <w:tcW w:w="960" w:type="dxa"/>
                  <w:noWrap w:val="0"/>
                  <w:vAlign w:val="center"/>
                </w:tcPr>
                <w:p>
                  <w:pPr>
                    <w:jc w:val="center"/>
                    <w:rPr>
                      <w:rFonts w:hint="default"/>
                      <w:bCs/>
                      <w:color w:val="auto"/>
                      <w:szCs w:val="21"/>
                      <w:lang w:val="en-US" w:eastAsia="zh-CN"/>
                    </w:rPr>
                  </w:pPr>
                  <w:r>
                    <w:rPr>
                      <w:rFonts w:hint="eastAsia"/>
                      <w:bCs/>
                      <w:color w:val="auto"/>
                      <w:szCs w:val="21"/>
                      <w:lang w:val="en-US" w:eastAsia="zh-CN"/>
                    </w:rPr>
                    <w:t>50</w:t>
                  </w:r>
                </w:p>
              </w:tc>
              <w:tc>
                <w:tcPr>
                  <w:tcW w:w="1291" w:type="dxa"/>
                  <w:noWrap w:val="0"/>
                  <w:vAlign w:val="center"/>
                </w:tcPr>
                <w:p>
                  <w:pPr>
                    <w:jc w:val="center"/>
                    <w:rPr>
                      <w:rFonts w:hint="default"/>
                      <w:bCs/>
                      <w:color w:val="auto"/>
                      <w:szCs w:val="21"/>
                      <w:lang w:val="en-US" w:eastAsia="zh-CN"/>
                    </w:rPr>
                  </w:pPr>
                  <w:r>
                    <w:rPr>
                      <w:rFonts w:hint="eastAsia"/>
                      <w:bCs/>
                      <w:color w:val="auto"/>
                      <w:szCs w:val="21"/>
                      <w:lang w:val="en-US" w:eastAsia="zh-CN"/>
                    </w:rP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rFonts w:hint="default"/>
                      <w:bCs/>
                      <w:color w:val="auto"/>
                      <w:szCs w:val="21"/>
                      <w:lang w:val="en-US" w:eastAsia="zh-CN"/>
                    </w:rPr>
                  </w:pPr>
                  <w:r>
                    <w:rPr>
                      <w:rFonts w:hint="eastAsia"/>
                      <w:bCs/>
                      <w:color w:val="auto"/>
                      <w:szCs w:val="21"/>
                      <w:lang w:val="en-US" w:eastAsia="zh-CN"/>
                    </w:rPr>
                    <w:t>4</w:t>
                  </w:r>
                </w:p>
              </w:tc>
              <w:tc>
                <w:tcPr>
                  <w:tcW w:w="2180" w:type="dxa"/>
                  <w:noWrap w:val="0"/>
                  <w:vAlign w:val="center"/>
                </w:tcPr>
                <w:p>
                  <w:pPr>
                    <w:widowControl/>
                    <w:adjustRightInd w:val="0"/>
                    <w:snapToGrid w:val="0"/>
                    <w:jc w:val="center"/>
                    <w:textAlignment w:val="center"/>
                    <w:rPr>
                      <w:rFonts w:hint="default"/>
                      <w:color w:val="auto"/>
                      <w:szCs w:val="21"/>
                      <w:lang w:val="en-US" w:eastAsia="zh-CN"/>
                    </w:rPr>
                  </w:pPr>
                  <w:r>
                    <w:rPr>
                      <w:rFonts w:hint="eastAsia"/>
                      <w:color w:val="auto"/>
                      <w:szCs w:val="21"/>
                      <w:lang w:val="en-US" w:eastAsia="zh-CN"/>
                    </w:rPr>
                    <w:t>废二甲苯溶液</w:t>
                  </w:r>
                </w:p>
              </w:tc>
              <w:tc>
                <w:tcPr>
                  <w:tcW w:w="1178" w:type="dxa"/>
                  <w:noWrap w:val="0"/>
                  <w:vAlign w:val="center"/>
                </w:tcPr>
                <w:p>
                  <w:pPr>
                    <w:jc w:val="center"/>
                    <w:rPr>
                      <w:rFonts w:hint="default"/>
                      <w:bCs/>
                      <w:color w:val="auto"/>
                      <w:szCs w:val="21"/>
                      <w:lang w:val="en-US" w:eastAsia="zh-CN"/>
                    </w:rPr>
                  </w:pPr>
                  <w:r>
                    <w:rPr>
                      <w:rFonts w:hint="eastAsia"/>
                      <w:bCs/>
                      <w:color w:val="auto"/>
                      <w:szCs w:val="21"/>
                      <w:lang w:val="en-US" w:eastAsia="zh-CN"/>
                    </w:rPr>
                    <w:t>/</w:t>
                  </w:r>
                </w:p>
              </w:tc>
              <w:tc>
                <w:tcPr>
                  <w:tcW w:w="1370" w:type="dxa"/>
                  <w:noWrap w:val="0"/>
                  <w:vAlign w:val="center"/>
                </w:tcPr>
                <w:p>
                  <w:pPr>
                    <w:jc w:val="center"/>
                    <w:rPr>
                      <w:rFonts w:hint="default"/>
                      <w:bCs/>
                      <w:color w:val="auto"/>
                      <w:szCs w:val="21"/>
                      <w:lang w:val="en-US" w:eastAsia="zh-CN"/>
                    </w:rPr>
                  </w:pPr>
                  <w:r>
                    <w:rPr>
                      <w:rFonts w:hint="eastAsia"/>
                      <w:bCs/>
                      <w:color w:val="auto"/>
                      <w:szCs w:val="21"/>
                      <w:lang w:val="en-US" w:eastAsia="zh-CN"/>
                    </w:rPr>
                    <w:t>0.07</w:t>
                  </w:r>
                </w:p>
              </w:tc>
              <w:tc>
                <w:tcPr>
                  <w:tcW w:w="960" w:type="dxa"/>
                  <w:noWrap w:val="0"/>
                  <w:vAlign w:val="center"/>
                </w:tcPr>
                <w:p>
                  <w:pPr>
                    <w:jc w:val="center"/>
                    <w:rPr>
                      <w:rFonts w:hint="default"/>
                      <w:bCs/>
                      <w:color w:val="auto"/>
                      <w:szCs w:val="21"/>
                      <w:lang w:val="en-US" w:eastAsia="zh-CN"/>
                    </w:rPr>
                  </w:pPr>
                  <w:r>
                    <w:rPr>
                      <w:rFonts w:hint="eastAsia"/>
                      <w:bCs/>
                      <w:color w:val="auto"/>
                      <w:szCs w:val="21"/>
                      <w:lang w:val="en-US" w:eastAsia="zh-CN"/>
                    </w:rPr>
                    <w:t>10</w:t>
                  </w:r>
                </w:p>
              </w:tc>
              <w:tc>
                <w:tcPr>
                  <w:tcW w:w="1291" w:type="dxa"/>
                  <w:noWrap w:val="0"/>
                  <w:vAlign w:val="center"/>
                </w:tcPr>
                <w:p>
                  <w:pPr>
                    <w:jc w:val="center"/>
                    <w:rPr>
                      <w:rFonts w:hint="default"/>
                      <w:bCs/>
                      <w:color w:val="auto"/>
                      <w:szCs w:val="21"/>
                      <w:lang w:val="en-US" w:eastAsia="zh-CN"/>
                    </w:rPr>
                  </w:pPr>
                  <w:r>
                    <w:rPr>
                      <w:rFonts w:hint="eastAsia"/>
                      <w:bCs/>
                      <w:color w:val="auto"/>
                      <w:szCs w:val="21"/>
                      <w:lang w:val="en-US" w:eastAsia="zh-CN"/>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rFonts w:hint="default"/>
                      <w:bCs/>
                      <w:color w:val="auto"/>
                      <w:szCs w:val="21"/>
                      <w:lang w:val="en-US" w:eastAsia="zh-CN"/>
                    </w:rPr>
                  </w:pPr>
                  <w:r>
                    <w:rPr>
                      <w:rFonts w:hint="eastAsia"/>
                      <w:bCs/>
                      <w:color w:val="auto"/>
                      <w:szCs w:val="21"/>
                      <w:lang w:val="en-US" w:eastAsia="zh-CN"/>
                    </w:rPr>
                    <w:t>5</w:t>
                  </w:r>
                </w:p>
              </w:tc>
              <w:tc>
                <w:tcPr>
                  <w:tcW w:w="2180" w:type="dxa"/>
                  <w:noWrap w:val="0"/>
                  <w:vAlign w:val="center"/>
                </w:tcPr>
                <w:p>
                  <w:pPr>
                    <w:widowControl/>
                    <w:adjustRightInd w:val="0"/>
                    <w:snapToGrid w:val="0"/>
                    <w:jc w:val="center"/>
                    <w:textAlignment w:val="center"/>
                    <w:rPr>
                      <w:rFonts w:hint="default"/>
                      <w:color w:val="auto"/>
                      <w:szCs w:val="21"/>
                      <w:lang w:val="en-US" w:eastAsia="zh-CN"/>
                    </w:rPr>
                  </w:pPr>
                  <w:r>
                    <w:rPr>
                      <w:rFonts w:hint="eastAsia"/>
                      <w:color w:val="auto"/>
                      <w:szCs w:val="21"/>
                      <w:lang w:val="en-US" w:eastAsia="zh-CN"/>
                    </w:rPr>
                    <w:t>废矿物油</w:t>
                  </w:r>
                </w:p>
              </w:tc>
              <w:tc>
                <w:tcPr>
                  <w:tcW w:w="1178" w:type="dxa"/>
                  <w:noWrap w:val="0"/>
                  <w:vAlign w:val="center"/>
                </w:tcPr>
                <w:p>
                  <w:pPr>
                    <w:jc w:val="center"/>
                    <w:rPr>
                      <w:rFonts w:hint="default"/>
                      <w:bCs/>
                      <w:color w:val="auto"/>
                      <w:szCs w:val="21"/>
                      <w:lang w:val="en-US" w:eastAsia="zh-CN"/>
                    </w:rPr>
                  </w:pPr>
                  <w:r>
                    <w:rPr>
                      <w:rFonts w:hint="eastAsia"/>
                      <w:bCs/>
                      <w:color w:val="auto"/>
                      <w:szCs w:val="21"/>
                      <w:lang w:val="en-US" w:eastAsia="zh-CN"/>
                    </w:rPr>
                    <w:t>/</w:t>
                  </w:r>
                </w:p>
              </w:tc>
              <w:tc>
                <w:tcPr>
                  <w:tcW w:w="1370" w:type="dxa"/>
                  <w:noWrap w:val="0"/>
                  <w:vAlign w:val="center"/>
                </w:tcPr>
                <w:p>
                  <w:pPr>
                    <w:jc w:val="center"/>
                    <w:rPr>
                      <w:rFonts w:hint="default"/>
                      <w:bCs/>
                      <w:color w:val="auto"/>
                      <w:szCs w:val="21"/>
                      <w:lang w:val="en-US" w:eastAsia="zh-CN"/>
                    </w:rPr>
                  </w:pPr>
                  <w:r>
                    <w:rPr>
                      <w:rFonts w:hint="eastAsia"/>
                      <w:bCs/>
                      <w:color w:val="auto"/>
                      <w:szCs w:val="21"/>
                      <w:lang w:val="en-US" w:eastAsia="zh-CN"/>
                    </w:rPr>
                    <w:t>0.5</w:t>
                  </w:r>
                </w:p>
              </w:tc>
              <w:tc>
                <w:tcPr>
                  <w:tcW w:w="960" w:type="dxa"/>
                  <w:noWrap w:val="0"/>
                  <w:vAlign w:val="center"/>
                </w:tcPr>
                <w:p>
                  <w:pPr>
                    <w:jc w:val="center"/>
                    <w:rPr>
                      <w:rFonts w:hint="default"/>
                      <w:bCs/>
                      <w:color w:val="auto"/>
                      <w:szCs w:val="21"/>
                      <w:lang w:val="en-US" w:eastAsia="zh-CN"/>
                    </w:rPr>
                  </w:pPr>
                  <w:r>
                    <w:rPr>
                      <w:rFonts w:hint="eastAsia"/>
                      <w:bCs/>
                      <w:color w:val="auto"/>
                      <w:szCs w:val="21"/>
                      <w:lang w:val="en-US" w:eastAsia="zh-CN"/>
                    </w:rPr>
                    <w:t>2500</w:t>
                  </w:r>
                </w:p>
              </w:tc>
              <w:tc>
                <w:tcPr>
                  <w:tcW w:w="1291" w:type="dxa"/>
                  <w:noWrap w:val="0"/>
                  <w:vAlign w:val="center"/>
                </w:tcPr>
                <w:p>
                  <w:pPr>
                    <w:jc w:val="center"/>
                    <w:rPr>
                      <w:rFonts w:hint="default"/>
                      <w:bCs/>
                      <w:color w:val="auto"/>
                      <w:szCs w:val="21"/>
                      <w:lang w:val="en-US" w:eastAsia="zh-CN"/>
                    </w:rPr>
                  </w:pPr>
                  <w:r>
                    <w:rPr>
                      <w:rFonts w:hint="eastAsia"/>
                      <w:bCs/>
                      <w:color w:val="auto"/>
                      <w:szCs w:val="21"/>
                      <w:lang w:val="en-US" w:eastAsia="zh-CN"/>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55" w:type="dxa"/>
                  <w:noWrap w:val="0"/>
                  <w:vAlign w:val="center"/>
                </w:tcPr>
                <w:p>
                  <w:pPr>
                    <w:jc w:val="center"/>
                    <w:rPr>
                      <w:bCs/>
                      <w:color w:val="auto"/>
                      <w:szCs w:val="21"/>
                    </w:rPr>
                  </w:pPr>
                  <w:r>
                    <w:rPr>
                      <w:bCs/>
                      <w:color w:val="auto"/>
                      <w:szCs w:val="21"/>
                    </w:rPr>
                    <w:t>合计</w:t>
                  </w:r>
                </w:p>
              </w:tc>
              <w:tc>
                <w:tcPr>
                  <w:tcW w:w="2180" w:type="dxa"/>
                  <w:noWrap w:val="0"/>
                  <w:vAlign w:val="center"/>
                </w:tcPr>
                <w:p>
                  <w:pPr>
                    <w:jc w:val="center"/>
                    <w:rPr>
                      <w:bCs/>
                      <w:color w:val="auto"/>
                      <w:szCs w:val="21"/>
                    </w:rPr>
                  </w:pPr>
                  <w:r>
                    <w:rPr>
                      <w:bCs/>
                      <w:color w:val="auto"/>
                      <w:szCs w:val="21"/>
                    </w:rPr>
                    <w:t>/</w:t>
                  </w:r>
                </w:p>
              </w:tc>
              <w:tc>
                <w:tcPr>
                  <w:tcW w:w="1178" w:type="dxa"/>
                  <w:noWrap w:val="0"/>
                  <w:vAlign w:val="center"/>
                </w:tcPr>
                <w:p>
                  <w:pPr>
                    <w:jc w:val="center"/>
                    <w:rPr>
                      <w:bCs/>
                      <w:color w:val="auto"/>
                      <w:szCs w:val="21"/>
                    </w:rPr>
                  </w:pPr>
                  <w:r>
                    <w:rPr>
                      <w:bCs/>
                      <w:color w:val="auto"/>
                      <w:szCs w:val="21"/>
                    </w:rPr>
                    <w:t>/</w:t>
                  </w:r>
                </w:p>
              </w:tc>
              <w:tc>
                <w:tcPr>
                  <w:tcW w:w="1370" w:type="dxa"/>
                  <w:noWrap w:val="0"/>
                  <w:vAlign w:val="center"/>
                </w:tcPr>
                <w:p>
                  <w:pPr>
                    <w:jc w:val="center"/>
                    <w:rPr>
                      <w:bCs/>
                      <w:color w:val="auto"/>
                      <w:szCs w:val="21"/>
                    </w:rPr>
                  </w:pPr>
                  <w:r>
                    <w:rPr>
                      <w:bCs/>
                      <w:color w:val="auto"/>
                      <w:szCs w:val="21"/>
                    </w:rPr>
                    <w:t>/</w:t>
                  </w:r>
                </w:p>
              </w:tc>
              <w:tc>
                <w:tcPr>
                  <w:tcW w:w="960" w:type="dxa"/>
                  <w:noWrap w:val="0"/>
                  <w:vAlign w:val="center"/>
                </w:tcPr>
                <w:p>
                  <w:pPr>
                    <w:jc w:val="center"/>
                    <w:rPr>
                      <w:bCs/>
                      <w:color w:val="auto"/>
                      <w:szCs w:val="21"/>
                    </w:rPr>
                  </w:pPr>
                  <w:r>
                    <w:rPr>
                      <w:bCs/>
                      <w:color w:val="auto"/>
                      <w:szCs w:val="21"/>
                    </w:rPr>
                    <w:t>/</w:t>
                  </w:r>
                </w:p>
              </w:tc>
              <w:tc>
                <w:tcPr>
                  <w:tcW w:w="1291" w:type="dxa"/>
                  <w:noWrap w:val="0"/>
                  <w:vAlign w:val="center"/>
                </w:tcPr>
                <w:p>
                  <w:pPr>
                    <w:jc w:val="center"/>
                    <w:rPr>
                      <w:rFonts w:hint="default" w:eastAsia="宋体"/>
                      <w:bCs/>
                      <w:color w:val="auto"/>
                      <w:szCs w:val="21"/>
                      <w:lang w:val="en-US" w:eastAsia="zh-CN"/>
                    </w:rPr>
                  </w:pPr>
                  <w:r>
                    <w:rPr>
                      <w:bCs/>
                      <w:color w:val="auto"/>
                      <w:szCs w:val="21"/>
                    </w:rPr>
                    <w:t>0.1</w:t>
                  </w:r>
                  <w:r>
                    <w:rPr>
                      <w:rFonts w:hint="eastAsia"/>
                      <w:bCs/>
                      <w:color w:val="auto"/>
                      <w:szCs w:val="21"/>
                      <w:lang w:val="en-US" w:eastAsia="zh-CN"/>
                    </w:rPr>
                    <w:t>892</w:t>
                  </w:r>
                </w:p>
              </w:tc>
            </w:tr>
          </w:tbl>
          <w:p>
            <w:pPr>
              <w:spacing w:line="360" w:lineRule="auto"/>
              <w:ind w:firstLine="480" w:firstLineChars="200"/>
              <w:rPr>
                <w:color w:val="auto"/>
                <w:sz w:val="24"/>
              </w:rPr>
            </w:pPr>
            <w:r>
              <w:rPr>
                <w:bCs/>
                <w:color w:val="auto"/>
                <w:sz w:val="24"/>
              </w:rPr>
              <w:t>由上表可知，扩建项目厂界内最大存在总量中各危险物质实际量与临界量比值之和为0.1</w:t>
            </w:r>
            <w:r>
              <w:rPr>
                <w:rFonts w:hint="eastAsia"/>
                <w:bCs/>
                <w:color w:val="auto"/>
                <w:sz w:val="24"/>
                <w:lang w:val="en-US" w:eastAsia="zh-CN"/>
              </w:rPr>
              <w:t>892</w:t>
            </w:r>
            <w:r>
              <w:rPr>
                <w:bCs/>
                <w:color w:val="auto"/>
                <w:sz w:val="24"/>
              </w:rPr>
              <w:t>&lt;1</w:t>
            </w:r>
            <w:r>
              <w:rPr>
                <w:color w:val="auto"/>
                <w:sz w:val="24"/>
              </w:rPr>
              <w:t>。</w:t>
            </w:r>
          </w:p>
          <w:p>
            <w:pPr>
              <w:spacing w:line="360" w:lineRule="auto"/>
              <w:ind w:firstLine="480" w:firstLineChars="200"/>
              <w:rPr>
                <w:bCs/>
                <w:color w:val="auto"/>
                <w:sz w:val="24"/>
              </w:rPr>
            </w:pPr>
            <w:r>
              <w:rPr>
                <w:bCs/>
                <w:color w:val="auto"/>
                <w:sz w:val="24"/>
              </w:rPr>
              <w:t>根据项目工程分析及危险物质的储存、转运情况，识别各危险单元可能发生的环境风险类型、危险物质影响环境途径如下：</w:t>
            </w:r>
          </w:p>
          <w:p>
            <w:pPr>
              <w:spacing w:line="360" w:lineRule="auto"/>
              <w:ind w:firstLine="480" w:firstLineChars="200"/>
              <w:rPr>
                <w:bCs/>
                <w:color w:val="auto"/>
                <w:sz w:val="24"/>
              </w:rPr>
            </w:pPr>
            <w:r>
              <w:rPr>
                <w:bCs/>
                <w:color w:val="auto"/>
                <w:sz w:val="24"/>
              </w:rPr>
              <w:t>①火灾风险</w:t>
            </w:r>
          </w:p>
          <w:p>
            <w:pPr>
              <w:spacing w:line="360" w:lineRule="auto"/>
              <w:ind w:firstLine="480" w:firstLineChars="200"/>
              <w:rPr>
                <w:bCs/>
                <w:color w:val="auto"/>
                <w:sz w:val="24"/>
              </w:rPr>
            </w:pPr>
            <w:r>
              <w:rPr>
                <w:rFonts w:hint="eastAsia"/>
                <w:bCs/>
                <w:color w:val="auto"/>
                <w:sz w:val="24"/>
              </w:rPr>
              <w:t>本</w:t>
            </w:r>
            <w:r>
              <w:rPr>
                <w:bCs/>
                <w:color w:val="auto"/>
                <w:sz w:val="24"/>
              </w:rPr>
              <w:t>项目储存的原辅料中酒精、助焊剂属于可燃物质，在储存过程中发生泄漏时遇静电、明火等火源可能会发生火灾事故。火灾燃烧产生的次生污染物引起大气污染，同时消防用水若未及时收集，可能引起地表水污染。</w:t>
            </w:r>
          </w:p>
          <w:p>
            <w:pPr>
              <w:spacing w:line="360" w:lineRule="auto"/>
              <w:ind w:firstLine="480" w:firstLineChars="200"/>
              <w:rPr>
                <w:bCs/>
                <w:color w:val="auto"/>
                <w:sz w:val="24"/>
              </w:rPr>
            </w:pPr>
            <w:r>
              <w:rPr>
                <w:bCs/>
                <w:color w:val="auto"/>
                <w:sz w:val="24"/>
              </w:rPr>
              <w:t>②泄漏风险</w:t>
            </w:r>
          </w:p>
          <w:p>
            <w:pPr>
              <w:spacing w:line="360" w:lineRule="auto"/>
              <w:ind w:firstLine="480" w:firstLineChars="200"/>
              <w:jc w:val="left"/>
              <w:rPr>
                <w:rFonts w:hint="eastAsia"/>
                <w:color w:val="auto"/>
              </w:rPr>
            </w:pPr>
            <w:r>
              <w:rPr>
                <w:bCs/>
                <w:color w:val="auto"/>
                <w:sz w:val="24"/>
              </w:rPr>
              <w:t>酒精、助焊剂、二甲苯在使用、处理过程中若发生物料</w:t>
            </w:r>
            <w:r>
              <w:rPr>
                <w:rFonts w:hint="eastAsia"/>
                <w:bCs/>
                <w:color w:val="auto"/>
                <w:sz w:val="24"/>
                <w:lang w:eastAsia="zh-CN"/>
              </w:rPr>
              <w:t>泄漏</w:t>
            </w:r>
            <w:r>
              <w:rPr>
                <w:bCs/>
                <w:color w:val="auto"/>
                <w:sz w:val="24"/>
              </w:rPr>
              <w:t>，地面破损进入到土壤中，将会污染土壤和地下水环境</w:t>
            </w:r>
            <w:r>
              <w:rPr>
                <w:color w:val="auto"/>
                <w:sz w:val="24"/>
                <w:lang w:val="zh-CN"/>
              </w:rPr>
              <w:t>。</w:t>
            </w:r>
          </w:p>
          <w:p>
            <w:pPr>
              <w:spacing w:line="360" w:lineRule="auto"/>
              <w:ind w:firstLine="480" w:firstLineChars="200"/>
              <w:rPr>
                <w:rFonts w:hint="eastAsia"/>
                <w:bCs/>
                <w:color w:val="auto"/>
                <w:sz w:val="24"/>
              </w:rPr>
            </w:pPr>
            <w:r>
              <w:rPr>
                <w:rFonts w:hint="eastAsia"/>
                <w:bCs/>
                <w:color w:val="auto"/>
                <w:sz w:val="24"/>
              </w:rPr>
              <w:t>根据本项目的风险识别及风险分析结果，提出风险防范措施如下：</w:t>
            </w:r>
          </w:p>
          <w:p>
            <w:pPr>
              <w:spacing w:line="360" w:lineRule="auto"/>
              <w:ind w:firstLine="480" w:firstLineChars="200"/>
              <w:rPr>
                <w:rFonts w:hint="eastAsia"/>
                <w:bCs/>
                <w:color w:val="auto"/>
                <w:sz w:val="24"/>
              </w:rPr>
            </w:pPr>
            <w:r>
              <w:rPr>
                <w:bCs/>
                <w:color w:val="auto"/>
                <w:sz w:val="24"/>
              </w:rPr>
              <w:t>①建立健全化学品仓库、危废仓库及生产车间的火灾防范制度，配备灭火设施</w:t>
            </w:r>
            <w:r>
              <w:rPr>
                <w:rFonts w:hint="eastAsia"/>
                <w:bCs/>
                <w:color w:val="auto"/>
                <w:sz w:val="24"/>
              </w:rPr>
              <w:t>；</w:t>
            </w:r>
          </w:p>
          <w:p>
            <w:pPr>
              <w:spacing w:line="360" w:lineRule="auto"/>
              <w:ind w:firstLine="480" w:firstLineChars="200"/>
              <w:rPr>
                <w:rFonts w:hint="eastAsia"/>
                <w:bCs/>
                <w:color w:val="auto"/>
                <w:sz w:val="24"/>
              </w:rPr>
            </w:pPr>
            <w:r>
              <w:rPr>
                <w:bCs/>
                <w:color w:val="auto"/>
                <w:sz w:val="24"/>
              </w:rPr>
              <w:t>②建立酒精、助焊剂、二甲苯化学品采购、存储、厂内运输、领用、使用、废弃等全路径管理制度</w:t>
            </w:r>
            <w:r>
              <w:rPr>
                <w:rFonts w:hint="eastAsia"/>
                <w:bCs/>
                <w:color w:val="auto"/>
                <w:sz w:val="24"/>
              </w:rPr>
              <w:t>，防止化学品</w:t>
            </w:r>
            <w:r>
              <w:rPr>
                <w:bCs/>
                <w:color w:val="auto"/>
                <w:sz w:val="24"/>
              </w:rPr>
              <w:t>发生物料</w:t>
            </w:r>
            <w:r>
              <w:rPr>
                <w:rFonts w:hint="eastAsia"/>
                <w:bCs/>
                <w:color w:val="auto"/>
                <w:sz w:val="24"/>
              </w:rPr>
              <w:t>泄漏；</w:t>
            </w:r>
          </w:p>
          <w:p>
            <w:pPr>
              <w:spacing w:line="360" w:lineRule="auto"/>
              <w:ind w:firstLine="480" w:firstLineChars="200"/>
              <w:rPr>
                <w:bCs/>
                <w:color w:val="auto"/>
                <w:sz w:val="24"/>
              </w:rPr>
            </w:pPr>
            <w:r>
              <w:rPr>
                <w:rFonts w:eastAsia="微软雅黑"/>
                <w:bCs/>
                <w:color w:val="auto"/>
                <w:sz w:val="24"/>
              </w:rPr>
              <w:t>③</w:t>
            </w:r>
            <w:r>
              <w:rPr>
                <w:bCs/>
                <w:color w:val="auto"/>
                <w:sz w:val="24"/>
              </w:rPr>
              <w:t>加强对废气设施的运行管理、维护保养当废气处理措施发生故障，造成废气事故性排放，项目应立即停产，排除事故故障，待确保废气治理措施正常运转后再恢复生产；</w:t>
            </w:r>
          </w:p>
          <w:p>
            <w:pPr>
              <w:spacing w:line="360" w:lineRule="auto"/>
              <w:ind w:firstLine="480" w:firstLineChars="200"/>
              <w:rPr>
                <w:bCs/>
                <w:color w:val="auto"/>
                <w:sz w:val="24"/>
              </w:rPr>
            </w:pPr>
            <w:r>
              <w:rPr>
                <w:rFonts w:hint="eastAsia" w:ascii="宋体" w:hAnsi="宋体" w:eastAsia="宋体" w:cs="宋体"/>
                <w:bCs/>
                <w:color w:val="auto"/>
                <w:sz w:val="24"/>
              </w:rPr>
              <w:t>④</w:t>
            </w:r>
            <w:r>
              <w:rPr>
                <w:bCs/>
                <w:color w:val="auto"/>
                <w:sz w:val="24"/>
              </w:rPr>
              <w:t>化学品仓库、危废仓库设置经防渗处理的地沟、围堰，保证液体化学品发生泄漏后能够得到有效收集，不进入外围水体；</w:t>
            </w:r>
          </w:p>
          <w:p>
            <w:pPr>
              <w:spacing w:line="360" w:lineRule="auto"/>
              <w:ind w:firstLine="480" w:firstLineChars="200"/>
              <w:rPr>
                <w:rFonts w:hint="eastAsia" w:eastAsia="宋体"/>
                <w:bCs/>
                <w:color w:val="auto"/>
                <w:sz w:val="24"/>
                <w:lang w:eastAsia="zh-CN"/>
              </w:rPr>
            </w:pPr>
            <w:r>
              <w:rPr>
                <w:rFonts w:hint="default" w:ascii="Times New Roman" w:hAnsi="Times New Roman" w:cs="Times New Roman"/>
                <w:bCs/>
                <w:color w:val="auto"/>
                <w:sz w:val="24"/>
              </w:rPr>
              <w:t>⑤配置应</w:t>
            </w:r>
            <w:r>
              <w:rPr>
                <w:bCs/>
                <w:color w:val="auto"/>
                <w:sz w:val="24"/>
              </w:rPr>
              <w:t>急水泵、消防沙、收集桶、防护服、防护手套、防护面罩、应急照明、急救药品、灭火器等应急物资</w:t>
            </w:r>
            <w:r>
              <w:rPr>
                <w:rFonts w:hint="eastAsia"/>
                <w:bCs/>
                <w:color w:val="auto"/>
                <w:sz w:val="24"/>
                <w:lang w:eastAsia="zh-CN"/>
              </w:rPr>
              <w:t>。</w:t>
            </w:r>
          </w:p>
          <w:p>
            <w:pPr>
              <w:spacing w:line="360" w:lineRule="auto"/>
              <w:ind w:firstLine="480" w:firstLineChars="200"/>
              <w:rPr>
                <w:rFonts w:hint="eastAsia" w:eastAsia="宋体"/>
                <w:color w:val="auto"/>
                <w:kern w:val="0"/>
                <w:sz w:val="24"/>
                <w:lang w:eastAsia="zh-CN"/>
              </w:rPr>
            </w:pPr>
            <w:r>
              <w:rPr>
                <w:rFonts w:hint="default" w:ascii="Times New Roman" w:hAnsi="Times New Roman" w:cs="Times New Roman"/>
                <w:bCs/>
                <w:color w:val="auto"/>
                <w:sz w:val="24"/>
              </w:rPr>
              <w:t>⑥</w:t>
            </w:r>
            <w:r>
              <w:rPr>
                <w:bCs/>
                <w:color w:val="auto"/>
                <w:sz w:val="24"/>
              </w:rPr>
              <w:t>设置</w:t>
            </w:r>
            <w:r>
              <w:rPr>
                <w:rFonts w:hint="eastAsia"/>
                <w:bCs/>
                <w:color w:val="auto"/>
                <w:sz w:val="24"/>
                <w:lang w:val="en-US" w:eastAsia="zh-CN"/>
              </w:rPr>
              <w:t>4</w:t>
            </w:r>
            <w:r>
              <w:rPr>
                <w:rFonts w:hint="eastAsia"/>
                <w:bCs/>
                <w:color w:val="auto"/>
                <w:sz w:val="24"/>
              </w:rPr>
              <w:t>50m</w:t>
            </w:r>
            <w:r>
              <w:rPr>
                <w:rFonts w:hint="eastAsia"/>
                <w:bCs/>
                <w:color w:val="auto"/>
                <w:sz w:val="24"/>
                <w:vertAlign w:val="superscript"/>
              </w:rPr>
              <w:t>3</w:t>
            </w:r>
            <w:r>
              <w:rPr>
                <w:bCs/>
                <w:color w:val="auto"/>
                <w:sz w:val="24"/>
              </w:rPr>
              <w:t>事故应急池，用于</w:t>
            </w:r>
            <w:r>
              <w:rPr>
                <w:rFonts w:hint="eastAsia"/>
                <w:bCs/>
                <w:color w:val="auto"/>
                <w:sz w:val="24"/>
              </w:rPr>
              <w:t>储存</w:t>
            </w:r>
            <w:r>
              <w:rPr>
                <w:bCs/>
                <w:color w:val="auto"/>
                <w:sz w:val="24"/>
              </w:rPr>
              <w:t>全厂风险事故废水和废水处理站事故废水，事故应急池与废水处理站通过管道和泵连通，</w:t>
            </w:r>
            <w:r>
              <w:rPr>
                <w:rFonts w:hint="eastAsia"/>
                <w:bCs/>
                <w:color w:val="auto"/>
                <w:sz w:val="24"/>
              </w:rPr>
              <w:t>事故发生后</w:t>
            </w:r>
            <w:r>
              <w:rPr>
                <w:bCs/>
                <w:color w:val="auto"/>
                <w:sz w:val="24"/>
              </w:rPr>
              <w:t>将事故应急池内的废水转移至废水处理站进</w:t>
            </w:r>
            <w:r>
              <w:rPr>
                <w:color w:val="auto"/>
                <w:kern w:val="0"/>
                <w:sz w:val="24"/>
              </w:rPr>
              <w:t>行处理，处理达标后</w:t>
            </w:r>
            <w:r>
              <w:rPr>
                <w:rFonts w:hint="eastAsia"/>
                <w:color w:val="auto"/>
                <w:kern w:val="0"/>
                <w:sz w:val="24"/>
              </w:rPr>
              <w:t>方可</w:t>
            </w:r>
            <w:r>
              <w:rPr>
                <w:color w:val="auto"/>
                <w:kern w:val="0"/>
                <w:sz w:val="24"/>
              </w:rPr>
              <w:t>排放</w:t>
            </w:r>
            <w:r>
              <w:rPr>
                <w:rFonts w:hint="eastAsia"/>
                <w:color w:val="auto"/>
                <w:kern w:val="0"/>
                <w:sz w:val="24"/>
                <w:lang w:eastAsia="zh-CN"/>
              </w:rPr>
              <w:t>。</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本项目事故状态下废水量计算如下：</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事故储存设施总有效容积V总=（V1+V2-V3）</w:t>
            </w:r>
            <w:r>
              <w:rPr>
                <w:color w:val="auto"/>
                <w:kern w:val="0"/>
                <w:sz w:val="24"/>
                <w:vertAlign w:val="subscript"/>
              </w:rPr>
              <w:t>max</w:t>
            </w:r>
            <w:r>
              <w:rPr>
                <w:color w:val="auto"/>
                <w:kern w:val="0"/>
                <w:sz w:val="24"/>
              </w:rPr>
              <w:t>+V4+V5</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注：（V1+V2-V3）</w:t>
            </w:r>
            <w:r>
              <w:rPr>
                <w:color w:val="auto"/>
                <w:kern w:val="0"/>
                <w:sz w:val="24"/>
                <w:vertAlign w:val="subscript"/>
              </w:rPr>
              <w:t>max</w:t>
            </w:r>
            <w:r>
              <w:rPr>
                <w:color w:val="auto"/>
                <w:kern w:val="0"/>
                <w:sz w:val="24"/>
              </w:rPr>
              <w:t>是指对收集系统范围内不同罐组或装置分别计算V1+ V2-V3，取其中最大值。</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V1——收集系统范围内发生事故的一个罐组或一套装置的物料量。注：储存相同物料的罐组按一个最大储罐计，装置物料量按存留最大物料量的一台反应器或中间储罐计；</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V2——发生事故的储罐或装置的消防水量，m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V3——发生事故时可以转输到其他储存或处理设施的物料量，m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V4——发生事故时仍必须进入该收集系统的生产废水量，m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V5——发生事故时可能进入该收集系统的降雨量，m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V5=10qF</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式中：q——降雨强度，mm；按平均日降雨量；</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q=qa/n</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qa——年平均降雨量，mm；合肥年平均降雨量为1035mm；</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n——年平均降雨日数；降雨日数为95天；</w:t>
            </w:r>
          </w:p>
          <w:p>
            <w:pPr>
              <w:overflowPunct w:val="0"/>
              <w:autoSpaceDE w:val="0"/>
              <w:autoSpaceDN w:val="0"/>
              <w:adjustRightInd w:val="0"/>
              <w:snapToGrid w:val="0"/>
              <w:spacing w:line="360" w:lineRule="auto"/>
              <w:ind w:firstLine="480" w:firstLineChars="200"/>
              <w:textAlignment w:val="baseline"/>
              <w:rPr>
                <w:rFonts w:hint="eastAsia"/>
                <w:color w:val="auto"/>
                <w:kern w:val="0"/>
                <w:sz w:val="24"/>
              </w:rPr>
            </w:pPr>
            <w:r>
              <w:rPr>
                <w:rFonts w:hint="eastAsia"/>
                <w:color w:val="auto"/>
                <w:kern w:val="0"/>
                <w:sz w:val="24"/>
              </w:rPr>
              <w:t>F——必须进入事故废水收集系统的雨水汇水面积，ha。</w:t>
            </w:r>
          </w:p>
          <w:p>
            <w:pPr>
              <w:overflowPunct w:val="0"/>
              <w:autoSpaceDE w:val="0"/>
              <w:autoSpaceDN w:val="0"/>
              <w:adjustRightInd w:val="0"/>
              <w:snapToGrid w:val="0"/>
              <w:spacing w:line="360" w:lineRule="auto"/>
              <w:ind w:firstLine="480" w:firstLineChars="200"/>
              <w:textAlignment w:val="baseline"/>
              <w:rPr>
                <w:color w:val="auto"/>
                <w:kern w:val="0"/>
                <w:sz w:val="24"/>
              </w:rPr>
            </w:pPr>
            <w:r>
              <w:rPr>
                <w:rFonts w:hint="eastAsia"/>
                <w:color w:val="auto"/>
                <w:kern w:val="0"/>
                <w:sz w:val="24"/>
              </w:rPr>
              <w:t>本项目主要的化学品均储存于</w:t>
            </w:r>
            <w:r>
              <w:rPr>
                <w:rFonts w:hint="eastAsia"/>
                <w:color w:val="auto"/>
                <w:kern w:val="0"/>
                <w:sz w:val="24"/>
                <w:lang w:eastAsia="zh-CN"/>
              </w:rPr>
              <w:t>危化品</w:t>
            </w:r>
            <w:r>
              <w:rPr>
                <w:rFonts w:hint="eastAsia"/>
                <w:color w:val="auto"/>
                <w:kern w:val="0"/>
                <w:sz w:val="24"/>
              </w:rPr>
              <w:t>仓库</w:t>
            </w:r>
            <w:r>
              <w:rPr>
                <w:rFonts w:hint="eastAsia"/>
                <w:color w:val="auto"/>
                <w:kern w:val="0"/>
                <w:sz w:val="24"/>
                <w:lang w:eastAsia="zh-CN"/>
              </w:rPr>
              <w:t>（甲类仓库）</w:t>
            </w:r>
            <w:r>
              <w:rPr>
                <w:rFonts w:hint="eastAsia"/>
                <w:color w:val="auto"/>
                <w:kern w:val="0"/>
                <w:sz w:val="24"/>
              </w:rPr>
              <w:t>。因此，主要考虑该建筑发生火灾时的</w:t>
            </w:r>
            <w:r>
              <w:rPr>
                <w:color w:val="auto"/>
                <w:kern w:val="0"/>
                <w:sz w:val="24"/>
              </w:rPr>
              <w:t>消防废水量</w:t>
            </w:r>
            <w:r>
              <w:rPr>
                <w:rFonts w:hint="eastAsia"/>
                <w:color w:val="auto"/>
                <w:kern w:val="0"/>
                <w:sz w:val="24"/>
              </w:rPr>
              <w:t>。本项目事故应急池容量计算如下：</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V1：</w:t>
            </w:r>
            <w:r>
              <w:rPr>
                <w:rFonts w:hint="eastAsia"/>
                <w:color w:val="auto"/>
                <w:kern w:val="0"/>
                <w:sz w:val="24"/>
                <w:lang w:eastAsia="zh-CN"/>
              </w:rPr>
              <w:t>危化品仓</w:t>
            </w:r>
            <w:r>
              <w:rPr>
                <w:rFonts w:hint="eastAsia"/>
                <w:color w:val="auto"/>
                <w:kern w:val="0"/>
                <w:sz w:val="24"/>
              </w:rPr>
              <w:t>库</w:t>
            </w:r>
            <w:r>
              <w:rPr>
                <w:rFonts w:hint="eastAsia"/>
                <w:color w:val="auto"/>
                <w:kern w:val="0"/>
                <w:sz w:val="24"/>
                <w:lang w:eastAsia="zh-CN"/>
              </w:rPr>
              <w:t>（甲类仓库）</w:t>
            </w:r>
            <w:r>
              <w:rPr>
                <w:color w:val="auto"/>
                <w:kern w:val="0"/>
                <w:sz w:val="24"/>
              </w:rPr>
              <w:t>液体化学品的</w:t>
            </w:r>
            <w:r>
              <w:rPr>
                <w:rFonts w:hint="eastAsia"/>
                <w:color w:val="auto"/>
                <w:kern w:val="0"/>
                <w:sz w:val="24"/>
              </w:rPr>
              <w:t>最大</w:t>
            </w:r>
            <w:r>
              <w:rPr>
                <w:color w:val="auto"/>
                <w:kern w:val="0"/>
                <w:sz w:val="24"/>
              </w:rPr>
              <w:t>存储量</w:t>
            </w:r>
            <w:r>
              <w:rPr>
                <w:rFonts w:hint="eastAsia"/>
                <w:color w:val="auto"/>
                <w:kern w:val="0"/>
                <w:sz w:val="24"/>
                <w:lang w:val="en-US" w:eastAsia="zh-CN"/>
              </w:rPr>
              <w:t>68</w:t>
            </w:r>
            <w:r>
              <w:rPr>
                <w:color w:val="auto"/>
                <w:kern w:val="0"/>
                <w:sz w:val="24"/>
              </w:rPr>
              <w:t>m</w:t>
            </w:r>
            <w:r>
              <w:rPr>
                <w:color w:val="auto"/>
                <w:kern w:val="0"/>
                <w:sz w:val="24"/>
                <w:vertAlign w:val="superscript"/>
              </w:rPr>
              <w:t>3</w:t>
            </w:r>
            <w:r>
              <w:rPr>
                <w:color w:val="auto"/>
                <w:kern w:val="0"/>
                <w:sz w:val="24"/>
              </w:rPr>
              <w:t>。因此V1=</w:t>
            </w:r>
            <w:r>
              <w:rPr>
                <w:rFonts w:hint="eastAsia"/>
                <w:color w:val="auto"/>
                <w:kern w:val="0"/>
                <w:sz w:val="24"/>
                <w:lang w:val="en-US" w:eastAsia="zh-CN"/>
              </w:rPr>
              <w:t>68</w:t>
            </w:r>
            <w:r>
              <w:rPr>
                <w:color w:val="auto"/>
                <w:kern w:val="0"/>
                <w:sz w:val="24"/>
              </w:rPr>
              <w:t>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V2：根据设计相关资料，</w:t>
            </w:r>
            <w:r>
              <w:rPr>
                <w:rFonts w:hint="eastAsia"/>
                <w:color w:val="auto"/>
                <w:kern w:val="0"/>
                <w:sz w:val="24"/>
              </w:rPr>
              <w:t>消防水量设计为15升/秒，火灾延续时间2小时，计算得</w:t>
            </w:r>
            <w:r>
              <w:rPr>
                <w:color w:val="auto"/>
                <w:kern w:val="0"/>
                <w:sz w:val="24"/>
              </w:rPr>
              <w:t>V2=1</w:t>
            </w:r>
            <w:r>
              <w:rPr>
                <w:rFonts w:hint="eastAsia"/>
                <w:color w:val="auto"/>
                <w:kern w:val="0"/>
                <w:sz w:val="24"/>
              </w:rPr>
              <w:t>08</w:t>
            </w:r>
            <w:r>
              <w:rPr>
                <w:color w:val="auto"/>
                <w:kern w:val="0"/>
                <w:sz w:val="24"/>
              </w:rPr>
              <w:t>m</w:t>
            </w:r>
            <w:r>
              <w:rPr>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V3：库房内设置地沟或围堰，</w:t>
            </w:r>
            <w:r>
              <w:rPr>
                <w:rFonts w:hint="eastAsia"/>
                <w:color w:val="auto"/>
                <w:kern w:val="0"/>
                <w:sz w:val="24"/>
              </w:rPr>
              <w:t>但容积较小，按0</w:t>
            </w:r>
            <w:r>
              <w:rPr>
                <w:color w:val="auto"/>
                <w:kern w:val="0"/>
                <w:sz w:val="24"/>
              </w:rPr>
              <w:t>m</w:t>
            </w:r>
            <w:r>
              <w:rPr>
                <w:color w:val="auto"/>
                <w:kern w:val="0"/>
                <w:sz w:val="24"/>
                <w:vertAlign w:val="superscript"/>
              </w:rPr>
              <w:t>3</w:t>
            </w:r>
            <w:r>
              <w:rPr>
                <w:rFonts w:hint="eastAsia"/>
                <w:color w:val="auto"/>
                <w:kern w:val="0"/>
                <w:sz w:val="24"/>
              </w:rPr>
              <w:t>计算</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V4：</w:t>
            </w:r>
            <w:r>
              <w:rPr>
                <w:rFonts w:hint="eastAsia"/>
                <w:color w:val="auto"/>
                <w:kern w:val="0"/>
                <w:sz w:val="24"/>
              </w:rPr>
              <w:t>本项目则V4=0m</w:t>
            </w:r>
            <w:r>
              <w:rPr>
                <w:rFonts w:hint="eastAsia"/>
                <w:color w:val="auto"/>
                <w:kern w:val="0"/>
                <w:sz w:val="24"/>
                <w:vertAlign w:val="superscript"/>
              </w:rPr>
              <w:t>3</w:t>
            </w:r>
            <w:r>
              <w:rPr>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color w:val="auto"/>
                <w:kern w:val="0"/>
                <w:sz w:val="24"/>
              </w:rPr>
              <w:t>V5：</w:t>
            </w:r>
            <w:r>
              <w:rPr>
                <w:rFonts w:hint="eastAsia"/>
                <w:color w:val="auto"/>
                <w:kern w:val="0"/>
                <w:sz w:val="24"/>
              </w:rPr>
              <w:t>本项目发生事故时</w:t>
            </w:r>
            <w:r>
              <w:rPr>
                <w:rFonts w:hint="eastAsia"/>
                <w:color w:val="auto"/>
                <w:kern w:val="0"/>
                <w:sz w:val="24"/>
                <w:lang w:eastAsia="zh-CN"/>
              </w:rPr>
              <w:t>进入收集系统的</w:t>
            </w:r>
            <w:r>
              <w:rPr>
                <w:rFonts w:hint="eastAsia"/>
                <w:color w:val="auto"/>
                <w:kern w:val="0"/>
                <w:sz w:val="24"/>
              </w:rPr>
              <w:t>汇水面积</w:t>
            </w:r>
            <w:r>
              <w:rPr>
                <w:rFonts w:hint="eastAsia"/>
                <w:color w:val="auto"/>
                <w:kern w:val="0"/>
                <w:sz w:val="24"/>
                <w:lang w:eastAsia="zh-CN"/>
              </w:rPr>
              <w:t>约</w:t>
            </w:r>
            <w:r>
              <w:rPr>
                <w:rFonts w:hint="eastAsia"/>
                <w:color w:val="auto"/>
                <w:kern w:val="0"/>
                <w:sz w:val="24"/>
              </w:rPr>
              <w:t>为1</w:t>
            </w:r>
            <w:r>
              <w:rPr>
                <w:color w:val="auto"/>
                <w:kern w:val="0"/>
                <w:sz w:val="24"/>
              </w:rPr>
              <w:t>2</w:t>
            </w:r>
            <w:r>
              <w:rPr>
                <w:rFonts w:hint="eastAsia"/>
                <w:color w:val="auto"/>
                <w:kern w:val="0"/>
                <w:sz w:val="24"/>
              </w:rPr>
              <w:t>60</w:t>
            </w:r>
            <w:r>
              <w:rPr>
                <w:rFonts w:hint="eastAsia"/>
                <w:color w:val="auto"/>
                <w:kern w:val="0"/>
                <w:sz w:val="24"/>
                <w:lang w:val="en-US" w:eastAsia="zh-CN"/>
              </w:rPr>
              <w:t>0</w:t>
            </w:r>
            <w:r>
              <w:rPr>
                <w:rFonts w:hint="eastAsia"/>
                <w:color w:val="auto"/>
                <w:kern w:val="0"/>
                <w:sz w:val="24"/>
              </w:rPr>
              <w:t>m</w:t>
            </w:r>
            <w:r>
              <w:rPr>
                <w:rFonts w:hint="eastAsia"/>
                <w:color w:val="auto"/>
                <w:kern w:val="0"/>
                <w:sz w:val="24"/>
                <w:vertAlign w:val="superscript"/>
              </w:rPr>
              <w:t>2</w:t>
            </w:r>
            <w:r>
              <w:rPr>
                <w:rFonts w:hint="eastAsia"/>
                <w:color w:val="auto"/>
                <w:kern w:val="0"/>
                <w:sz w:val="24"/>
              </w:rPr>
              <w:t>，计算得出V5=137</w:t>
            </w:r>
            <w:r>
              <w:rPr>
                <w:rFonts w:hint="eastAsia"/>
                <w:color w:val="auto"/>
                <w:kern w:val="0"/>
                <w:sz w:val="24"/>
                <w:lang w:val="en-US" w:eastAsia="zh-CN"/>
              </w:rPr>
              <w:t>.3</w:t>
            </w:r>
            <w:r>
              <w:rPr>
                <w:rFonts w:hint="eastAsia"/>
                <w:color w:val="auto"/>
                <w:kern w:val="0"/>
                <w:sz w:val="24"/>
              </w:rPr>
              <w:t>m</w:t>
            </w:r>
            <w:r>
              <w:rPr>
                <w:rFonts w:hint="eastAsia"/>
                <w:color w:val="auto"/>
                <w:kern w:val="0"/>
                <w:sz w:val="24"/>
                <w:vertAlign w:val="superscript"/>
              </w:rPr>
              <w:t>3</w:t>
            </w:r>
            <w:r>
              <w:rPr>
                <w:rFonts w:hint="eastAsia"/>
                <w:color w:val="auto"/>
                <w:kern w:val="0"/>
                <w:sz w:val="24"/>
              </w:rPr>
              <w:t>。</w:t>
            </w:r>
          </w:p>
          <w:p>
            <w:pPr>
              <w:overflowPunct w:val="0"/>
              <w:autoSpaceDE w:val="0"/>
              <w:autoSpaceDN w:val="0"/>
              <w:adjustRightInd w:val="0"/>
              <w:snapToGrid w:val="0"/>
              <w:spacing w:line="360" w:lineRule="auto"/>
              <w:ind w:firstLine="480" w:firstLineChars="200"/>
              <w:textAlignment w:val="baseline"/>
              <w:rPr>
                <w:color w:val="auto"/>
                <w:kern w:val="0"/>
                <w:sz w:val="24"/>
              </w:rPr>
            </w:pPr>
            <w:r>
              <w:rPr>
                <w:rFonts w:hint="eastAsia"/>
                <w:color w:val="auto"/>
                <w:kern w:val="0"/>
                <w:sz w:val="24"/>
              </w:rPr>
              <w:t>本项目的事故废水</w:t>
            </w:r>
            <w:r>
              <w:rPr>
                <w:color w:val="auto"/>
                <w:kern w:val="0"/>
                <w:sz w:val="24"/>
              </w:rPr>
              <w:t>量为V=（V1+V2-V3）</w:t>
            </w:r>
            <w:r>
              <w:rPr>
                <w:color w:val="auto"/>
                <w:kern w:val="0"/>
                <w:sz w:val="24"/>
                <w:vertAlign w:val="subscript"/>
              </w:rPr>
              <w:t>max</w:t>
            </w:r>
            <w:r>
              <w:rPr>
                <w:color w:val="auto"/>
                <w:kern w:val="0"/>
                <w:sz w:val="24"/>
              </w:rPr>
              <w:t>+V4+V5</w:t>
            </w:r>
            <w:r>
              <w:rPr>
                <w:rFonts w:hint="eastAsia"/>
                <w:color w:val="auto"/>
                <w:kern w:val="0"/>
                <w:sz w:val="24"/>
              </w:rPr>
              <w:t>=</w:t>
            </w:r>
            <w:r>
              <w:rPr>
                <w:rFonts w:hint="eastAsia"/>
                <w:color w:val="auto"/>
                <w:kern w:val="0"/>
                <w:sz w:val="24"/>
                <w:lang w:val="en-US" w:eastAsia="zh-CN"/>
              </w:rPr>
              <w:t>313.3</w:t>
            </w:r>
            <w:r>
              <w:rPr>
                <w:color w:val="auto"/>
                <w:kern w:val="0"/>
                <w:sz w:val="24"/>
              </w:rPr>
              <w:t>m</w:t>
            </w:r>
            <w:r>
              <w:rPr>
                <w:color w:val="auto"/>
                <w:kern w:val="0"/>
                <w:sz w:val="24"/>
                <w:vertAlign w:val="superscript"/>
              </w:rPr>
              <w:t>3</w:t>
            </w:r>
            <w:r>
              <w:rPr>
                <w:color w:val="auto"/>
                <w:kern w:val="0"/>
                <w:sz w:val="24"/>
              </w:rPr>
              <w:t>。</w:t>
            </w:r>
          </w:p>
          <w:p>
            <w:pPr>
              <w:spacing w:line="360" w:lineRule="auto"/>
              <w:ind w:firstLine="480" w:firstLineChars="200"/>
              <w:rPr>
                <w:rFonts w:hint="eastAsia"/>
                <w:color w:val="auto"/>
                <w:kern w:val="0"/>
                <w:sz w:val="24"/>
              </w:rPr>
            </w:pPr>
            <w:r>
              <w:rPr>
                <w:color w:val="auto"/>
                <w:kern w:val="0"/>
                <w:sz w:val="24"/>
              </w:rPr>
              <w:t>本项目</w:t>
            </w:r>
            <w:r>
              <w:rPr>
                <w:rFonts w:hint="eastAsia"/>
                <w:color w:val="auto"/>
                <w:kern w:val="0"/>
                <w:sz w:val="24"/>
                <w:lang w:val="en-US" w:eastAsia="zh-CN"/>
              </w:rPr>
              <w:t>依托现有4</w:t>
            </w:r>
            <w:r>
              <w:rPr>
                <w:rFonts w:hint="eastAsia"/>
                <w:color w:val="auto"/>
                <w:kern w:val="0"/>
                <w:sz w:val="24"/>
              </w:rPr>
              <w:t>5</w:t>
            </w:r>
            <w:r>
              <w:rPr>
                <w:color w:val="auto"/>
                <w:kern w:val="0"/>
                <w:sz w:val="24"/>
              </w:rPr>
              <w:t>0m</w:t>
            </w:r>
            <w:r>
              <w:rPr>
                <w:color w:val="auto"/>
                <w:kern w:val="0"/>
                <w:sz w:val="24"/>
                <w:vertAlign w:val="superscript"/>
              </w:rPr>
              <w:t>3</w:t>
            </w:r>
            <w:r>
              <w:rPr>
                <w:color w:val="auto"/>
                <w:kern w:val="0"/>
                <w:sz w:val="24"/>
              </w:rPr>
              <w:t>事故应急池，可满足</w:t>
            </w:r>
            <w:r>
              <w:rPr>
                <w:rFonts w:hint="eastAsia"/>
                <w:color w:val="auto"/>
                <w:kern w:val="0"/>
                <w:sz w:val="24"/>
              </w:rPr>
              <w:t>扩建后</w:t>
            </w:r>
            <w:r>
              <w:rPr>
                <w:rFonts w:hint="eastAsia"/>
                <w:color w:val="auto"/>
                <w:kern w:val="0"/>
                <w:sz w:val="24"/>
                <w:lang w:eastAsia="zh-CN"/>
              </w:rPr>
              <w:t>全厂</w:t>
            </w:r>
            <w:r>
              <w:rPr>
                <w:rFonts w:hint="eastAsia"/>
                <w:color w:val="auto"/>
                <w:kern w:val="0"/>
                <w:sz w:val="24"/>
              </w:rPr>
              <w:t>事故废水</w:t>
            </w:r>
            <w:r>
              <w:rPr>
                <w:color w:val="auto"/>
                <w:kern w:val="0"/>
                <w:sz w:val="24"/>
              </w:rPr>
              <w:t>收集</w:t>
            </w:r>
            <w:r>
              <w:rPr>
                <w:rFonts w:hint="eastAsia"/>
                <w:color w:val="auto"/>
                <w:kern w:val="0"/>
                <w:sz w:val="24"/>
              </w:rPr>
              <w:t>需要</w:t>
            </w:r>
            <w:r>
              <w:rPr>
                <w:color w:val="auto"/>
                <w:kern w:val="0"/>
                <w:sz w:val="24"/>
              </w:rPr>
              <w:t>。</w:t>
            </w:r>
          </w:p>
          <w:p>
            <w:pPr>
              <w:overflowPunct w:val="0"/>
              <w:autoSpaceDE w:val="0"/>
              <w:autoSpaceDN w:val="0"/>
              <w:snapToGrid w:val="0"/>
              <w:spacing w:line="360" w:lineRule="auto"/>
              <w:ind w:firstLine="480" w:firstLineChars="200"/>
              <w:textAlignment w:val="baseline"/>
              <w:rPr>
                <w:color w:val="auto"/>
              </w:rPr>
            </w:pPr>
            <w:r>
              <w:rPr>
                <w:rFonts w:hint="default" w:ascii="Times New Roman" w:hAnsi="Times New Roman" w:cs="Times New Roman"/>
                <w:color w:val="auto"/>
                <w:kern w:val="0"/>
                <w:sz w:val="24"/>
              </w:rPr>
              <w:t>⑦</w:t>
            </w:r>
            <w:r>
              <w:rPr>
                <w:color w:val="auto"/>
                <w:kern w:val="0"/>
                <w:sz w:val="24"/>
              </w:rPr>
              <w:t>雨水</w:t>
            </w:r>
            <w:r>
              <w:rPr>
                <w:rFonts w:hint="eastAsia"/>
                <w:color w:val="auto"/>
                <w:kern w:val="0"/>
                <w:sz w:val="24"/>
              </w:rPr>
              <w:t>排放口</w:t>
            </w:r>
            <w:r>
              <w:rPr>
                <w:color w:val="auto"/>
                <w:kern w:val="0"/>
                <w:sz w:val="24"/>
              </w:rPr>
              <w:t>设置雨水截止阀</w:t>
            </w:r>
            <w:r>
              <w:rPr>
                <w:bCs/>
                <w:color w:val="auto"/>
                <w:kern w:val="0"/>
                <w:sz w:val="24"/>
              </w:rPr>
              <w:t>，发生火灾时，切断雨水管网与市政</w:t>
            </w:r>
            <w:r>
              <w:rPr>
                <w:color w:val="auto"/>
                <w:kern w:val="0"/>
                <w:sz w:val="24"/>
              </w:rPr>
              <w:t>雨水</w:t>
            </w:r>
            <w:r>
              <w:rPr>
                <w:bCs/>
                <w:color w:val="auto"/>
                <w:kern w:val="0"/>
                <w:sz w:val="24"/>
              </w:rPr>
              <w:t>管网的连接。</w:t>
            </w:r>
          </w:p>
          <w:p>
            <w:pPr>
              <w:numPr>
                <w:ilvl w:val="0"/>
                <w:numId w:val="7"/>
              </w:numPr>
              <w:overflowPunct w:val="0"/>
              <w:autoSpaceDE w:val="0"/>
              <w:autoSpaceDN w:val="0"/>
              <w:snapToGrid w:val="0"/>
              <w:spacing w:line="360" w:lineRule="auto"/>
              <w:ind w:firstLine="482" w:firstLineChars="200"/>
              <w:textAlignment w:val="baseline"/>
              <w:rPr>
                <w:b/>
                <w:color w:val="auto"/>
                <w:kern w:val="0"/>
                <w:sz w:val="24"/>
              </w:rPr>
            </w:pPr>
            <w:r>
              <w:rPr>
                <w:b/>
                <w:color w:val="auto"/>
                <w:kern w:val="0"/>
                <w:sz w:val="24"/>
              </w:rPr>
              <w:t>环境管理要求</w:t>
            </w:r>
          </w:p>
          <w:p>
            <w:pPr>
              <w:snapToGrid w:val="0"/>
              <w:spacing w:line="360" w:lineRule="auto"/>
              <w:ind w:firstLine="480" w:firstLineChars="200"/>
              <w:jc w:val="left"/>
              <w:rPr>
                <w:color w:val="auto"/>
                <w:sz w:val="24"/>
              </w:rPr>
            </w:pPr>
            <w:r>
              <w:rPr>
                <w:bCs/>
                <w:color w:val="auto"/>
                <w:sz w:val="24"/>
              </w:rPr>
              <w:t>①</w:t>
            </w:r>
            <w:r>
              <w:rPr>
                <w:color w:val="auto"/>
                <w:sz w:val="24"/>
              </w:rPr>
              <w:t>在项目筹备、设计和施工建设不同阶段，均应严格执行环保“三同时”制度，确保污染处理设施能够与生产工艺设施“同时设计、同时施工、同时竣工”。</w:t>
            </w:r>
          </w:p>
          <w:p>
            <w:pPr>
              <w:snapToGrid w:val="0"/>
              <w:spacing w:line="360" w:lineRule="auto"/>
              <w:ind w:firstLine="480" w:firstLineChars="200"/>
              <w:jc w:val="left"/>
              <w:rPr>
                <w:color w:val="auto"/>
                <w:sz w:val="24"/>
              </w:rPr>
            </w:pPr>
            <w:r>
              <w:rPr>
                <w:color w:val="auto"/>
                <w:sz w:val="24"/>
              </w:rPr>
              <w:t>②本项目应按有关法规的要求，严格执行排污许可制度；此外，在项目排污发生重大变化、污染治理设施发生重大改变或拟实施新、改、扩建项目时必须及时向相关环保行政主管部门申报。</w:t>
            </w:r>
          </w:p>
          <w:p>
            <w:pPr>
              <w:snapToGrid w:val="0"/>
              <w:spacing w:line="360" w:lineRule="auto"/>
              <w:ind w:firstLine="480" w:firstLineChars="200"/>
              <w:jc w:val="left"/>
              <w:rPr>
                <w:color w:val="auto"/>
                <w:sz w:val="24"/>
              </w:rPr>
            </w:pPr>
            <w:r>
              <w:rPr>
                <w:color w:val="auto"/>
                <w:sz w:val="24"/>
              </w:rPr>
              <w:t>③建立健全污染治理设施的运行、检修、维护保养的作业规程和管理制度，确保污染治理设施稳定运行。</w:t>
            </w:r>
          </w:p>
          <w:p>
            <w:pPr>
              <w:ind w:firstLine="480" w:firstLineChars="200"/>
              <w:rPr>
                <w:rFonts w:hint="eastAsia"/>
                <w:color w:val="auto"/>
              </w:rPr>
            </w:pPr>
            <w:r>
              <w:rPr>
                <w:color w:val="auto"/>
                <w:sz w:val="24"/>
              </w:rPr>
              <w:t>④二级活性炭处理装置定期更换碘值不小于800mg/g的活性炭。</w:t>
            </w:r>
          </w:p>
        </w:tc>
      </w:tr>
    </w:tbl>
    <w:p>
      <w:pPr>
        <w:pStyle w:val="18"/>
        <w:jc w:val="center"/>
        <w:outlineLvl w:val="9"/>
        <w:rPr>
          <w:rFonts w:hint="eastAsia" w:ascii="黑体" w:hAnsi="黑体" w:eastAsia="黑体"/>
          <w:snapToGrid w:val="0"/>
          <w:color w:val="auto"/>
          <w:sz w:val="30"/>
          <w:szCs w:val="30"/>
        </w:rPr>
      </w:pPr>
    </w:p>
    <w:p>
      <w:pPr>
        <w:pStyle w:val="18"/>
        <w:jc w:val="center"/>
        <w:outlineLvl w:val="9"/>
        <w:rPr>
          <w:rFonts w:hint="eastAsia" w:ascii="黑体" w:hAnsi="黑体" w:eastAsia="黑体"/>
          <w:snapToGrid w:val="0"/>
          <w:color w:val="auto"/>
          <w:sz w:val="30"/>
          <w:szCs w:val="30"/>
        </w:rPr>
      </w:pPr>
    </w:p>
    <w:p>
      <w:pPr>
        <w:pStyle w:val="18"/>
        <w:jc w:val="center"/>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4" w:name="_Hlk54167917"/>
      <w:r>
        <w:rPr>
          <w:rFonts w:hint="eastAsia" w:ascii="黑体" w:hAnsi="黑体" w:eastAsia="黑体"/>
          <w:snapToGrid w:val="0"/>
          <w:color w:val="auto"/>
          <w:sz w:val="30"/>
          <w:szCs w:val="30"/>
        </w:rPr>
        <w:t>环境保护措施监督检查清单</w:t>
      </w:r>
      <w:bookmarkEnd w:id="4"/>
    </w:p>
    <w:tbl>
      <w:tblPr>
        <w:tblStyle w:val="2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453"/>
        <w:gridCol w:w="1267"/>
        <w:gridCol w:w="3147"/>
        <w:gridCol w:w="14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12" w:space="0"/>
              <w:left w:val="single" w:color="auto" w:sz="12" w:space="0"/>
              <w:bottom w:val="single" w:color="auto" w:sz="4" w:space="0"/>
              <w:tl2br w:val="single" w:color="auto" w:sz="4" w:space="0"/>
            </w:tcBorders>
            <w:noWrap w:val="0"/>
            <w:vAlign w:val="top"/>
          </w:tcPr>
          <w:p>
            <w:pPr>
              <w:adjustRightInd w:val="0"/>
              <w:snapToGrid w:val="0"/>
              <w:ind w:firstLine="840"/>
              <w:rPr>
                <w:b/>
                <w:color w:val="auto"/>
                <w:szCs w:val="21"/>
              </w:rPr>
            </w:pPr>
            <w:r>
              <w:rPr>
                <w:b/>
                <w:color w:val="auto"/>
                <w:szCs w:val="21"/>
              </w:rPr>
              <w:t>内容</w:t>
            </w:r>
          </w:p>
          <w:p>
            <w:pPr>
              <w:adjustRightInd w:val="0"/>
              <w:snapToGrid w:val="0"/>
              <w:rPr>
                <w:b/>
                <w:color w:val="auto"/>
                <w:szCs w:val="21"/>
              </w:rPr>
            </w:pPr>
            <w:r>
              <w:rPr>
                <w:b/>
                <w:color w:val="auto"/>
                <w:szCs w:val="21"/>
              </w:rPr>
              <w:t>要素</w:t>
            </w:r>
          </w:p>
        </w:tc>
        <w:tc>
          <w:tcPr>
            <w:tcW w:w="1453" w:type="dxa"/>
            <w:tcBorders>
              <w:top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排放口(编号、</w:t>
            </w:r>
          </w:p>
          <w:p>
            <w:pPr>
              <w:adjustRightInd w:val="0"/>
              <w:snapToGrid w:val="0"/>
              <w:jc w:val="center"/>
              <w:rPr>
                <w:b/>
                <w:color w:val="auto"/>
                <w:szCs w:val="21"/>
              </w:rPr>
            </w:pPr>
            <w:r>
              <w:rPr>
                <w:b/>
                <w:color w:val="auto"/>
                <w:szCs w:val="21"/>
              </w:rPr>
              <w:t>名称)/污染源</w:t>
            </w:r>
          </w:p>
        </w:tc>
        <w:tc>
          <w:tcPr>
            <w:tcW w:w="1267" w:type="dxa"/>
            <w:tcBorders>
              <w:top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污染物项目</w:t>
            </w:r>
          </w:p>
        </w:tc>
        <w:tc>
          <w:tcPr>
            <w:tcW w:w="3147" w:type="dxa"/>
            <w:tcBorders>
              <w:top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环境保护措施</w:t>
            </w:r>
          </w:p>
        </w:tc>
        <w:tc>
          <w:tcPr>
            <w:tcW w:w="1433" w:type="dxa"/>
            <w:tcBorders>
              <w:top w:val="single" w:color="auto" w:sz="12" w:space="0"/>
              <w:bottom w:val="single" w:color="auto" w:sz="4" w:space="0"/>
              <w:right w:val="single" w:color="auto" w:sz="12" w:space="0"/>
            </w:tcBorders>
            <w:noWrap w:val="0"/>
            <w:vAlign w:val="center"/>
          </w:tcPr>
          <w:p>
            <w:pPr>
              <w:adjustRightInd w:val="0"/>
              <w:snapToGrid w:val="0"/>
              <w:jc w:val="center"/>
              <w:rPr>
                <w:b/>
                <w:color w:val="auto"/>
                <w:szCs w:val="21"/>
              </w:rPr>
            </w:pPr>
            <w:r>
              <w:rPr>
                <w:b/>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restart"/>
            <w:tcBorders>
              <w:top w:val="single" w:color="auto" w:sz="4" w:space="0"/>
              <w:left w:val="single" w:color="auto" w:sz="12" w:space="0"/>
            </w:tcBorders>
            <w:noWrap w:val="0"/>
            <w:vAlign w:val="center"/>
          </w:tcPr>
          <w:p>
            <w:pPr>
              <w:adjustRightInd w:val="0"/>
              <w:snapToGrid w:val="0"/>
              <w:jc w:val="center"/>
              <w:rPr>
                <w:b/>
                <w:color w:val="auto"/>
                <w:szCs w:val="21"/>
              </w:rPr>
            </w:pPr>
            <w:r>
              <w:rPr>
                <w:b/>
                <w:color w:val="auto"/>
                <w:szCs w:val="21"/>
              </w:rPr>
              <w:t>大气环境</w:t>
            </w:r>
          </w:p>
        </w:tc>
        <w:tc>
          <w:tcPr>
            <w:tcW w:w="1453" w:type="dxa"/>
            <w:tcBorders>
              <w:top w:val="single" w:color="auto" w:sz="4" w:space="0"/>
              <w:bottom w:val="single" w:color="auto" w:sz="4" w:space="0"/>
            </w:tcBorders>
            <w:noWrap w:val="0"/>
            <w:vAlign w:val="center"/>
          </w:tcPr>
          <w:p>
            <w:pPr>
              <w:adjustRightInd w:val="0"/>
              <w:snapToGrid w:val="0"/>
              <w:jc w:val="center"/>
              <w:rPr>
                <w:rFonts w:hint="default" w:eastAsia="宋体"/>
                <w:color w:val="auto"/>
                <w:szCs w:val="21"/>
                <w:lang w:val="en-US" w:eastAsia="zh-CN"/>
              </w:rPr>
            </w:pPr>
            <w:r>
              <w:rPr>
                <w:color w:val="auto"/>
                <w:szCs w:val="21"/>
              </w:rPr>
              <w:t>DA0</w:t>
            </w:r>
            <w:r>
              <w:rPr>
                <w:rFonts w:hint="eastAsia"/>
                <w:color w:val="auto"/>
                <w:szCs w:val="21"/>
                <w:lang w:val="en-US" w:eastAsia="zh-CN"/>
              </w:rPr>
              <w:t>17</w:t>
            </w:r>
          </w:p>
        </w:tc>
        <w:tc>
          <w:tcPr>
            <w:tcW w:w="1267" w:type="dxa"/>
            <w:tcBorders>
              <w:top w:val="single" w:color="auto" w:sz="4" w:space="0"/>
              <w:bottom w:val="single" w:color="auto" w:sz="4" w:space="0"/>
            </w:tcBorders>
            <w:noWrap w:val="0"/>
            <w:vAlign w:val="center"/>
          </w:tcPr>
          <w:p>
            <w:pPr>
              <w:adjustRightInd w:val="0"/>
              <w:snapToGrid w:val="0"/>
              <w:rPr>
                <w:b w:val="0"/>
                <w:bCs w:val="0"/>
                <w:color w:val="auto"/>
                <w:szCs w:val="21"/>
              </w:rPr>
            </w:pPr>
            <w:r>
              <w:rPr>
                <w:b w:val="0"/>
                <w:bCs w:val="0"/>
                <w:color w:val="auto"/>
                <w:szCs w:val="21"/>
              </w:rPr>
              <w:t>颗粒物、锡及其化合物、非甲烷总烃</w:t>
            </w:r>
          </w:p>
        </w:tc>
        <w:tc>
          <w:tcPr>
            <w:tcW w:w="3147" w:type="dxa"/>
            <w:tcBorders>
              <w:top w:val="single" w:color="auto" w:sz="4" w:space="0"/>
              <w:bottom w:val="single" w:color="auto" w:sz="4" w:space="0"/>
            </w:tcBorders>
            <w:noWrap w:val="0"/>
            <w:vAlign w:val="center"/>
          </w:tcPr>
          <w:p>
            <w:pPr>
              <w:adjustRightInd w:val="0"/>
              <w:snapToGrid w:val="0"/>
              <w:rPr>
                <w:b w:val="0"/>
                <w:bCs w:val="0"/>
                <w:color w:val="auto"/>
                <w:szCs w:val="21"/>
              </w:rPr>
            </w:pPr>
            <w:r>
              <w:rPr>
                <w:rFonts w:hint="eastAsia"/>
                <w:b w:val="0"/>
                <w:bCs w:val="0"/>
                <w:color w:val="auto"/>
                <w:szCs w:val="21"/>
                <w:lang w:eastAsia="zh-CN"/>
              </w:rPr>
              <w:t>自动</w:t>
            </w:r>
            <w:r>
              <w:rPr>
                <w:b w:val="0"/>
                <w:bCs w:val="0"/>
                <w:color w:val="auto"/>
                <w:szCs w:val="21"/>
              </w:rPr>
              <w:t>划焊工序</w:t>
            </w:r>
            <w:r>
              <w:rPr>
                <w:rFonts w:hint="eastAsia"/>
                <w:b w:val="0"/>
                <w:bCs w:val="0"/>
                <w:color w:val="auto"/>
                <w:szCs w:val="21"/>
              </w:rPr>
              <w:t>废气</w:t>
            </w:r>
            <w:r>
              <w:rPr>
                <w:rFonts w:hint="eastAsia"/>
                <w:b w:val="0"/>
                <w:bCs w:val="0"/>
                <w:color w:val="auto"/>
                <w:szCs w:val="21"/>
                <w:lang w:eastAsia="zh-CN"/>
              </w:rPr>
              <w:t>通过</w:t>
            </w:r>
            <w:r>
              <w:rPr>
                <w:b w:val="0"/>
                <w:bCs w:val="0"/>
                <w:color w:val="auto"/>
                <w:szCs w:val="21"/>
              </w:rPr>
              <w:t>密闭设备顶部风管收集</w:t>
            </w:r>
            <w:r>
              <w:rPr>
                <w:rFonts w:hint="eastAsia"/>
                <w:b w:val="0"/>
                <w:bCs w:val="0"/>
                <w:color w:val="auto"/>
                <w:szCs w:val="21"/>
              </w:rPr>
              <w:t>后经</w:t>
            </w:r>
            <w:r>
              <w:rPr>
                <w:rFonts w:hint="eastAsia"/>
                <w:b w:val="0"/>
                <w:bCs w:val="0"/>
                <w:color w:val="auto"/>
                <w:szCs w:val="21"/>
                <w:lang w:eastAsia="zh-CN"/>
              </w:rPr>
              <w:t>一</w:t>
            </w:r>
            <w:r>
              <w:rPr>
                <w:rFonts w:hint="eastAsia"/>
                <w:b w:val="0"/>
                <w:bCs w:val="0"/>
                <w:color w:val="auto"/>
                <w:szCs w:val="21"/>
              </w:rPr>
              <w:t>套“</w:t>
            </w:r>
            <w:r>
              <w:rPr>
                <w:rFonts w:hint="eastAsia"/>
                <w:b w:val="0"/>
                <w:bCs w:val="0"/>
                <w:color w:val="auto"/>
                <w:szCs w:val="21"/>
                <w:lang w:eastAsia="zh-CN"/>
              </w:rPr>
              <w:t>袋式除尘</w:t>
            </w:r>
            <w:r>
              <w:rPr>
                <w:rFonts w:hint="eastAsia"/>
                <w:b w:val="0"/>
                <w:bCs w:val="0"/>
                <w:color w:val="auto"/>
                <w:szCs w:val="21"/>
              </w:rPr>
              <w:t>+二级活性炭吸附”处理后</w:t>
            </w:r>
            <w:r>
              <w:rPr>
                <w:rFonts w:hint="eastAsia"/>
                <w:b w:val="0"/>
                <w:bCs w:val="0"/>
                <w:color w:val="auto"/>
                <w:szCs w:val="21"/>
                <w:lang w:eastAsia="zh-CN"/>
              </w:rPr>
              <w:t>分别</w:t>
            </w:r>
            <w:r>
              <w:rPr>
                <w:rFonts w:hint="eastAsia"/>
                <w:b w:val="0"/>
                <w:bCs w:val="0"/>
                <w:color w:val="auto"/>
                <w:szCs w:val="21"/>
              </w:rPr>
              <w:t>通过</w:t>
            </w:r>
            <w:r>
              <w:rPr>
                <w:rFonts w:hint="eastAsia"/>
                <w:b w:val="0"/>
                <w:bCs w:val="0"/>
                <w:color w:val="auto"/>
                <w:szCs w:val="21"/>
                <w:lang w:val="en-US" w:eastAsia="zh-CN"/>
              </w:rPr>
              <w:t>1</w:t>
            </w:r>
            <w:r>
              <w:rPr>
                <w:rFonts w:hint="eastAsia"/>
                <w:b w:val="0"/>
                <w:bCs w:val="0"/>
                <w:color w:val="auto"/>
                <w:szCs w:val="21"/>
              </w:rPr>
              <w:t>根23m高排气筒（DA01</w:t>
            </w:r>
            <w:r>
              <w:rPr>
                <w:rFonts w:hint="eastAsia"/>
                <w:b w:val="0"/>
                <w:bCs w:val="0"/>
                <w:color w:val="auto"/>
                <w:szCs w:val="21"/>
                <w:lang w:val="en-US" w:eastAsia="zh-CN"/>
              </w:rPr>
              <w:t>7</w:t>
            </w:r>
            <w:r>
              <w:rPr>
                <w:rFonts w:hint="eastAsia"/>
                <w:b w:val="0"/>
                <w:bCs w:val="0"/>
                <w:color w:val="auto"/>
                <w:szCs w:val="21"/>
              </w:rPr>
              <w:t>）排放</w:t>
            </w:r>
          </w:p>
        </w:tc>
        <w:tc>
          <w:tcPr>
            <w:tcW w:w="1433" w:type="dxa"/>
            <w:vMerge w:val="restart"/>
            <w:tcBorders>
              <w:top w:val="single" w:color="auto" w:sz="4" w:space="0"/>
              <w:right w:val="single" w:color="auto" w:sz="12" w:space="0"/>
            </w:tcBorders>
            <w:noWrap w:val="0"/>
            <w:vAlign w:val="center"/>
          </w:tcPr>
          <w:p>
            <w:pPr>
              <w:adjustRightInd w:val="0"/>
              <w:snapToGrid w:val="0"/>
              <w:rPr>
                <w:rFonts w:hint="eastAsia" w:eastAsia="宋体"/>
                <w:color w:val="auto"/>
                <w:szCs w:val="21"/>
                <w:lang w:eastAsia="zh-CN"/>
              </w:rPr>
            </w:pPr>
            <w:r>
              <w:rPr>
                <w:color w:val="auto"/>
                <w:szCs w:val="21"/>
              </w:rPr>
              <w:t>上海市《大气污染物综合排放标准》（DB31933-2015）</w:t>
            </w:r>
            <w:r>
              <w:rPr>
                <w:rFonts w:hint="eastAsia"/>
                <w:color w:val="auto"/>
                <w:szCs w:val="21"/>
                <w:lang w:eastAsia="zh-CN"/>
              </w:rPr>
              <w:t>、《挥发性有机物无组织排放控制标准》（GB37822-2019）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tcBorders>
              <w:left w:val="single" w:color="auto" w:sz="12" w:space="0"/>
            </w:tcBorders>
            <w:noWrap w:val="0"/>
            <w:vAlign w:val="center"/>
          </w:tcPr>
          <w:p>
            <w:pPr>
              <w:adjustRightInd w:val="0"/>
              <w:snapToGrid w:val="0"/>
              <w:jc w:val="center"/>
              <w:rPr>
                <w:color w:val="auto"/>
                <w:szCs w:val="21"/>
              </w:rPr>
            </w:pPr>
          </w:p>
        </w:tc>
        <w:tc>
          <w:tcPr>
            <w:tcW w:w="1453" w:type="dxa"/>
            <w:tcBorders>
              <w:top w:val="single" w:color="auto" w:sz="4" w:space="0"/>
              <w:bottom w:val="single" w:color="auto" w:sz="4" w:space="0"/>
            </w:tcBorders>
            <w:noWrap w:val="0"/>
            <w:vAlign w:val="center"/>
          </w:tcPr>
          <w:p>
            <w:pPr>
              <w:adjustRightInd w:val="0"/>
              <w:snapToGrid w:val="0"/>
              <w:jc w:val="center"/>
              <w:rPr>
                <w:rFonts w:hint="default" w:eastAsia="宋体"/>
                <w:color w:val="auto"/>
                <w:szCs w:val="21"/>
                <w:lang w:val="en-US" w:eastAsia="zh-CN"/>
              </w:rPr>
            </w:pPr>
            <w:r>
              <w:rPr>
                <w:rFonts w:hint="eastAsia"/>
                <w:color w:val="auto"/>
                <w:szCs w:val="21"/>
              </w:rPr>
              <w:t>DA0</w:t>
            </w:r>
            <w:r>
              <w:rPr>
                <w:rFonts w:hint="eastAsia"/>
                <w:color w:val="auto"/>
                <w:szCs w:val="21"/>
                <w:lang w:val="en-US" w:eastAsia="zh-CN"/>
              </w:rPr>
              <w:t>18</w:t>
            </w:r>
          </w:p>
        </w:tc>
        <w:tc>
          <w:tcPr>
            <w:tcW w:w="1267" w:type="dxa"/>
            <w:tcBorders>
              <w:top w:val="single" w:color="auto" w:sz="4" w:space="0"/>
              <w:bottom w:val="single" w:color="auto" w:sz="4" w:space="0"/>
            </w:tcBorders>
            <w:noWrap w:val="0"/>
            <w:vAlign w:val="center"/>
          </w:tcPr>
          <w:p>
            <w:pPr>
              <w:adjustRightInd w:val="0"/>
              <w:snapToGrid w:val="0"/>
              <w:rPr>
                <w:b w:val="0"/>
                <w:bCs w:val="0"/>
                <w:color w:val="auto"/>
                <w:szCs w:val="21"/>
              </w:rPr>
            </w:pPr>
            <w:r>
              <w:rPr>
                <w:b w:val="0"/>
                <w:bCs w:val="0"/>
                <w:color w:val="auto"/>
                <w:szCs w:val="21"/>
              </w:rPr>
              <w:t>颗粒物、锡及其化合物、非甲烷总烃</w:t>
            </w:r>
          </w:p>
        </w:tc>
        <w:tc>
          <w:tcPr>
            <w:tcW w:w="3147" w:type="dxa"/>
            <w:tcBorders>
              <w:top w:val="single" w:color="auto" w:sz="4" w:space="0"/>
              <w:bottom w:val="single" w:color="auto" w:sz="4" w:space="0"/>
            </w:tcBorders>
            <w:noWrap w:val="0"/>
            <w:vAlign w:val="center"/>
          </w:tcPr>
          <w:p>
            <w:pPr>
              <w:adjustRightInd w:val="0"/>
              <w:snapToGrid w:val="0"/>
              <w:rPr>
                <w:b w:val="0"/>
                <w:bCs w:val="0"/>
                <w:color w:val="auto"/>
                <w:szCs w:val="21"/>
              </w:rPr>
            </w:pPr>
            <w:r>
              <w:rPr>
                <w:rFonts w:hint="eastAsia"/>
                <w:b w:val="0"/>
                <w:bCs w:val="0"/>
                <w:color w:val="auto"/>
                <w:szCs w:val="21"/>
                <w:lang w:eastAsia="zh-CN"/>
              </w:rPr>
              <w:t>自动</w:t>
            </w:r>
            <w:r>
              <w:rPr>
                <w:b w:val="0"/>
                <w:bCs w:val="0"/>
                <w:color w:val="auto"/>
                <w:szCs w:val="21"/>
              </w:rPr>
              <w:t>划焊工序</w:t>
            </w:r>
            <w:r>
              <w:rPr>
                <w:rFonts w:hint="eastAsia"/>
                <w:b w:val="0"/>
                <w:bCs w:val="0"/>
                <w:color w:val="auto"/>
                <w:szCs w:val="21"/>
              </w:rPr>
              <w:t>废气</w:t>
            </w:r>
            <w:r>
              <w:rPr>
                <w:b w:val="0"/>
                <w:bCs w:val="0"/>
                <w:color w:val="auto"/>
                <w:szCs w:val="21"/>
              </w:rPr>
              <w:t>通过经密闭设备顶部风管收集</w:t>
            </w:r>
            <w:r>
              <w:rPr>
                <w:rFonts w:hint="eastAsia"/>
                <w:b w:val="0"/>
                <w:bCs w:val="0"/>
                <w:color w:val="auto"/>
                <w:szCs w:val="21"/>
              </w:rPr>
              <w:t>后经</w:t>
            </w:r>
            <w:r>
              <w:rPr>
                <w:rFonts w:hint="eastAsia"/>
                <w:b w:val="0"/>
                <w:bCs w:val="0"/>
                <w:color w:val="auto"/>
                <w:szCs w:val="21"/>
                <w:lang w:eastAsia="zh-CN"/>
              </w:rPr>
              <w:t>一</w:t>
            </w:r>
            <w:r>
              <w:rPr>
                <w:rFonts w:hint="eastAsia"/>
                <w:b w:val="0"/>
                <w:bCs w:val="0"/>
                <w:color w:val="auto"/>
                <w:szCs w:val="21"/>
              </w:rPr>
              <w:t>套“</w:t>
            </w:r>
            <w:r>
              <w:rPr>
                <w:rFonts w:hint="eastAsia"/>
                <w:b w:val="0"/>
                <w:bCs w:val="0"/>
                <w:color w:val="auto"/>
                <w:szCs w:val="21"/>
                <w:lang w:eastAsia="zh-CN"/>
              </w:rPr>
              <w:t>袋式除尘</w:t>
            </w:r>
            <w:r>
              <w:rPr>
                <w:rFonts w:hint="eastAsia"/>
                <w:b w:val="0"/>
                <w:bCs w:val="0"/>
                <w:color w:val="auto"/>
                <w:szCs w:val="21"/>
              </w:rPr>
              <w:t>+二级活性炭吸附”处理后</w:t>
            </w:r>
            <w:r>
              <w:rPr>
                <w:rFonts w:hint="eastAsia"/>
                <w:b w:val="0"/>
                <w:bCs w:val="0"/>
                <w:color w:val="auto"/>
                <w:szCs w:val="21"/>
                <w:lang w:eastAsia="zh-CN"/>
              </w:rPr>
              <w:t>分别</w:t>
            </w:r>
            <w:r>
              <w:rPr>
                <w:rFonts w:hint="eastAsia"/>
                <w:b w:val="0"/>
                <w:bCs w:val="0"/>
                <w:color w:val="auto"/>
                <w:szCs w:val="21"/>
              </w:rPr>
              <w:t>通过</w:t>
            </w:r>
            <w:r>
              <w:rPr>
                <w:rFonts w:hint="eastAsia"/>
                <w:b w:val="0"/>
                <w:bCs w:val="0"/>
                <w:color w:val="auto"/>
                <w:szCs w:val="21"/>
                <w:lang w:val="en-US" w:eastAsia="zh-CN"/>
              </w:rPr>
              <w:t>1</w:t>
            </w:r>
            <w:r>
              <w:rPr>
                <w:rFonts w:hint="eastAsia"/>
                <w:b w:val="0"/>
                <w:bCs w:val="0"/>
                <w:color w:val="auto"/>
                <w:szCs w:val="21"/>
              </w:rPr>
              <w:t>根23m高排气筒（DA01</w:t>
            </w:r>
            <w:r>
              <w:rPr>
                <w:rFonts w:hint="eastAsia"/>
                <w:b w:val="0"/>
                <w:bCs w:val="0"/>
                <w:color w:val="auto"/>
                <w:szCs w:val="21"/>
                <w:lang w:val="en-US" w:eastAsia="zh-CN"/>
              </w:rPr>
              <w:t>8</w:t>
            </w:r>
            <w:r>
              <w:rPr>
                <w:rFonts w:hint="eastAsia"/>
                <w:b w:val="0"/>
                <w:bCs w:val="0"/>
                <w:color w:val="auto"/>
                <w:szCs w:val="21"/>
              </w:rPr>
              <w:t>）排放</w:t>
            </w:r>
          </w:p>
        </w:tc>
        <w:tc>
          <w:tcPr>
            <w:tcW w:w="1433" w:type="dxa"/>
            <w:vMerge w:val="continue"/>
            <w:tcBorders>
              <w:right w:val="single" w:color="auto" w:sz="12" w:space="0"/>
            </w:tcBorders>
            <w:noWrap w:val="0"/>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tcBorders>
              <w:left w:val="single" w:color="auto" w:sz="12" w:space="0"/>
            </w:tcBorders>
            <w:noWrap w:val="0"/>
            <w:vAlign w:val="center"/>
          </w:tcPr>
          <w:p>
            <w:pPr>
              <w:adjustRightInd w:val="0"/>
              <w:snapToGrid w:val="0"/>
              <w:jc w:val="center"/>
              <w:rPr>
                <w:color w:val="auto"/>
                <w:szCs w:val="21"/>
              </w:rPr>
            </w:pPr>
          </w:p>
        </w:tc>
        <w:tc>
          <w:tcPr>
            <w:tcW w:w="1453" w:type="dxa"/>
            <w:tcBorders>
              <w:top w:val="single" w:color="auto" w:sz="4" w:space="0"/>
              <w:bottom w:val="single" w:color="auto" w:sz="4" w:space="0"/>
            </w:tcBorders>
            <w:noWrap w:val="0"/>
            <w:vAlign w:val="center"/>
          </w:tcPr>
          <w:p>
            <w:pPr>
              <w:adjustRightInd w:val="0"/>
              <w:snapToGrid w:val="0"/>
              <w:jc w:val="center"/>
              <w:rPr>
                <w:rFonts w:hint="default" w:eastAsia="宋体"/>
                <w:color w:val="auto"/>
                <w:szCs w:val="21"/>
                <w:lang w:val="en-US" w:eastAsia="zh-CN"/>
              </w:rPr>
            </w:pPr>
            <w:r>
              <w:rPr>
                <w:rFonts w:hint="eastAsia"/>
                <w:color w:val="auto"/>
                <w:szCs w:val="21"/>
              </w:rPr>
              <w:t>DA0</w:t>
            </w:r>
            <w:r>
              <w:rPr>
                <w:rFonts w:hint="eastAsia"/>
                <w:color w:val="auto"/>
                <w:szCs w:val="21"/>
                <w:lang w:val="en-US" w:eastAsia="zh-CN"/>
              </w:rPr>
              <w:t>19</w:t>
            </w:r>
          </w:p>
        </w:tc>
        <w:tc>
          <w:tcPr>
            <w:tcW w:w="1267" w:type="dxa"/>
            <w:tcBorders>
              <w:top w:val="single" w:color="auto" w:sz="4" w:space="0"/>
              <w:bottom w:val="single" w:color="auto" w:sz="4" w:space="0"/>
            </w:tcBorders>
            <w:noWrap w:val="0"/>
            <w:vAlign w:val="center"/>
          </w:tcPr>
          <w:p>
            <w:pPr>
              <w:adjustRightInd w:val="0"/>
              <w:snapToGrid w:val="0"/>
              <w:jc w:val="center"/>
              <w:rPr>
                <w:b w:val="0"/>
                <w:bCs w:val="0"/>
                <w:color w:val="auto"/>
                <w:szCs w:val="21"/>
              </w:rPr>
            </w:pPr>
            <w:r>
              <w:rPr>
                <w:b w:val="0"/>
                <w:bCs w:val="0"/>
                <w:color w:val="auto"/>
                <w:szCs w:val="21"/>
              </w:rPr>
              <w:t>非甲烷总烃</w:t>
            </w:r>
          </w:p>
        </w:tc>
        <w:tc>
          <w:tcPr>
            <w:tcW w:w="3147" w:type="dxa"/>
            <w:tcBorders>
              <w:top w:val="single" w:color="auto" w:sz="4" w:space="0"/>
              <w:bottom w:val="single" w:color="auto" w:sz="4" w:space="0"/>
            </w:tcBorders>
            <w:noWrap w:val="0"/>
            <w:vAlign w:val="center"/>
          </w:tcPr>
          <w:p>
            <w:pPr>
              <w:rPr>
                <w:b w:val="0"/>
                <w:bCs w:val="0"/>
                <w:color w:val="auto"/>
                <w:szCs w:val="21"/>
              </w:rPr>
            </w:pPr>
            <w:r>
              <w:rPr>
                <w:rFonts w:hint="eastAsia"/>
                <w:b w:val="0"/>
                <w:bCs w:val="0"/>
                <w:color w:val="auto"/>
                <w:szCs w:val="21"/>
              </w:rPr>
              <w:t>层压废气经设备风管收集后经一套“静电除油+二级活性炭吸附”处理后通过1根23m高排气筒（DA01</w:t>
            </w:r>
            <w:r>
              <w:rPr>
                <w:rFonts w:hint="eastAsia"/>
                <w:b w:val="0"/>
                <w:bCs w:val="0"/>
                <w:color w:val="auto"/>
                <w:szCs w:val="21"/>
                <w:lang w:val="en-US" w:eastAsia="zh-CN"/>
              </w:rPr>
              <w:t>9</w:t>
            </w:r>
            <w:r>
              <w:rPr>
                <w:rFonts w:hint="eastAsia"/>
                <w:b w:val="0"/>
                <w:bCs w:val="0"/>
                <w:color w:val="auto"/>
                <w:szCs w:val="21"/>
              </w:rPr>
              <w:t>）排放</w:t>
            </w:r>
          </w:p>
        </w:tc>
        <w:tc>
          <w:tcPr>
            <w:tcW w:w="1433" w:type="dxa"/>
            <w:vMerge w:val="continue"/>
            <w:tcBorders>
              <w:right w:val="single" w:color="auto" w:sz="12" w:space="0"/>
            </w:tcBorders>
            <w:noWrap w:val="0"/>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tcBorders>
              <w:left w:val="single" w:color="auto" w:sz="12" w:space="0"/>
            </w:tcBorders>
            <w:noWrap w:val="0"/>
            <w:vAlign w:val="center"/>
          </w:tcPr>
          <w:p>
            <w:pPr>
              <w:adjustRightInd w:val="0"/>
              <w:snapToGrid w:val="0"/>
              <w:jc w:val="center"/>
              <w:rPr>
                <w:color w:val="auto"/>
                <w:szCs w:val="21"/>
              </w:rPr>
            </w:pPr>
          </w:p>
        </w:tc>
        <w:tc>
          <w:tcPr>
            <w:tcW w:w="1453" w:type="dxa"/>
            <w:tcBorders>
              <w:top w:val="single" w:color="auto" w:sz="4" w:space="0"/>
              <w:bottom w:val="single" w:color="auto" w:sz="4" w:space="0"/>
            </w:tcBorders>
            <w:noWrap w:val="0"/>
            <w:vAlign w:val="center"/>
          </w:tcPr>
          <w:p>
            <w:pPr>
              <w:adjustRightInd w:val="0"/>
              <w:snapToGrid w:val="0"/>
              <w:jc w:val="center"/>
              <w:rPr>
                <w:rFonts w:hint="default" w:eastAsia="宋体"/>
                <w:color w:val="auto"/>
                <w:szCs w:val="21"/>
                <w:lang w:val="en-US" w:eastAsia="zh-CN"/>
              </w:rPr>
            </w:pPr>
            <w:r>
              <w:rPr>
                <w:rFonts w:hint="eastAsia"/>
                <w:color w:val="auto"/>
                <w:szCs w:val="21"/>
              </w:rPr>
              <w:t>DA0</w:t>
            </w:r>
            <w:r>
              <w:rPr>
                <w:rFonts w:hint="eastAsia"/>
                <w:color w:val="auto"/>
                <w:szCs w:val="21"/>
                <w:lang w:val="en-US" w:eastAsia="zh-CN"/>
              </w:rPr>
              <w:t>20</w:t>
            </w:r>
          </w:p>
        </w:tc>
        <w:tc>
          <w:tcPr>
            <w:tcW w:w="1267" w:type="dxa"/>
            <w:tcBorders>
              <w:top w:val="single" w:color="auto" w:sz="4" w:space="0"/>
              <w:bottom w:val="single" w:color="auto" w:sz="4" w:space="0"/>
            </w:tcBorders>
            <w:noWrap w:val="0"/>
            <w:vAlign w:val="center"/>
          </w:tcPr>
          <w:p>
            <w:pPr>
              <w:adjustRightInd w:val="0"/>
              <w:snapToGrid w:val="0"/>
              <w:jc w:val="center"/>
              <w:rPr>
                <w:rFonts w:hint="eastAsia"/>
                <w:b w:val="0"/>
                <w:bCs w:val="0"/>
                <w:color w:val="auto"/>
                <w:szCs w:val="21"/>
              </w:rPr>
            </w:pPr>
            <w:r>
              <w:rPr>
                <w:b w:val="0"/>
                <w:bCs w:val="0"/>
                <w:color w:val="auto"/>
                <w:szCs w:val="21"/>
              </w:rPr>
              <w:t>颗粒物、锡及其化合物、非甲烷总烃</w:t>
            </w:r>
          </w:p>
        </w:tc>
        <w:tc>
          <w:tcPr>
            <w:tcW w:w="3147" w:type="dxa"/>
            <w:tcBorders>
              <w:top w:val="single" w:color="auto" w:sz="4" w:space="0"/>
              <w:bottom w:val="single" w:color="auto" w:sz="4" w:space="0"/>
            </w:tcBorders>
            <w:noWrap w:val="0"/>
            <w:vAlign w:val="center"/>
          </w:tcPr>
          <w:p>
            <w:pPr>
              <w:rPr>
                <w:b w:val="0"/>
                <w:bCs w:val="0"/>
                <w:color w:val="auto"/>
                <w:szCs w:val="21"/>
              </w:rPr>
            </w:pPr>
            <w:r>
              <w:rPr>
                <w:b w:val="0"/>
                <w:bCs w:val="0"/>
                <w:color w:val="auto"/>
                <w:szCs w:val="21"/>
              </w:rPr>
              <w:t>装框固化</w:t>
            </w:r>
            <w:r>
              <w:rPr>
                <w:rFonts w:hint="eastAsia"/>
                <w:b w:val="0"/>
                <w:bCs w:val="0"/>
                <w:color w:val="auto"/>
                <w:szCs w:val="21"/>
              </w:rPr>
              <w:t>、接线盒焊接及</w:t>
            </w:r>
            <w:r>
              <w:rPr>
                <w:rFonts w:hint="eastAsia"/>
                <w:b w:val="0"/>
                <w:bCs w:val="0"/>
                <w:color w:val="auto"/>
                <w:szCs w:val="21"/>
                <w:lang w:eastAsia="zh-CN"/>
              </w:rPr>
              <w:t>酒精擦拭</w:t>
            </w:r>
            <w:r>
              <w:rPr>
                <w:rFonts w:hint="eastAsia"/>
                <w:b w:val="0"/>
                <w:bCs w:val="0"/>
                <w:color w:val="auto"/>
                <w:szCs w:val="21"/>
              </w:rPr>
              <w:t>清洗</w:t>
            </w:r>
            <w:r>
              <w:rPr>
                <w:b w:val="0"/>
                <w:bCs w:val="0"/>
                <w:color w:val="auto"/>
                <w:szCs w:val="21"/>
              </w:rPr>
              <w:t>过程产生的有机废气经密闭</w:t>
            </w:r>
            <w:r>
              <w:rPr>
                <w:rFonts w:hint="eastAsia"/>
                <w:b w:val="0"/>
                <w:bCs w:val="0"/>
                <w:color w:val="auto"/>
                <w:szCs w:val="21"/>
              </w:rPr>
              <w:t>设备/房间收集后</w:t>
            </w:r>
            <w:r>
              <w:rPr>
                <w:b w:val="0"/>
                <w:bCs w:val="0"/>
                <w:color w:val="auto"/>
                <w:szCs w:val="21"/>
              </w:rPr>
              <w:t>汇总经一套</w:t>
            </w:r>
            <w:r>
              <w:rPr>
                <w:rFonts w:hint="eastAsia"/>
                <w:b w:val="0"/>
                <w:bCs w:val="0"/>
                <w:color w:val="auto"/>
                <w:szCs w:val="21"/>
              </w:rPr>
              <w:t>“</w:t>
            </w:r>
            <w:r>
              <w:rPr>
                <w:rFonts w:hint="eastAsia"/>
                <w:b w:val="0"/>
                <w:bCs w:val="0"/>
                <w:color w:val="auto"/>
                <w:szCs w:val="21"/>
                <w:lang w:eastAsia="zh-CN"/>
              </w:rPr>
              <w:t>袋式除尘</w:t>
            </w:r>
            <w:r>
              <w:rPr>
                <w:rFonts w:hint="eastAsia"/>
                <w:b w:val="0"/>
                <w:bCs w:val="0"/>
                <w:color w:val="auto"/>
                <w:szCs w:val="21"/>
              </w:rPr>
              <w:t>+</w:t>
            </w:r>
            <w:r>
              <w:rPr>
                <w:b w:val="0"/>
                <w:bCs w:val="0"/>
                <w:color w:val="auto"/>
                <w:szCs w:val="21"/>
              </w:rPr>
              <w:t>二级活性炭吸附</w:t>
            </w:r>
            <w:r>
              <w:rPr>
                <w:rFonts w:hint="eastAsia"/>
                <w:b w:val="0"/>
                <w:bCs w:val="0"/>
                <w:color w:val="auto"/>
                <w:szCs w:val="21"/>
              </w:rPr>
              <w:t>”</w:t>
            </w:r>
            <w:r>
              <w:rPr>
                <w:b w:val="0"/>
                <w:bCs w:val="0"/>
                <w:color w:val="auto"/>
                <w:szCs w:val="21"/>
              </w:rPr>
              <w:t>处理后通过1根</w:t>
            </w:r>
            <w:r>
              <w:rPr>
                <w:rFonts w:hint="eastAsia"/>
                <w:b w:val="0"/>
                <w:bCs w:val="0"/>
                <w:color w:val="auto"/>
                <w:szCs w:val="21"/>
              </w:rPr>
              <w:t>23</w:t>
            </w:r>
            <w:r>
              <w:rPr>
                <w:b w:val="0"/>
                <w:bCs w:val="0"/>
                <w:color w:val="auto"/>
                <w:szCs w:val="21"/>
              </w:rPr>
              <w:t>m高排气筒（DA0</w:t>
            </w:r>
            <w:r>
              <w:rPr>
                <w:rFonts w:hint="eastAsia"/>
                <w:b w:val="0"/>
                <w:bCs w:val="0"/>
                <w:color w:val="auto"/>
                <w:szCs w:val="21"/>
                <w:lang w:val="en-US" w:eastAsia="zh-CN"/>
              </w:rPr>
              <w:t>20</w:t>
            </w:r>
            <w:r>
              <w:rPr>
                <w:b w:val="0"/>
                <w:bCs w:val="0"/>
                <w:color w:val="auto"/>
                <w:szCs w:val="21"/>
              </w:rPr>
              <w:t>）</w:t>
            </w:r>
          </w:p>
        </w:tc>
        <w:tc>
          <w:tcPr>
            <w:tcW w:w="1433" w:type="dxa"/>
            <w:vMerge w:val="continue"/>
            <w:tcBorders>
              <w:right w:val="single" w:color="auto" w:sz="12" w:space="0"/>
            </w:tcBorders>
            <w:noWrap w:val="0"/>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vMerge w:val="continue"/>
            <w:tcBorders>
              <w:left w:val="single" w:color="auto" w:sz="12" w:space="0"/>
            </w:tcBorders>
            <w:noWrap w:val="0"/>
            <w:vAlign w:val="center"/>
          </w:tcPr>
          <w:p>
            <w:pPr>
              <w:adjustRightInd w:val="0"/>
              <w:snapToGrid w:val="0"/>
              <w:jc w:val="center"/>
              <w:rPr>
                <w:color w:val="auto"/>
                <w:szCs w:val="21"/>
              </w:rPr>
            </w:pPr>
          </w:p>
        </w:tc>
        <w:tc>
          <w:tcPr>
            <w:tcW w:w="1453" w:type="dxa"/>
            <w:tcBorders>
              <w:top w:val="single" w:color="auto" w:sz="4" w:space="0"/>
              <w:bottom w:val="single" w:color="auto" w:sz="4" w:space="0"/>
            </w:tcBorders>
            <w:noWrap w:val="0"/>
            <w:vAlign w:val="center"/>
          </w:tcPr>
          <w:p>
            <w:pPr>
              <w:adjustRightInd w:val="0"/>
              <w:snapToGrid w:val="0"/>
              <w:jc w:val="center"/>
              <w:rPr>
                <w:rFonts w:hint="eastAsia"/>
                <w:color w:val="auto"/>
                <w:szCs w:val="21"/>
              </w:rPr>
            </w:pPr>
            <w:r>
              <w:rPr>
                <w:rFonts w:hint="eastAsia"/>
                <w:color w:val="auto"/>
                <w:szCs w:val="21"/>
              </w:rPr>
              <w:t>DA0</w:t>
            </w:r>
            <w:r>
              <w:rPr>
                <w:rFonts w:hint="eastAsia"/>
                <w:color w:val="auto"/>
                <w:szCs w:val="21"/>
                <w:lang w:val="en-US" w:eastAsia="zh-CN"/>
              </w:rPr>
              <w:t>10</w:t>
            </w:r>
            <w:r>
              <w:rPr>
                <w:rFonts w:hint="eastAsia"/>
                <w:color w:val="auto"/>
                <w:szCs w:val="21"/>
              </w:rPr>
              <w:t>（依托现有）</w:t>
            </w:r>
          </w:p>
        </w:tc>
        <w:tc>
          <w:tcPr>
            <w:tcW w:w="1267" w:type="dxa"/>
            <w:tcBorders>
              <w:top w:val="single" w:color="auto" w:sz="4" w:space="0"/>
              <w:bottom w:val="single" w:color="auto" w:sz="4" w:space="0"/>
            </w:tcBorders>
            <w:noWrap w:val="0"/>
            <w:vAlign w:val="center"/>
          </w:tcPr>
          <w:p>
            <w:pPr>
              <w:adjustRightInd w:val="0"/>
              <w:snapToGrid w:val="0"/>
              <w:jc w:val="center"/>
              <w:rPr>
                <w:rFonts w:hint="eastAsia"/>
                <w:b w:val="0"/>
                <w:bCs w:val="0"/>
                <w:color w:val="auto"/>
                <w:szCs w:val="21"/>
              </w:rPr>
            </w:pPr>
            <w:r>
              <w:rPr>
                <w:rFonts w:hint="eastAsia"/>
                <w:b w:val="0"/>
                <w:bCs w:val="0"/>
                <w:color w:val="auto"/>
                <w:szCs w:val="21"/>
              </w:rPr>
              <w:t>二甲苯</w:t>
            </w:r>
          </w:p>
        </w:tc>
        <w:tc>
          <w:tcPr>
            <w:tcW w:w="3147" w:type="dxa"/>
            <w:tcBorders>
              <w:top w:val="single" w:color="auto" w:sz="4" w:space="0"/>
              <w:bottom w:val="single" w:color="auto" w:sz="4" w:space="0"/>
            </w:tcBorders>
            <w:noWrap w:val="0"/>
            <w:vAlign w:val="center"/>
          </w:tcPr>
          <w:p>
            <w:pPr>
              <w:rPr>
                <w:b w:val="0"/>
                <w:bCs w:val="0"/>
                <w:color w:val="auto"/>
                <w:szCs w:val="21"/>
              </w:rPr>
            </w:pPr>
            <w:r>
              <w:rPr>
                <w:b w:val="0"/>
                <w:bCs w:val="0"/>
                <w:color w:val="auto"/>
                <w:szCs w:val="21"/>
              </w:rPr>
              <w:t>EVA检测室产生的二甲苯废气经密闭通风橱顶部风管收集后经</w:t>
            </w:r>
            <w:r>
              <w:rPr>
                <w:rFonts w:hint="eastAsia"/>
                <w:b w:val="0"/>
                <w:bCs w:val="0"/>
                <w:color w:val="auto"/>
                <w:szCs w:val="21"/>
              </w:rPr>
              <w:t>1</w:t>
            </w:r>
            <w:r>
              <w:rPr>
                <w:b w:val="0"/>
                <w:bCs w:val="0"/>
                <w:color w:val="auto"/>
                <w:szCs w:val="21"/>
              </w:rPr>
              <w:t>套</w:t>
            </w:r>
            <w:r>
              <w:rPr>
                <w:rFonts w:hint="eastAsia"/>
                <w:b w:val="0"/>
                <w:bCs w:val="0"/>
                <w:color w:val="auto"/>
                <w:szCs w:val="21"/>
              </w:rPr>
              <w:t>二级</w:t>
            </w:r>
            <w:r>
              <w:rPr>
                <w:b w:val="0"/>
                <w:bCs w:val="0"/>
                <w:color w:val="auto"/>
                <w:szCs w:val="21"/>
              </w:rPr>
              <w:t>活性炭</w:t>
            </w:r>
            <w:r>
              <w:rPr>
                <w:rFonts w:hint="eastAsia"/>
                <w:b w:val="0"/>
                <w:bCs w:val="0"/>
                <w:color w:val="auto"/>
                <w:szCs w:val="21"/>
              </w:rPr>
              <w:t>吸附装置处理</w:t>
            </w:r>
            <w:r>
              <w:rPr>
                <w:b w:val="0"/>
                <w:bCs w:val="0"/>
                <w:color w:val="auto"/>
                <w:szCs w:val="21"/>
              </w:rPr>
              <w:t>后通过</w:t>
            </w:r>
            <w:r>
              <w:rPr>
                <w:rFonts w:hint="eastAsia"/>
                <w:b w:val="0"/>
                <w:bCs w:val="0"/>
                <w:color w:val="auto"/>
                <w:szCs w:val="21"/>
              </w:rPr>
              <w:t>1</w:t>
            </w:r>
            <w:r>
              <w:rPr>
                <w:b w:val="0"/>
                <w:bCs w:val="0"/>
                <w:color w:val="auto"/>
                <w:szCs w:val="21"/>
              </w:rPr>
              <w:t>根15m高排气筒（DA0</w:t>
            </w:r>
            <w:r>
              <w:rPr>
                <w:rFonts w:hint="eastAsia"/>
                <w:b w:val="0"/>
                <w:bCs w:val="0"/>
                <w:color w:val="auto"/>
                <w:szCs w:val="21"/>
                <w:lang w:val="en-US" w:eastAsia="zh-CN"/>
              </w:rPr>
              <w:t>10</w:t>
            </w:r>
            <w:r>
              <w:rPr>
                <w:b w:val="0"/>
                <w:bCs w:val="0"/>
                <w:color w:val="auto"/>
                <w:szCs w:val="21"/>
              </w:rPr>
              <w:t>）排放</w:t>
            </w:r>
            <w:r>
              <w:rPr>
                <w:rFonts w:hint="eastAsia"/>
                <w:b w:val="0"/>
                <w:bCs w:val="0"/>
                <w:color w:val="auto"/>
                <w:szCs w:val="21"/>
              </w:rPr>
              <w:t>。</w:t>
            </w:r>
          </w:p>
        </w:tc>
        <w:tc>
          <w:tcPr>
            <w:tcW w:w="1433" w:type="dxa"/>
            <w:vMerge w:val="continue"/>
            <w:tcBorders>
              <w:bottom w:val="single" w:color="auto" w:sz="4" w:space="0"/>
              <w:right w:val="single" w:color="auto" w:sz="12" w:space="0"/>
            </w:tcBorders>
            <w:noWrap w:val="0"/>
            <w:vAlign w:val="center"/>
          </w:tcPr>
          <w:p>
            <w:pPr>
              <w:adjustRightInd w:val="0"/>
              <w:snapToGrid w:val="0"/>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地表水环境</w:t>
            </w:r>
          </w:p>
        </w:tc>
        <w:tc>
          <w:tcPr>
            <w:tcW w:w="1453" w:type="dxa"/>
            <w:tcBorders>
              <w:top w:val="single" w:color="auto" w:sz="4" w:space="0"/>
              <w:bottom w:val="single" w:color="auto" w:sz="4" w:space="0"/>
            </w:tcBorders>
            <w:noWrap w:val="0"/>
            <w:vAlign w:val="center"/>
          </w:tcPr>
          <w:p>
            <w:pPr>
              <w:adjustRightInd w:val="0"/>
              <w:snapToGrid w:val="0"/>
              <w:jc w:val="center"/>
              <w:rPr>
                <w:color w:val="auto"/>
                <w:szCs w:val="21"/>
              </w:rPr>
            </w:pPr>
            <w:r>
              <w:rPr>
                <w:color w:val="auto"/>
                <w:szCs w:val="21"/>
              </w:rPr>
              <w:t>DW001</w:t>
            </w:r>
          </w:p>
        </w:tc>
        <w:tc>
          <w:tcPr>
            <w:tcW w:w="1267" w:type="dxa"/>
            <w:tcBorders>
              <w:top w:val="single" w:color="auto" w:sz="4" w:space="0"/>
              <w:bottom w:val="single" w:color="auto" w:sz="4" w:space="0"/>
            </w:tcBorders>
            <w:noWrap w:val="0"/>
            <w:vAlign w:val="center"/>
          </w:tcPr>
          <w:p>
            <w:pPr>
              <w:adjustRightInd w:val="0"/>
              <w:snapToGrid w:val="0"/>
              <w:rPr>
                <w:rFonts w:hint="default" w:eastAsia="宋体"/>
                <w:color w:val="auto"/>
                <w:szCs w:val="21"/>
                <w:lang w:val="en-US" w:eastAsia="zh-CN"/>
              </w:rPr>
            </w:pPr>
            <w:r>
              <w:rPr>
                <w:color w:val="auto"/>
                <w:szCs w:val="21"/>
              </w:rPr>
              <w:t>pH、COD、BOD、SS、氨氮</w:t>
            </w:r>
            <w:r>
              <w:rPr>
                <w:rFonts w:hint="eastAsia"/>
                <w:color w:val="auto"/>
                <w:szCs w:val="21"/>
                <w:lang w:eastAsia="zh-CN"/>
              </w:rPr>
              <w:t>、</w:t>
            </w:r>
            <w:r>
              <w:rPr>
                <w:rFonts w:hint="eastAsia"/>
                <w:color w:val="auto"/>
                <w:szCs w:val="21"/>
                <w:lang w:val="en-US" w:eastAsia="zh-CN"/>
              </w:rPr>
              <w:t>TP、TN</w:t>
            </w:r>
          </w:p>
        </w:tc>
        <w:tc>
          <w:tcPr>
            <w:tcW w:w="3147" w:type="dxa"/>
            <w:tcBorders>
              <w:top w:val="single" w:color="auto" w:sz="4" w:space="0"/>
              <w:bottom w:val="single" w:color="auto" w:sz="4" w:space="0"/>
            </w:tcBorders>
            <w:noWrap w:val="0"/>
            <w:vAlign w:val="center"/>
          </w:tcPr>
          <w:p>
            <w:pPr>
              <w:adjustRightInd w:val="0"/>
              <w:snapToGrid w:val="0"/>
              <w:rPr>
                <w:color w:val="auto"/>
                <w:szCs w:val="21"/>
              </w:rPr>
            </w:pPr>
            <w:r>
              <w:rPr>
                <w:rFonts w:hint="eastAsia"/>
                <w:color w:val="auto"/>
                <w:szCs w:val="21"/>
                <w:lang w:val="en-US" w:eastAsia="zh-CN"/>
              </w:rPr>
              <w:t>依托现有的</w:t>
            </w:r>
            <w:r>
              <w:rPr>
                <w:color w:val="auto"/>
                <w:szCs w:val="21"/>
              </w:rPr>
              <w:t>一套处理能力为</w:t>
            </w:r>
            <w:r>
              <w:rPr>
                <w:rFonts w:hint="eastAsia"/>
                <w:color w:val="auto"/>
                <w:szCs w:val="21"/>
                <w:lang w:val="en-US" w:eastAsia="zh-CN"/>
              </w:rPr>
              <w:t>10</w:t>
            </w:r>
            <w:r>
              <w:rPr>
                <w:color w:val="auto"/>
                <w:szCs w:val="21"/>
              </w:rPr>
              <w:t>00m</w:t>
            </w:r>
            <w:r>
              <w:rPr>
                <w:color w:val="auto"/>
                <w:szCs w:val="21"/>
                <w:vertAlign w:val="superscript"/>
              </w:rPr>
              <w:t>3</w:t>
            </w:r>
            <w:r>
              <w:rPr>
                <w:color w:val="auto"/>
                <w:szCs w:val="21"/>
              </w:rPr>
              <w:t>/d的污水处理设施处理（工艺为</w:t>
            </w:r>
            <w:r>
              <w:rPr>
                <w:rFonts w:hint="eastAsia"/>
                <w:color w:val="auto"/>
                <w:szCs w:val="21"/>
                <w:lang w:eastAsia="zh-CN"/>
              </w:rPr>
              <w:t>综合调节</w:t>
            </w:r>
            <w:r>
              <w:rPr>
                <w:rFonts w:hint="eastAsia"/>
                <w:color w:val="auto"/>
                <w:szCs w:val="21"/>
                <w:lang w:val="en-US" w:eastAsia="zh-CN"/>
              </w:rPr>
              <w:t>+水解酸化+好氧+沉淀</w:t>
            </w:r>
            <w:r>
              <w:rPr>
                <w:color w:val="auto"/>
                <w:szCs w:val="21"/>
              </w:rPr>
              <w:t>）</w:t>
            </w:r>
          </w:p>
        </w:tc>
        <w:tc>
          <w:tcPr>
            <w:tcW w:w="1433" w:type="dxa"/>
            <w:tcBorders>
              <w:top w:val="single" w:color="auto" w:sz="4" w:space="0"/>
              <w:bottom w:val="single" w:color="auto" w:sz="4" w:space="0"/>
              <w:right w:val="single" w:color="auto" w:sz="12" w:space="0"/>
            </w:tcBorders>
            <w:noWrap w:val="0"/>
            <w:vAlign w:val="center"/>
          </w:tcPr>
          <w:p>
            <w:pPr>
              <w:adjustRightInd w:val="0"/>
              <w:snapToGrid w:val="0"/>
              <w:rPr>
                <w:color w:val="auto"/>
                <w:szCs w:val="21"/>
              </w:rPr>
            </w:pPr>
            <w:r>
              <w:rPr>
                <w:color w:val="auto"/>
                <w:szCs w:val="21"/>
              </w:rPr>
              <w:t>合肥市西部组团污水处理厂接管标准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声环境</w:t>
            </w:r>
          </w:p>
        </w:tc>
        <w:tc>
          <w:tcPr>
            <w:tcW w:w="1453" w:type="dxa"/>
            <w:tcBorders>
              <w:top w:val="single" w:color="auto" w:sz="4" w:space="0"/>
              <w:bottom w:val="single" w:color="auto" w:sz="4" w:space="0"/>
            </w:tcBorders>
            <w:noWrap w:val="0"/>
            <w:vAlign w:val="center"/>
          </w:tcPr>
          <w:p>
            <w:pPr>
              <w:adjustRightInd w:val="0"/>
              <w:snapToGrid w:val="0"/>
              <w:jc w:val="center"/>
              <w:rPr>
                <w:color w:val="auto"/>
                <w:szCs w:val="21"/>
              </w:rPr>
            </w:pPr>
            <w:r>
              <w:rPr>
                <w:color w:val="auto"/>
                <w:szCs w:val="21"/>
              </w:rPr>
              <w:t>厂界噪声</w:t>
            </w:r>
          </w:p>
        </w:tc>
        <w:tc>
          <w:tcPr>
            <w:tcW w:w="1267" w:type="dxa"/>
            <w:tcBorders>
              <w:top w:val="single" w:color="auto" w:sz="4" w:space="0"/>
              <w:bottom w:val="single" w:color="auto" w:sz="4" w:space="0"/>
            </w:tcBorders>
            <w:noWrap w:val="0"/>
            <w:vAlign w:val="center"/>
          </w:tcPr>
          <w:p>
            <w:pPr>
              <w:adjustRightInd w:val="0"/>
              <w:snapToGrid w:val="0"/>
              <w:rPr>
                <w:color w:val="auto"/>
                <w:szCs w:val="21"/>
              </w:rPr>
            </w:pPr>
            <w:r>
              <w:rPr>
                <w:color w:val="auto"/>
                <w:szCs w:val="21"/>
              </w:rPr>
              <w:t>连续等效A声级L</w:t>
            </w:r>
            <w:r>
              <w:rPr>
                <w:color w:val="auto"/>
                <w:szCs w:val="21"/>
                <w:vertAlign w:val="subscript"/>
              </w:rPr>
              <w:t>eq</w:t>
            </w:r>
          </w:p>
        </w:tc>
        <w:tc>
          <w:tcPr>
            <w:tcW w:w="3147" w:type="dxa"/>
            <w:tcBorders>
              <w:top w:val="single" w:color="auto" w:sz="4" w:space="0"/>
              <w:bottom w:val="single" w:color="auto" w:sz="4" w:space="0"/>
            </w:tcBorders>
            <w:noWrap w:val="0"/>
            <w:vAlign w:val="center"/>
          </w:tcPr>
          <w:p>
            <w:pPr>
              <w:adjustRightInd w:val="0"/>
              <w:snapToGrid w:val="0"/>
              <w:rPr>
                <w:color w:val="auto"/>
                <w:szCs w:val="21"/>
              </w:rPr>
            </w:pPr>
            <w:r>
              <w:rPr>
                <w:color w:val="auto"/>
                <w:szCs w:val="21"/>
              </w:rPr>
              <w:t>通过选用低噪设备、安装减振基座，经厂区建筑物的隔声、距离的衰减的降噪措施</w:t>
            </w:r>
          </w:p>
        </w:tc>
        <w:tc>
          <w:tcPr>
            <w:tcW w:w="1433" w:type="dxa"/>
            <w:tcBorders>
              <w:top w:val="single" w:color="auto" w:sz="4" w:space="0"/>
              <w:bottom w:val="single" w:color="auto" w:sz="4" w:space="0"/>
              <w:right w:val="single" w:color="auto" w:sz="12" w:space="0"/>
            </w:tcBorders>
            <w:noWrap w:val="0"/>
            <w:vAlign w:val="center"/>
          </w:tcPr>
          <w:p>
            <w:pPr>
              <w:adjustRightInd w:val="0"/>
              <w:snapToGrid w:val="0"/>
              <w:rPr>
                <w:color w:val="auto"/>
                <w:szCs w:val="21"/>
              </w:rPr>
            </w:pPr>
            <w:r>
              <w:rPr>
                <w:color w:val="auto"/>
                <w:szCs w:val="21"/>
              </w:rPr>
              <w:t>GB12348-2008中3类区标准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电磁辐射</w:t>
            </w:r>
          </w:p>
        </w:tc>
        <w:tc>
          <w:tcPr>
            <w:tcW w:w="7300" w:type="dxa"/>
            <w:gridSpan w:val="4"/>
            <w:tcBorders>
              <w:top w:val="single" w:color="auto" w:sz="4" w:space="0"/>
              <w:bottom w:val="single" w:color="auto" w:sz="4" w:space="0"/>
              <w:right w:val="single" w:color="auto" w:sz="12" w:space="0"/>
            </w:tcBorders>
            <w:noWrap w:val="0"/>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固体废物</w:t>
            </w:r>
          </w:p>
        </w:tc>
        <w:tc>
          <w:tcPr>
            <w:tcW w:w="7300" w:type="dxa"/>
            <w:gridSpan w:val="4"/>
            <w:tcBorders>
              <w:top w:val="single" w:color="auto" w:sz="4" w:space="0"/>
              <w:bottom w:val="single" w:color="auto" w:sz="4" w:space="0"/>
              <w:right w:val="single" w:color="auto" w:sz="12" w:space="0"/>
            </w:tcBorders>
            <w:noWrap w:val="0"/>
            <w:vAlign w:val="center"/>
          </w:tcPr>
          <w:p>
            <w:pPr>
              <w:adjustRightInd w:val="0"/>
              <w:snapToGrid w:val="0"/>
              <w:jc w:val="left"/>
              <w:rPr>
                <w:color w:val="auto"/>
                <w:szCs w:val="21"/>
              </w:rPr>
            </w:pPr>
            <w:r>
              <w:rPr>
                <w:color w:val="auto"/>
              </w:rPr>
              <w:t>废</w:t>
            </w:r>
            <w:r>
              <w:rPr>
                <w:b w:val="0"/>
                <w:bCs w:val="0"/>
                <w:color w:val="auto"/>
              </w:rPr>
              <w:t>活性炭、废二甲苯、废助焊剂、废矿物油</w:t>
            </w:r>
            <w:r>
              <w:rPr>
                <w:rFonts w:hint="eastAsia"/>
                <w:b w:val="0"/>
                <w:bCs w:val="0"/>
                <w:color w:val="auto"/>
                <w:lang w:eastAsia="zh-CN"/>
              </w:rPr>
              <w:t>、废矿物油桶</w:t>
            </w:r>
            <w:r>
              <w:rPr>
                <w:b w:val="0"/>
                <w:bCs w:val="0"/>
                <w:color w:val="auto"/>
              </w:rPr>
              <w:t>及</w:t>
            </w:r>
            <w:r>
              <w:rPr>
                <w:rFonts w:hint="eastAsia"/>
                <w:b w:val="0"/>
                <w:bCs w:val="0"/>
                <w:color w:val="auto"/>
                <w:lang w:eastAsia="zh-CN"/>
              </w:rPr>
              <w:t>废包装桶（</w:t>
            </w:r>
            <w:r>
              <w:rPr>
                <w:rFonts w:hint="eastAsia"/>
                <w:b w:val="0"/>
                <w:bCs w:val="0"/>
                <w:color w:val="auto"/>
                <w:lang w:val="en-US" w:eastAsia="zh-CN"/>
              </w:rPr>
              <w:t>助焊剂、二甲苯</w:t>
            </w:r>
            <w:r>
              <w:rPr>
                <w:rFonts w:hint="eastAsia"/>
                <w:b w:val="0"/>
                <w:bCs w:val="0"/>
                <w:color w:val="auto"/>
                <w:lang w:eastAsia="zh-CN"/>
              </w:rPr>
              <w:t>）</w:t>
            </w:r>
            <w:r>
              <w:rPr>
                <w:b w:val="0"/>
                <w:bCs w:val="0"/>
                <w:color w:val="auto"/>
              </w:rPr>
              <w:t>等危险废物</w:t>
            </w:r>
            <w:r>
              <w:rPr>
                <w:rFonts w:hint="eastAsia"/>
                <w:b w:val="0"/>
                <w:bCs w:val="0"/>
                <w:color w:val="auto"/>
                <w:lang w:val="en-US" w:eastAsia="zh-CN"/>
              </w:rPr>
              <w:t>依托</w:t>
            </w:r>
            <w:r>
              <w:rPr>
                <w:b w:val="0"/>
                <w:bCs w:val="0"/>
                <w:color w:val="auto"/>
              </w:rPr>
              <w:t>厂区</w:t>
            </w:r>
            <w:r>
              <w:rPr>
                <w:rFonts w:hint="eastAsia"/>
                <w:b w:val="0"/>
                <w:bCs w:val="0"/>
                <w:color w:val="auto"/>
                <w:szCs w:val="21"/>
              </w:rPr>
              <w:t>西南部</w:t>
            </w:r>
            <w:r>
              <w:rPr>
                <w:rFonts w:hint="eastAsia"/>
                <w:b w:val="0"/>
                <w:bCs w:val="0"/>
                <w:color w:val="auto"/>
                <w:lang w:val="en-US" w:eastAsia="zh-CN"/>
              </w:rPr>
              <w:t>现有</w:t>
            </w:r>
            <w:r>
              <w:rPr>
                <w:rFonts w:hint="eastAsia"/>
                <w:b w:val="0"/>
                <w:bCs w:val="0"/>
                <w:color w:val="auto"/>
              </w:rPr>
              <w:t>危废</w:t>
            </w:r>
            <w:r>
              <w:rPr>
                <w:rFonts w:hint="eastAsia"/>
                <w:b w:val="0"/>
                <w:bCs w:val="0"/>
                <w:color w:val="auto"/>
                <w:lang w:eastAsia="zh-CN"/>
              </w:rPr>
              <w:t>仓库，</w:t>
            </w:r>
            <w:r>
              <w:rPr>
                <w:b w:val="0"/>
                <w:bCs w:val="0"/>
                <w:color w:val="auto"/>
                <w:szCs w:val="21"/>
              </w:rPr>
              <w:t>建筑面积约</w:t>
            </w:r>
            <w:r>
              <w:rPr>
                <w:rFonts w:hint="eastAsia"/>
                <w:b w:val="0"/>
                <w:bCs w:val="0"/>
                <w:color w:val="auto"/>
                <w:szCs w:val="21"/>
              </w:rPr>
              <w:t>639.18</w:t>
            </w:r>
            <w:r>
              <w:rPr>
                <w:b w:val="0"/>
                <w:bCs w:val="0"/>
                <w:color w:val="auto"/>
                <w:szCs w:val="21"/>
              </w:rPr>
              <w:t>m</w:t>
            </w:r>
            <w:r>
              <w:rPr>
                <w:b w:val="0"/>
                <w:bCs w:val="0"/>
                <w:color w:val="auto"/>
                <w:szCs w:val="21"/>
                <w:vertAlign w:val="superscript"/>
              </w:rPr>
              <w:t>2</w:t>
            </w:r>
            <w:r>
              <w:rPr>
                <w:rFonts w:hint="eastAsia"/>
                <w:b w:val="0"/>
                <w:bCs w:val="0"/>
                <w:color w:val="auto"/>
                <w:szCs w:val="21"/>
                <w:vertAlign w:val="baseline"/>
                <w:lang w:eastAsia="zh-CN"/>
              </w:rPr>
              <w:t>，</w:t>
            </w:r>
            <w:r>
              <w:rPr>
                <w:b w:val="0"/>
                <w:bCs w:val="0"/>
                <w:color w:val="auto"/>
              </w:rPr>
              <w:t>暂存后交由有资质单位处置；废</w:t>
            </w:r>
            <w:r>
              <w:rPr>
                <w:rFonts w:hint="eastAsia"/>
                <w:b w:val="0"/>
                <w:bCs w:val="0"/>
                <w:color w:val="auto"/>
                <w:lang w:eastAsia="zh-CN"/>
              </w:rPr>
              <w:t>不合格品</w:t>
            </w:r>
            <w:r>
              <w:rPr>
                <w:b w:val="0"/>
                <w:bCs w:val="0"/>
                <w:color w:val="auto"/>
              </w:rPr>
              <w:t>、废边角料、污泥、</w:t>
            </w:r>
            <w:r>
              <w:rPr>
                <w:rFonts w:hint="eastAsia"/>
                <w:b w:val="0"/>
                <w:bCs w:val="0"/>
                <w:color w:val="auto"/>
                <w:lang w:eastAsia="zh-CN"/>
              </w:rPr>
              <w:t>收集粉尘、废无尘布、</w:t>
            </w:r>
            <w:r>
              <w:rPr>
                <w:b w:val="0"/>
                <w:bCs w:val="0"/>
                <w:color w:val="auto"/>
              </w:rPr>
              <w:t>废包装材料等一般固废由</w:t>
            </w:r>
            <w:r>
              <w:rPr>
                <w:rFonts w:hint="eastAsia"/>
                <w:b w:val="0"/>
                <w:bCs w:val="0"/>
                <w:color w:val="auto"/>
                <w:lang w:eastAsia="zh-CN"/>
              </w:rPr>
              <w:t>物资</w:t>
            </w:r>
            <w:r>
              <w:rPr>
                <w:b w:val="0"/>
                <w:bCs w:val="0"/>
                <w:color w:val="auto"/>
              </w:rPr>
              <w:t>公司回收</w:t>
            </w:r>
            <w:r>
              <w:rPr>
                <w:rFonts w:hint="eastAsia"/>
                <w:b w:val="0"/>
                <w:bCs w:val="0"/>
                <w:color w:val="auto"/>
                <w:lang w:eastAsia="zh-CN"/>
              </w:rPr>
              <w:t>利用</w:t>
            </w:r>
            <w:r>
              <w:rPr>
                <w:b w:val="0"/>
                <w:bCs w:val="0"/>
                <w:color w:val="auto"/>
              </w:rPr>
              <w:t>；生活垃圾由环卫部门统一清运</w:t>
            </w:r>
            <w:r>
              <w:rPr>
                <w:rFonts w:hint="eastAsia"/>
                <w:b w:val="0"/>
                <w:bCs w:val="0"/>
                <w:color w:val="auto"/>
                <w:lang w:eastAsia="zh-CN"/>
              </w:rPr>
              <w:t>、处置</w:t>
            </w:r>
            <w:r>
              <w:rPr>
                <w:b w:val="0"/>
                <w:bCs w:val="0"/>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土壤及地下水</w:t>
            </w:r>
          </w:p>
          <w:p>
            <w:pPr>
              <w:adjustRightInd w:val="0"/>
              <w:snapToGrid w:val="0"/>
              <w:jc w:val="center"/>
              <w:rPr>
                <w:b/>
                <w:color w:val="auto"/>
                <w:szCs w:val="21"/>
              </w:rPr>
            </w:pPr>
            <w:r>
              <w:rPr>
                <w:b/>
                <w:color w:val="auto"/>
                <w:szCs w:val="21"/>
              </w:rPr>
              <w:t>污染防治措施</w:t>
            </w:r>
          </w:p>
        </w:tc>
        <w:tc>
          <w:tcPr>
            <w:tcW w:w="7300" w:type="dxa"/>
            <w:gridSpan w:val="4"/>
            <w:tcBorders>
              <w:top w:val="single" w:color="auto" w:sz="4" w:space="0"/>
              <w:bottom w:val="single" w:color="auto" w:sz="4" w:space="0"/>
              <w:right w:val="single" w:color="auto" w:sz="12" w:space="0"/>
            </w:tcBorders>
            <w:noWrap w:val="0"/>
            <w:vAlign w:val="center"/>
          </w:tcPr>
          <w:p>
            <w:pPr>
              <w:adjustRightInd w:val="0"/>
              <w:snapToGrid w:val="0"/>
              <w:jc w:val="left"/>
              <w:rPr>
                <w:color w:val="auto"/>
                <w:szCs w:val="21"/>
              </w:rPr>
            </w:pPr>
            <w:r>
              <w:rPr>
                <w:rFonts w:hint="eastAsia" w:eastAsia="宋体"/>
                <w:b w:val="0"/>
                <w:bCs w:val="0"/>
                <w:color w:val="auto"/>
                <w:szCs w:val="24"/>
              </w:rPr>
              <w:t>危废</w:t>
            </w:r>
            <w:r>
              <w:rPr>
                <w:rFonts w:hint="eastAsia" w:eastAsia="宋体"/>
                <w:b w:val="0"/>
                <w:bCs w:val="0"/>
                <w:color w:val="auto"/>
                <w:szCs w:val="24"/>
                <w:lang w:eastAsia="zh-CN"/>
              </w:rPr>
              <w:t>仓库</w:t>
            </w:r>
            <w:r>
              <w:rPr>
                <w:rFonts w:hint="eastAsia" w:eastAsia="宋体"/>
                <w:b w:val="0"/>
                <w:bCs w:val="0"/>
                <w:color w:val="auto"/>
                <w:szCs w:val="24"/>
              </w:rPr>
              <w:t>、</w:t>
            </w:r>
            <w:r>
              <w:rPr>
                <w:rFonts w:hint="eastAsia" w:eastAsia="宋体"/>
                <w:b w:val="0"/>
                <w:bCs w:val="0"/>
                <w:color w:val="auto"/>
                <w:szCs w:val="24"/>
                <w:lang w:eastAsia="zh-CN"/>
              </w:rPr>
              <w:t>甲类仓库</w:t>
            </w:r>
            <w:r>
              <w:rPr>
                <w:rFonts w:hint="eastAsia" w:eastAsia="宋体"/>
                <w:b w:val="0"/>
                <w:bCs w:val="0"/>
                <w:color w:val="auto"/>
                <w:szCs w:val="24"/>
              </w:rPr>
              <w:t>、</w:t>
            </w:r>
            <w:r>
              <w:rPr>
                <w:rFonts w:hint="eastAsia" w:eastAsia="宋体"/>
                <w:b w:val="0"/>
                <w:bCs w:val="0"/>
                <w:color w:val="auto"/>
                <w:szCs w:val="24"/>
                <w:lang w:eastAsia="zh-CN"/>
              </w:rPr>
              <w:t>事故池</w:t>
            </w:r>
            <w:r>
              <w:rPr>
                <w:rFonts w:hint="eastAsia" w:eastAsia="宋体"/>
                <w:b w:val="0"/>
                <w:bCs w:val="0"/>
                <w:color w:val="auto"/>
                <w:szCs w:val="24"/>
              </w:rPr>
              <w:t>、</w:t>
            </w:r>
            <w:r>
              <w:rPr>
                <w:rFonts w:hint="eastAsia" w:eastAsia="宋体"/>
                <w:b w:val="0"/>
                <w:bCs w:val="0"/>
                <w:color w:val="auto"/>
                <w:szCs w:val="24"/>
                <w:lang w:eastAsia="zh-CN"/>
              </w:rPr>
              <w:t>污水处理站均</w:t>
            </w:r>
            <w:r>
              <w:rPr>
                <w:rFonts w:hint="eastAsia"/>
                <w:b w:val="0"/>
                <w:bCs w:val="0"/>
                <w:color w:val="auto"/>
                <w:szCs w:val="24"/>
                <w:lang w:val="en-US" w:eastAsia="zh-CN"/>
              </w:rPr>
              <w:t>依托现有的</w:t>
            </w:r>
            <w:r>
              <w:rPr>
                <w:rFonts w:hint="eastAsia" w:eastAsia="宋体"/>
                <w:b w:val="0"/>
                <w:bCs w:val="0"/>
                <w:color w:val="auto"/>
                <w:szCs w:val="24"/>
                <w:lang w:eastAsia="zh-CN"/>
              </w:rPr>
              <w:t>重点防渗措施，</w:t>
            </w:r>
            <w:r>
              <w:rPr>
                <w:rFonts w:hint="eastAsia"/>
                <w:color w:val="auto"/>
                <w:lang w:eastAsia="zh-CN"/>
              </w:rPr>
              <w:t>等效粘土防渗层</w:t>
            </w:r>
            <w:r>
              <w:rPr>
                <w:color w:val="auto"/>
                <w:kern w:val="0"/>
                <w:szCs w:val="21"/>
              </w:rPr>
              <w:t>Mb≥6.0m，渗透系数K</w:t>
            </w:r>
            <w:r>
              <w:rPr>
                <w:color w:val="auto"/>
              </w:rPr>
              <w:t>≤</w:t>
            </w:r>
            <w:r>
              <w:rPr>
                <w:rFonts w:hint="eastAsia"/>
                <w:color w:val="auto"/>
                <w:lang w:val="en-US" w:eastAsia="zh-CN"/>
              </w:rPr>
              <w:t>1</w:t>
            </w:r>
            <w:r>
              <w:rPr>
                <w:rFonts w:hint="default" w:ascii="Arial" w:hAnsi="Arial" w:cs="Arial"/>
                <w:color w:val="auto"/>
                <w:lang w:val="en-US" w:eastAsia="zh-CN"/>
              </w:rPr>
              <w:t>×</w:t>
            </w:r>
            <w:r>
              <w:rPr>
                <w:color w:val="auto"/>
              </w:rPr>
              <w:t>10</w:t>
            </w:r>
            <w:r>
              <w:rPr>
                <w:color w:val="auto"/>
                <w:vertAlign w:val="superscript"/>
              </w:rPr>
              <w:t>-7</w:t>
            </w:r>
            <w:r>
              <w:rPr>
                <w:color w:val="auto"/>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zCs w:val="21"/>
              </w:rPr>
            </w:pPr>
            <w:r>
              <w:rPr>
                <w:b/>
                <w:color w:val="auto"/>
                <w:szCs w:val="21"/>
              </w:rPr>
              <w:t>生态保护措施</w:t>
            </w:r>
          </w:p>
        </w:tc>
        <w:tc>
          <w:tcPr>
            <w:tcW w:w="7300" w:type="dxa"/>
            <w:gridSpan w:val="4"/>
            <w:tcBorders>
              <w:top w:val="single" w:color="auto" w:sz="4" w:space="0"/>
              <w:bottom w:val="single" w:color="auto" w:sz="4" w:space="0"/>
              <w:right w:val="single" w:color="auto" w:sz="12" w:space="0"/>
            </w:tcBorders>
            <w:noWrap w:val="0"/>
            <w:vAlign w:val="center"/>
          </w:tcPr>
          <w:p>
            <w:pPr>
              <w:adjustRightInd w:val="0"/>
              <w:snapToGrid w:val="0"/>
              <w:jc w:val="center"/>
              <w:rPr>
                <w:color w:val="auto"/>
                <w:szCs w:val="21"/>
              </w:rPr>
            </w:pPr>
            <w:r>
              <w:rPr>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00" w:type="dxa"/>
            <w:tcBorders>
              <w:top w:val="single" w:color="auto" w:sz="4" w:space="0"/>
              <w:left w:val="single" w:color="auto" w:sz="12" w:space="0"/>
              <w:bottom w:val="single" w:color="auto" w:sz="4" w:space="0"/>
            </w:tcBorders>
            <w:noWrap w:val="0"/>
            <w:vAlign w:val="center"/>
          </w:tcPr>
          <w:p>
            <w:pPr>
              <w:adjustRightInd w:val="0"/>
              <w:snapToGrid w:val="0"/>
              <w:jc w:val="center"/>
              <w:rPr>
                <w:b/>
                <w:color w:val="auto"/>
                <w:spacing w:val="-8"/>
                <w:szCs w:val="21"/>
              </w:rPr>
            </w:pPr>
            <w:r>
              <w:rPr>
                <w:b/>
                <w:color w:val="auto"/>
                <w:spacing w:val="-8"/>
                <w:szCs w:val="21"/>
              </w:rPr>
              <w:t>环境风险</w:t>
            </w:r>
          </w:p>
          <w:p>
            <w:pPr>
              <w:adjustRightInd w:val="0"/>
              <w:snapToGrid w:val="0"/>
              <w:jc w:val="center"/>
              <w:rPr>
                <w:b/>
                <w:color w:val="auto"/>
                <w:spacing w:val="-8"/>
                <w:szCs w:val="21"/>
              </w:rPr>
            </w:pPr>
            <w:r>
              <w:rPr>
                <w:b/>
                <w:color w:val="auto"/>
                <w:spacing w:val="-8"/>
                <w:szCs w:val="21"/>
              </w:rPr>
              <w:t>防范措施</w:t>
            </w:r>
          </w:p>
        </w:tc>
        <w:tc>
          <w:tcPr>
            <w:tcW w:w="7300" w:type="dxa"/>
            <w:gridSpan w:val="4"/>
            <w:tcBorders>
              <w:top w:val="single" w:color="auto" w:sz="4" w:space="0"/>
              <w:bottom w:val="single" w:color="auto" w:sz="4" w:space="0"/>
              <w:right w:val="single" w:color="auto" w:sz="12" w:space="0"/>
            </w:tcBorders>
            <w:noWrap w:val="0"/>
            <w:vAlign w:val="center"/>
          </w:tcPr>
          <w:p>
            <w:pPr>
              <w:rPr>
                <w:bCs/>
                <w:color w:val="auto"/>
                <w:szCs w:val="21"/>
              </w:rPr>
            </w:pPr>
            <w:r>
              <w:rPr>
                <w:bCs/>
                <w:color w:val="auto"/>
                <w:szCs w:val="21"/>
              </w:rPr>
              <w:t>①建立健全化学品仓库、危废仓库及生产车间的火灾防范制度，配备灭火设施；</w:t>
            </w:r>
          </w:p>
          <w:p>
            <w:pPr>
              <w:rPr>
                <w:rFonts w:hint="default" w:eastAsia="宋体"/>
                <w:bCs/>
                <w:color w:val="auto"/>
                <w:szCs w:val="21"/>
                <w:lang w:val="en-US" w:eastAsia="zh-CN"/>
              </w:rPr>
            </w:pPr>
            <w:r>
              <w:rPr>
                <w:bCs/>
                <w:color w:val="auto"/>
                <w:szCs w:val="21"/>
              </w:rPr>
              <w:t>②</w:t>
            </w:r>
            <w:r>
              <w:rPr>
                <w:rFonts w:hint="eastAsia"/>
                <w:bCs/>
                <w:color w:val="auto"/>
                <w:szCs w:val="21"/>
                <w:lang w:val="en-US" w:eastAsia="zh-CN"/>
              </w:rPr>
              <w:t>依托现有450m</w:t>
            </w:r>
            <w:r>
              <w:rPr>
                <w:rFonts w:hint="eastAsia"/>
                <w:bCs/>
                <w:color w:val="auto"/>
                <w:szCs w:val="21"/>
                <w:vertAlign w:val="superscript"/>
                <w:lang w:val="en-US" w:eastAsia="zh-CN"/>
              </w:rPr>
              <w:t>3</w:t>
            </w:r>
            <w:r>
              <w:rPr>
                <w:rFonts w:hint="eastAsia"/>
                <w:bCs/>
                <w:color w:val="auto"/>
                <w:szCs w:val="21"/>
                <w:lang w:val="en-US" w:eastAsia="zh-CN"/>
              </w:rPr>
              <w:t>事故池，雨水总排口设置切断阀；</w:t>
            </w:r>
          </w:p>
          <w:p>
            <w:pPr>
              <w:pStyle w:val="3"/>
              <w:ind w:left="0" w:leftChars="0" w:firstLine="0" w:firstLineChars="0"/>
              <w:rPr>
                <w:color w:val="auto"/>
                <w:szCs w:val="21"/>
              </w:rPr>
            </w:pPr>
            <w:r>
              <w:rPr>
                <w:rFonts w:eastAsia="微软雅黑"/>
                <w:color w:val="auto"/>
                <w:szCs w:val="21"/>
              </w:rPr>
              <w:t>③</w:t>
            </w:r>
            <w:r>
              <w:rPr>
                <w:bCs/>
                <w:color w:val="auto"/>
                <w:szCs w:val="21"/>
              </w:rPr>
              <w:t>配置应急水泵、消防沙、收集桶、防护服、防护手套、防护面罩、应急照明、急救药品、灭火器等应急物资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500" w:type="dxa"/>
            <w:tcBorders>
              <w:top w:val="single" w:color="auto" w:sz="4" w:space="0"/>
              <w:left w:val="single" w:color="auto" w:sz="12" w:space="0"/>
              <w:bottom w:val="single" w:color="auto" w:sz="12" w:space="0"/>
            </w:tcBorders>
            <w:noWrap w:val="0"/>
            <w:vAlign w:val="center"/>
          </w:tcPr>
          <w:p>
            <w:pPr>
              <w:adjustRightInd w:val="0"/>
              <w:snapToGrid w:val="0"/>
              <w:jc w:val="center"/>
              <w:rPr>
                <w:b/>
                <w:color w:val="auto"/>
                <w:spacing w:val="-8"/>
                <w:szCs w:val="21"/>
              </w:rPr>
            </w:pPr>
            <w:r>
              <w:rPr>
                <w:b/>
                <w:color w:val="auto"/>
                <w:spacing w:val="-8"/>
                <w:szCs w:val="21"/>
              </w:rPr>
              <w:t>其他环境</w:t>
            </w:r>
          </w:p>
          <w:p>
            <w:pPr>
              <w:adjustRightInd w:val="0"/>
              <w:snapToGrid w:val="0"/>
              <w:jc w:val="center"/>
              <w:rPr>
                <w:b/>
                <w:color w:val="auto"/>
                <w:spacing w:val="-8"/>
                <w:szCs w:val="21"/>
              </w:rPr>
            </w:pPr>
            <w:r>
              <w:rPr>
                <w:b/>
                <w:color w:val="auto"/>
                <w:spacing w:val="-8"/>
                <w:szCs w:val="21"/>
              </w:rPr>
              <w:t>管理要求</w:t>
            </w:r>
          </w:p>
        </w:tc>
        <w:tc>
          <w:tcPr>
            <w:tcW w:w="7300" w:type="dxa"/>
            <w:gridSpan w:val="4"/>
            <w:tcBorders>
              <w:top w:val="single" w:color="auto" w:sz="4" w:space="0"/>
              <w:bottom w:val="single" w:color="auto" w:sz="12" w:space="0"/>
              <w:right w:val="single" w:color="auto" w:sz="12" w:space="0"/>
            </w:tcBorders>
            <w:noWrap w:val="0"/>
            <w:vAlign w:val="center"/>
          </w:tcPr>
          <w:p>
            <w:pPr>
              <w:adjustRightInd w:val="0"/>
              <w:snapToGrid w:val="0"/>
              <w:jc w:val="center"/>
              <w:rPr>
                <w:color w:val="auto"/>
                <w:szCs w:val="21"/>
              </w:rPr>
            </w:pPr>
            <w:r>
              <w:rPr>
                <w:color w:val="auto"/>
                <w:szCs w:val="21"/>
              </w:rPr>
              <w:t>无</w:t>
            </w:r>
          </w:p>
        </w:tc>
      </w:tr>
    </w:tbl>
    <w:p>
      <w:pPr>
        <w:pStyle w:val="18"/>
        <w:jc w:val="center"/>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0"/>
        <w:tblW w:w="0" w:type="auto"/>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11991" w:hRule="atLeast"/>
          <w:jc w:val="center"/>
        </w:trPr>
        <w:tc>
          <w:tcPr>
            <w:tcW w:w="8865" w:type="dxa"/>
            <w:noWrap w:val="0"/>
            <w:vAlign w:val="top"/>
          </w:tcPr>
          <w:p>
            <w:pPr>
              <w:spacing w:line="360" w:lineRule="auto"/>
              <w:ind w:firstLine="480" w:firstLineChars="200"/>
              <w:rPr>
                <w:rFonts w:ascii="宋体" w:cs="宋体"/>
                <w:color w:val="auto"/>
                <w:sz w:val="24"/>
              </w:rPr>
            </w:pPr>
            <w:r>
              <w:rPr>
                <w:color w:val="auto"/>
                <w:sz w:val="24"/>
              </w:rPr>
              <w:t>合肥晶澳太阳能科技有限公司</w:t>
            </w:r>
            <w:r>
              <w:rPr>
                <w:rFonts w:hint="eastAsia"/>
                <w:color w:val="auto"/>
                <w:sz w:val="24"/>
              </w:rPr>
              <w:t>智慧工厂项目（</w:t>
            </w:r>
            <w:r>
              <w:rPr>
                <w:rFonts w:hint="eastAsia"/>
                <w:color w:val="auto"/>
                <w:sz w:val="24"/>
                <w:lang w:eastAsia="zh-CN"/>
              </w:rPr>
              <w:t>二</w:t>
            </w:r>
            <w:r>
              <w:rPr>
                <w:rFonts w:hint="eastAsia"/>
                <w:color w:val="auto"/>
                <w:sz w:val="24"/>
              </w:rPr>
              <w:t>期）</w:t>
            </w:r>
            <w:r>
              <w:rPr>
                <w:color w:val="auto"/>
                <w:sz w:val="24"/>
              </w:rPr>
              <w:t>符合国家</w:t>
            </w:r>
            <w:r>
              <w:rPr>
                <w:rFonts w:hint="eastAsia"/>
                <w:color w:val="auto"/>
                <w:sz w:val="24"/>
              </w:rPr>
              <w:t>和地方</w:t>
            </w:r>
            <w:r>
              <w:rPr>
                <w:color w:val="auto"/>
                <w:sz w:val="24"/>
              </w:rPr>
              <w:t>产业政策，只要严格落实本环境影响报告表提出的环保措施，确保本项目产生的污染物达标排放，从环境影响角度分析，本项目的建设可行。</w:t>
            </w:r>
          </w:p>
        </w:tc>
      </w:tr>
    </w:tbl>
    <w:p>
      <w:pPr>
        <w:rPr>
          <w:rFonts w:ascii="宋体"/>
          <w:color w:val="auto"/>
        </w:rPr>
        <w:sectPr>
          <w:pgSz w:w="11906" w:h="16838"/>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p>
      <w:pPr>
        <w:pStyle w:val="18"/>
        <w:adjustRightInd w:val="0"/>
        <w:snapToGrid w:val="0"/>
        <w:spacing w:before="0" w:beforeAutospacing="0" w:after="0" w:afterAutospacing="0" w:line="648" w:lineRule="auto"/>
        <w:outlineLvl w:val="0"/>
        <w:rPr>
          <w:rFonts w:ascii="黑体" w:hAnsi="黑体" w:eastAsia="黑体"/>
          <w:snapToGrid w:val="0"/>
          <w:color w:val="auto"/>
          <w:sz w:val="32"/>
          <w:szCs w:val="32"/>
        </w:rPr>
      </w:pPr>
      <w:r>
        <w:rPr>
          <w:rFonts w:hint="eastAsia" w:ascii="黑体" w:hAnsi="黑体" w:eastAsia="黑体"/>
          <w:snapToGrid w:val="0"/>
          <w:color w:val="auto"/>
          <w:sz w:val="32"/>
          <w:szCs w:val="32"/>
        </w:rPr>
        <w:t>附表</w:t>
      </w:r>
    </w:p>
    <w:p>
      <w:pPr>
        <w:pStyle w:val="18"/>
        <w:adjustRightInd w:val="0"/>
        <w:snapToGrid w:val="0"/>
        <w:spacing w:before="0" w:beforeAutospacing="0" w:after="0" w:afterAutospacing="0"/>
        <w:jc w:val="center"/>
        <w:outlineLvl w:val="0"/>
        <w:rPr>
          <w:rFonts w:ascii="Times New Roman" w:hAnsi="Times New Roman" w:eastAsia="宋体" w:cs="Times New Roman"/>
          <w:b/>
          <w:bCs/>
          <w:color w:val="auto"/>
          <w:kern w:val="2"/>
          <w:sz w:val="32"/>
          <w:szCs w:val="32"/>
        </w:rPr>
      </w:pPr>
      <w:r>
        <w:rPr>
          <w:rFonts w:hint="eastAsia" w:ascii="Times New Roman" w:hAnsi="Times New Roman" w:eastAsia="宋体" w:cs="Times New Roman"/>
          <w:b/>
          <w:bCs/>
          <w:color w:val="auto"/>
          <w:kern w:val="2"/>
          <w:sz w:val="32"/>
          <w:szCs w:val="32"/>
        </w:rPr>
        <w:t xml:space="preserve">             建设项目污染物排放量汇总表                单位：t/a</w:t>
      </w:r>
    </w:p>
    <w:tbl>
      <w:tblPr>
        <w:tblStyle w:val="20"/>
        <w:tblW w:w="1407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52"/>
        <w:gridCol w:w="1815"/>
        <w:gridCol w:w="1736"/>
        <w:gridCol w:w="1303"/>
        <w:gridCol w:w="1736"/>
        <w:gridCol w:w="1592"/>
        <w:gridCol w:w="1798"/>
        <w:gridCol w:w="1531"/>
        <w:gridCol w:w="131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1252" w:type="dxa"/>
            <w:tcBorders>
              <w:top w:val="single" w:color="auto" w:sz="12" w:space="0"/>
              <w:left w:val="single" w:color="auto" w:sz="12" w:space="0"/>
              <w:bottom w:val="single" w:color="auto" w:sz="4" w:space="0"/>
              <w:tl2br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项目</w:t>
            </w:r>
          </w:p>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分类</w:t>
            </w:r>
          </w:p>
        </w:tc>
        <w:tc>
          <w:tcPr>
            <w:tcW w:w="1815"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污染物名称</w:t>
            </w:r>
          </w:p>
        </w:tc>
        <w:tc>
          <w:tcPr>
            <w:tcW w:w="1736"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现有工程</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w:t>
            </w:r>
            <w:r>
              <w:rPr>
                <w:rFonts w:hint="eastAsia" w:ascii="Times New Roman" w:hAnsi="Times New Roman" w:eastAsia="黑体" w:cs="Times New Roman"/>
                <w:snapToGrid w:val="0"/>
                <w:color w:val="auto"/>
                <w:spacing w:val="-6"/>
                <w:kern w:val="21"/>
                <w:szCs w:val="21"/>
              </w:rPr>
              <w:t>体</w:t>
            </w:r>
            <w:r>
              <w:rPr>
                <w:rFonts w:ascii="Times New Roman" w:hAnsi="Times New Roman" w:eastAsia="黑体" w:cs="Times New Roman"/>
                <w:snapToGrid w:val="0"/>
                <w:color w:val="auto"/>
                <w:spacing w:val="-6"/>
                <w:kern w:val="21"/>
                <w:szCs w:val="21"/>
              </w:rPr>
              <w:t>废</w:t>
            </w:r>
            <w:r>
              <w:rPr>
                <w:rFonts w:hint="eastAsia" w:ascii="Times New Roman" w:hAnsi="Times New Roman" w:eastAsia="黑体" w:cs="Times New Roman"/>
                <w:snapToGrid w:val="0"/>
                <w:color w:val="auto"/>
                <w:spacing w:val="-6"/>
                <w:kern w:val="21"/>
                <w:szCs w:val="21"/>
              </w:rPr>
              <w:t>物</w:t>
            </w:r>
            <w:r>
              <w:rPr>
                <w:rFonts w:ascii="Times New Roman" w:hAnsi="Times New Roman" w:eastAsia="黑体" w:cs="Times New Roman"/>
                <w:snapToGrid w:val="0"/>
                <w:color w:val="auto"/>
                <w:spacing w:val="-6"/>
                <w:kern w:val="21"/>
                <w:szCs w:val="21"/>
              </w:rPr>
              <w:t>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1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①</w:t>
            </w:r>
            <w:r>
              <w:rPr>
                <w:rFonts w:ascii="Times New Roman" w:hAnsi="Times New Roman" w:eastAsia="黑体" w:cs="Times New Roman"/>
                <w:snapToGrid w:val="0"/>
                <w:color w:val="auto"/>
                <w:spacing w:val="-6"/>
                <w:kern w:val="21"/>
                <w:szCs w:val="21"/>
              </w:rPr>
              <w:fldChar w:fldCharType="end"/>
            </w:r>
          </w:p>
        </w:tc>
        <w:tc>
          <w:tcPr>
            <w:tcW w:w="1303"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现有工程</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许可排放量</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2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②</w:t>
            </w:r>
            <w:r>
              <w:rPr>
                <w:rFonts w:ascii="Times New Roman" w:hAnsi="Times New Roman" w:eastAsia="黑体" w:cs="Times New Roman"/>
                <w:snapToGrid w:val="0"/>
                <w:color w:val="auto"/>
                <w:spacing w:val="-6"/>
                <w:kern w:val="21"/>
                <w:szCs w:val="21"/>
              </w:rPr>
              <w:fldChar w:fldCharType="end"/>
            </w:r>
          </w:p>
        </w:tc>
        <w:tc>
          <w:tcPr>
            <w:tcW w:w="1736"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在建工程</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w:t>
            </w:r>
            <w:r>
              <w:rPr>
                <w:rFonts w:hint="eastAsia" w:ascii="Times New Roman" w:hAnsi="Times New Roman" w:eastAsia="黑体" w:cs="Times New Roman"/>
                <w:snapToGrid w:val="0"/>
                <w:color w:val="auto"/>
                <w:spacing w:val="-6"/>
                <w:kern w:val="21"/>
                <w:szCs w:val="21"/>
              </w:rPr>
              <w:t>体</w:t>
            </w:r>
            <w:r>
              <w:rPr>
                <w:rFonts w:ascii="Times New Roman" w:hAnsi="Times New Roman" w:eastAsia="黑体" w:cs="Times New Roman"/>
                <w:snapToGrid w:val="0"/>
                <w:color w:val="auto"/>
                <w:spacing w:val="-6"/>
                <w:kern w:val="21"/>
                <w:szCs w:val="21"/>
              </w:rPr>
              <w:t>废</w:t>
            </w:r>
            <w:r>
              <w:rPr>
                <w:rFonts w:hint="eastAsia" w:ascii="Times New Roman" w:hAnsi="Times New Roman" w:eastAsia="黑体" w:cs="Times New Roman"/>
                <w:snapToGrid w:val="0"/>
                <w:color w:val="auto"/>
                <w:spacing w:val="-6"/>
                <w:kern w:val="21"/>
                <w:szCs w:val="21"/>
              </w:rPr>
              <w:t>物</w:t>
            </w:r>
            <w:r>
              <w:rPr>
                <w:rFonts w:ascii="Times New Roman" w:hAnsi="Times New Roman" w:eastAsia="黑体" w:cs="Times New Roman"/>
                <w:snapToGrid w:val="0"/>
                <w:color w:val="auto"/>
                <w:spacing w:val="-6"/>
                <w:kern w:val="21"/>
                <w:szCs w:val="21"/>
              </w:rPr>
              <w:t>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3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③</w:t>
            </w:r>
            <w:r>
              <w:rPr>
                <w:rFonts w:ascii="Times New Roman" w:hAnsi="Times New Roman" w:eastAsia="黑体" w:cs="Times New Roman"/>
                <w:snapToGrid w:val="0"/>
                <w:color w:val="auto"/>
                <w:spacing w:val="-6"/>
                <w:kern w:val="21"/>
                <w:szCs w:val="21"/>
              </w:rPr>
              <w:fldChar w:fldCharType="end"/>
            </w:r>
          </w:p>
        </w:tc>
        <w:tc>
          <w:tcPr>
            <w:tcW w:w="1592"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本项目</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排放量（固</w:t>
            </w:r>
            <w:r>
              <w:rPr>
                <w:rFonts w:hint="eastAsia" w:ascii="Times New Roman" w:hAnsi="Times New Roman" w:eastAsia="黑体" w:cs="Times New Roman"/>
                <w:snapToGrid w:val="0"/>
                <w:color w:val="auto"/>
                <w:spacing w:val="-6"/>
                <w:kern w:val="21"/>
                <w:szCs w:val="21"/>
              </w:rPr>
              <w:t>体</w:t>
            </w:r>
            <w:r>
              <w:rPr>
                <w:rFonts w:ascii="Times New Roman" w:hAnsi="Times New Roman" w:eastAsia="黑体" w:cs="Times New Roman"/>
                <w:snapToGrid w:val="0"/>
                <w:color w:val="auto"/>
                <w:spacing w:val="-6"/>
                <w:kern w:val="21"/>
                <w:szCs w:val="21"/>
              </w:rPr>
              <w:t>废</w:t>
            </w:r>
            <w:r>
              <w:rPr>
                <w:rFonts w:hint="eastAsia" w:ascii="Times New Roman" w:hAnsi="Times New Roman" w:eastAsia="黑体" w:cs="Times New Roman"/>
                <w:snapToGrid w:val="0"/>
                <w:color w:val="auto"/>
                <w:spacing w:val="-6"/>
                <w:kern w:val="21"/>
                <w:szCs w:val="21"/>
              </w:rPr>
              <w:t>物</w:t>
            </w:r>
            <w:r>
              <w:rPr>
                <w:rFonts w:ascii="Times New Roman" w:hAnsi="Times New Roman" w:eastAsia="黑体" w:cs="Times New Roman"/>
                <w:snapToGrid w:val="0"/>
                <w:color w:val="auto"/>
                <w:spacing w:val="-6"/>
                <w:kern w:val="21"/>
                <w:szCs w:val="21"/>
              </w:rPr>
              <w:t>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4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④</w:t>
            </w:r>
            <w:r>
              <w:rPr>
                <w:rFonts w:ascii="Times New Roman" w:hAnsi="Times New Roman" w:eastAsia="黑体" w:cs="Times New Roman"/>
                <w:snapToGrid w:val="0"/>
                <w:color w:val="auto"/>
                <w:spacing w:val="-6"/>
                <w:kern w:val="21"/>
                <w:szCs w:val="21"/>
              </w:rPr>
              <w:fldChar w:fldCharType="end"/>
            </w:r>
          </w:p>
        </w:tc>
        <w:tc>
          <w:tcPr>
            <w:tcW w:w="1798"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以新带老削减量</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（新建项目不填）</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5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⑤</w:t>
            </w:r>
            <w:r>
              <w:rPr>
                <w:rFonts w:ascii="Times New Roman" w:hAnsi="Times New Roman" w:eastAsia="黑体" w:cs="Times New Roman"/>
                <w:snapToGrid w:val="0"/>
                <w:color w:val="auto"/>
                <w:spacing w:val="-6"/>
                <w:kern w:val="21"/>
                <w:szCs w:val="21"/>
              </w:rPr>
              <w:fldChar w:fldCharType="end"/>
            </w:r>
          </w:p>
        </w:tc>
        <w:tc>
          <w:tcPr>
            <w:tcW w:w="1531" w:type="dxa"/>
            <w:tcBorders>
              <w:top w:val="single" w:color="auto" w:sz="12" w:space="0"/>
              <w:bottom w:val="single" w:color="auto" w:sz="4" w:space="0"/>
            </w:tcBorders>
            <w:noWrap w:val="0"/>
            <w:tcMar>
              <w:left w:w="28" w:type="dxa"/>
              <w:right w:w="28" w:type="dxa"/>
            </w:tcMar>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本项目建成后</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全厂</w:t>
            </w:r>
            <w:r>
              <w:rPr>
                <w:rFonts w:ascii="Times New Roman" w:hAnsi="Times New Roman" w:eastAsia="黑体" w:cs="Times New Roman"/>
                <w:snapToGrid w:val="0"/>
                <w:color w:val="auto"/>
                <w:spacing w:val="-6"/>
                <w:kern w:val="21"/>
                <w:szCs w:val="21"/>
              </w:rPr>
              <w:t>排放量（固</w:t>
            </w:r>
            <w:r>
              <w:rPr>
                <w:rFonts w:hint="eastAsia" w:ascii="Times New Roman" w:hAnsi="Times New Roman" w:eastAsia="黑体" w:cs="Times New Roman"/>
                <w:snapToGrid w:val="0"/>
                <w:color w:val="auto"/>
                <w:spacing w:val="-6"/>
                <w:kern w:val="21"/>
                <w:szCs w:val="21"/>
              </w:rPr>
              <w:t>体</w:t>
            </w:r>
            <w:r>
              <w:rPr>
                <w:rFonts w:ascii="Times New Roman" w:hAnsi="Times New Roman" w:eastAsia="黑体" w:cs="Times New Roman"/>
                <w:snapToGrid w:val="0"/>
                <w:color w:val="auto"/>
                <w:spacing w:val="-6"/>
                <w:kern w:val="21"/>
                <w:szCs w:val="21"/>
              </w:rPr>
              <w:t>废</w:t>
            </w:r>
            <w:r>
              <w:rPr>
                <w:rFonts w:hint="eastAsia" w:ascii="Times New Roman" w:hAnsi="Times New Roman" w:eastAsia="黑体" w:cs="Times New Roman"/>
                <w:snapToGrid w:val="0"/>
                <w:color w:val="auto"/>
                <w:spacing w:val="-6"/>
                <w:kern w:val="21"/>
                <w:szCs w:val="21"/>
              </w:rPr>
              <w:t>物</w:t>
            </w:r>
            <w:r>
              <w:rPr>
                <w:rFonts w:ascii="Times New Roman" w:hAnsi="Times New Roman" w:eastAsia="黑体" w:cs="Times New Roman"/>
                <w:snapToGrid w:val="0"/>
                <w:color w:val="auto"/>
                <w:spacing w:val="-6"/>
                <w:kern w:val="21"/>
                <w:szCs w:val="21"/>
              </w:rPr>
              <w:t>产生量）</w:t>
            </w: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6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⑥</w:t>
            </w:r>
            <w:r>
              <w:rPr>
                <w:rFonts w:ascii="Times New Roman" w:hAnsi="Times New Roman" w:eastAsia="黑体" w:cs="Times New Roman"/>
                <w:snapToGrid w:val="0"/>
                <w:color w:val="auto"/>
                <w:spacing w:val="-6"/>
                <w:kern w:val="21"/>
                <w:szCs w:val="21"/>
              </w:rPr>
              <w:fldChar w:fldCharType="end"/>
            </w:r>
          </w:p>
        </w:tc>
        <w:tc>
          <w:tcPr>
            <w:tcW w:w="1312" w:type="dxa"/>
            <w:tcBorders>
              <w:top w:val="single" w:color="auto" w:sz="12" w:space="0"/>
              <w:bottom w:val="single" w:color="auto" w:sz="4" w:space="0"/>
              <w:right w:val="single" w:color="auto" w:sz="12" w:space="0"/>
            </w:tcBorders>
            <w:noWrap w:val="0"/>
            <w:tcMar>
              <w:left w:w="28" w:type="dxa"/>
              <w:right w:w="28" w:type="dxa"/>
            </w:tcMar>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t>变化量</w:t>
            </w:r>
          </w:p>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ascii="Times New Roman" w:hAnsi="Times New Roman" w:eastAsia="黑体" w:cs="Times New Roman"/>
                <w:snapToGrid w:val="0"/>
                <w:color w:val="auto"/>
                <w:spacing w:val="-6"/>
                <w:kern w:val="21"/>
                <w:szCs w:val="21"/>
              </w:rPr>
              <w:fldChar w:fldCharType="begin"/>
            </w:r>
            <w:r>
              <w:rPr>
                <w:rFonts w:ascii="Times New Roman" w:hAnsi="Times New Roman" w:eastAsia="黑体" w:cs="Times New Roman"/>
                <w:snapToGrid w:val="0"/>
                <w:color w:val="auto"/>
                <w:spacing w:val="-6"/>
                <w:kern w:val="21"/>
                <w:szCs w:val="21"/>
              </w:rPr>
              <w:instrText xml:space="preserve"> = 7 \* GB3 \* MERGEFORMAT </w:instrText>
            </w:r>
            <w:r>
              <w:rPr>
                <w:rFonts w:ascii="Times New Roman" w:hAnsi="Times New Roman" w:eastAsia="黑体" w:cs="Times New Roman"/>
                <w:snapToGrid w:val="0"/>
                <w:color w:val="auto"/>
                <w:spacing w:val="-6"/>
                <w:kern w:val="21"/>
                <w:szCs w:val="21"/>
              </w:rPr>
              <w:fldChar w:fldCharType="separate"/>
            </w:r>
            <w:r>
              <w:rPr>
                <w:rFonts w:hint="eastAsia" w:ascii="Times New Roman" w:hAnsi="Times New Roman" w:eastAsia="黑体" w:cs="Times New Roman"/>
                <w:snapToGrid w:val="0"/>
                <w:color w:val="auto"/>
                <w:spacing w:val="-6"/>
                <w:kern w:val="21"/>
                <w:szCs w:val="21"/>
              </w:rPr>
              <w:t>⑦</w:t>
            </w:r>
            <w:r>
              <w:rPr>
                <w:rFonts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restart"/>
            <w:tcBorders>
              <w:top w:val="single" w:color="auto" w:sz="4" w:space="0"/>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废气</w:t>
            </w: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颗粒物</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3.835</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bCs/>
                <w:color w:val="auto"/>
                <w:kern w:val="2"/>
                <w:sz w:val="21"/>
                <w:szCs w:val="21"/>
                <w:lang w:val="zh-CN" w:eastAsia="zh-CN" w:bidi="ar-SA"/>
              </w:rPr>
              <w:t>0.0</w:t>
            </w:r>
            <w:r>
              <w:rPr>
                <w:rFonts w:hint="eastAsia" w:ascii="Times New Roman" w:hAnsi="Times New Roman" w:eastAsia="宋体"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zh-CN" w:eastAsia="zh-CN" w:bidi="ar-SA"/>
              </w:rPr>
              <w:t>5</w:t>
            </w:r>
            <w:r>
              <w:rPr>
                <w:rFonts w:hint="eastAsia" w:ascii="Times New Roman" w:hAnsi="Times New Roman" w:eastAsia="宋体" w:cs="Times New Roman"/>
                <w:bCs/>
                <w:color w:val="auto"/>
                <w:kern w:val="2"/>
                <w:sz w:val="21"/>
                <w:szCs w:val="21"/>
                <w:lang w:val="en-US" w:eastAsia="zh-CN" w:bidi="ar-SA"/>
              </w:rPr>
              <w:t>5</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bCs/>
                <w:color w:val="auto"/>
                <w:kern w:val="2"/>
                <w:sz w:val="21"/>
                <w:szCs w:val="21"/>
                <w:lang w:val="zh-CN" w:eastAsia="zh-CN" w:bidi="ar-SA"/>
              </w:rPr>
              <w:t>0.0</w:t>
            </w:r>
            <w:r>
              <w:rPr>
                <w:rFonts w:hint="eastAsia" w:ascii="Times New Roman" w:hAnsi="Times New Roman" w:eastAsia="宋体"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zh-CN" w:eastAsia="zh-CN" w:bidi="ar-SA"/>
              </w:rPr>
              <w:t>5</w:t>
            </w:r>
            <w:r>
              <w:rPr>
                <w:rFonts w:hint="eastAsia" w:ascii="Times New Roman" w:hAnsi="Times New Roman" w:eastAsia="宋体" w:cs="Times New Roman"/>
                <w:bCs/>
                <w:color w:val="auto"/>
                <w:kern w:val="2"/>
                <w:sz w:val="21"/>
                <w:szCs w:val="21"/>
                <w:lang w:val="en-US" w:eastAsia="zh-CN" w:bidi="ar-SA"/>
              </w:rPr>
              <w:t>5</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3.886</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bCs/>
                <w:color w:val="auto"/>
                <w:kern w:val="2"/>
                <w:sz w:val="21"/>
                <w:szCs w:val="21"/>
                <w:lang w:val="zh-CN" w:eastAsia="zh-CN" w:bidi="ar-SA"/>
              </w:rPr>
              <w:t>0.0</w:t>
            </w:r>
            <w:r>
              <w:rPr>
                <w:rFonts w:hint="eastAsia" w:ascii="Times New Roman" w:hAnsi="Times New Roman" w:eastAsia="宋体" w:cs="Times New Roman"/>
                <w:bCs/>
                <w:color w:val="auto"/>
                <w:kern w:val="2"/>
                <w:sz w:val="21"/>
                <w:szCs w:val="21"/>
                <w:lang w:val="en-US" w:eastAsia="zh-CN" w:bidi="ar-SA"/>
              </w:rPr>
              <w:t>2</w:t>
            </w:r>
            <w:r>
              <w:rPr>
                <w:rFonts w:hint="default" w:ascii="Times New Roman" w:hAnsi="Times New Roman" w:eastAsia="宋体" w:cs="Times New Roman"/>
                <w:bCs/>
                <w:color w:val="auto"/>
                <w:kern w:val="2"/>
                <w:sz w:val="21"/>
                <w:szCs w:val="21"/>
                <w:lang w:val="zh-CN" w:eastAsia="zh-CN" w:bidi="ar-SA"/>
              </w:rPr>
              <w:t>5</w:t>
            </w:r>
            <w:r>
              <w:rPr>
                <w:rFonts w:hint="eastAsia" w:ascii="Times New Roman" w:hAnsi="Times New Roman" w:eastAsia="宋体" w:cs="Times New Roman"/>
                <w:bCs/>
                <w:color w:val="auto"/>
                <w:kern w:val="2"/>
                <w:sz w:val="21"/>
                <w:szCs w:val="21"/>
                <w:lang w:val="en-US" w:eastAsia="zh-CN" w:bidi="ar-SA"/>
              </w:rPr>
              <w:t>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锡及其化合物</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0.142</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bCs/>
                <w:color w:val="auto"/>
                <w:kern w:val="2"/>
                <w:sz w:val="21"/>
                <w:szCs w:val="21"/>
                <w:lang w:val="zh-CN" w:eastAsia="zh-CN" w:bidi="ar-SA"/>
              </w:rPr>
              <w:t>0.00</w:t>
            </w:r>
            <w:r>
              <w:rPr>
                <w:rFonts w:hint="eastAsia" w:ascii="Times New Roman" w:hAnsi="Times New Roman" w:eastAsia="宋体" w:cs="Times New Roman"/>
                <w:bCs/>
                <w:color w:val="auto"/>
                <w:kern w:val="2"/>
                <w:sz w:val="21"/>
                <w:szCs w:val="21"/>
                <w:lang w:val="en-US" w:eastAsia="zh-CN" w:bidi="ar-SA"/>
              </w:rPr>
              <w:t>661</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bCs/>
                <w:color w:val="auto"/>
                <w:kern w:val="2"/>
                <w:sz w:val="21"/>
                <w:szCs w:val="21"/>
                <w:lang w:val="zh-CN" w:eastAsia="zh-CN" w:bidi="ar-SA"/>
              </w:rPr>
              <w:t>0.00</w:t>
            </w:r>
            <w:r>
              <w:rPr>
                <w:rFonts w:hint="eastAsia" w:ascii="Times New Roman" w:hAnsi="Times New Roman" w:eastAsia="宋体" w:cs="Times New Roman"/>
                <w:bCs/>
                <w:color w:val="auto"/>
                <w:kern w:val="2"/>
                <w:sz w:val="21"/>
                <w:szCs w:val="21"/>
                <w:lang w:val="en-US" w:eastAsia="zh-CN" w:bidi="ar-SA"/>
              </w:rPr>
              <w:t>661</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0.155</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bCs/>
                <w:color w:val="auto"/>
                <w:kern w:val="2"/>
                <w:sz w:val="21"/>
                <w:szCs w:val="21"/>
                <w:lang w:val="zh-CN" w:eastAsia="zh-CN" w:bidi="ar-SA"/>
              </w:rPr>
              <w:t>0.00</w:t>
            </w:r>
            <w:r>
              <w:rPr>
                <w:rFonts w:hint="eastAsia" w:ascii="Times New Roman" w:hAnsi="Times New Roman" w:eastAsia="宋体" w:cs="Times New Roman"/>
                <w:bCs/>
                <w:color w:val="auto"/>
                <w:kern w:val="2"/>
                <w:sz w:val="21"/>
                <w:szCs w:val="21"/>
                <w:lang w:val="en-US" w:eastAsia="zh-CN" w:bidi="ar-SA"/>
              </w:rPr>
              <w:t>661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非甲烷总烃</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24.6275</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bCs/>
                <w:color w:val="auto"/>
                <w:kern w:val="2"/>
                <w:sz w:val="21"/>
                <w:szCs w:val="21"/>
                <w:lang w:val="zh-CN" w:eastAsia="zh-CN" w:bidi="ar-SA"/>
              </w:rPr>
              <w:t>3.</w:t>
            </w:r>
            <w:r>
              <w:rPr>
                <w:rFonts w:hint="eastAsia" w:ascii="Times New Roman" w:hAnsi="Times New Roman" w:eastAsia="宋体" w:cs="Times New Roman"/>
                <w:bCs/>
                <w:color w:val="auto"/>
                <w:kern w:val="2"/>
                <w:sz w:val="21"/>
                <w:szCs w:val="21"/>
                <w:lang w:val="en-US" w:eastAsia="zh-CN" w:bidi="ar-SA"/>
              </w:rPr>
              <w:t>229</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bCs/>
                <w:color w:val="auto"/>
                <w:kern w:val="2"/>
                <w:sz w:val="21"/>
                <w:szCs w:val="21"/>
                <w:lang w:val="zh-CN" w:eastAsia="zh-CN" w:bidi="ar-SA"/>
              </w:rPr>
              <w:t>3.</w:t>
            </w:r>
            <w:r>
              <w:rPr>
                <w:rFonts w:hint="eastAsia" w:ascii="Times New Roman" w:hAnsi="Times New Roman" w:eastAsia="宋体" w:cs="Times New Roman"/>
                <w:bCs/>
                <w:color w:val="auto"/>
                <w:kern w:val="2"/>
                <w:sz w:val="21"/>
                <w:szCs w:val="21"/>
                <w:lang w:val="en-US" w:eastAsia="zh-CN" w:bidi="ar-SA"/>
              </w:rPr>
              <w:t>229</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lang w:val="en-US"/>
              </w:rPr>
            </w:pPr>
            <w:r>
              <w:rPr>
                <w:rFonts w:hint="default" w:ascii="Times New Roman" w:hAnsi="Times New Roman" w:eastAsia="宋体" w:cs="Times New Roman"/>
                <w:i w:val="0"/>
                <w:iCs w:val="0"/>
                <w:color w:val="000000"/>
                <w:kern w:val="0"/>
                <w:sz w:val="21"/>
                <w:szCs w:val="21"/>
                <w:u w:val="none"/>
                <w:lang w:val="en-US" w:eastAsia="zh-CN" w:bidi="ar"/>
              </w:rPr>
              <w:t>31.086</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bCs/>
                <w:color w:val="auto"/>
                <w:kern w:val="2"/>
                <w:sz w:val="21"/>
                <w:szCs w:val="21"/>
                <w:lang w:val="zh-CN" w:eastAsia="zh-CN" w:bidi="ar-SA"/>
              </w:rPr>
              <w:t>3.</w:t>
            </w:r>
            <w:r>
              <w:rPr>
                <w:rFonts w:hint="eastAsia" w:ascii="Times New Roman" w:hAnsi="Times New Roman" w:eastAsia="宋体" w:cs="Times New Roman"/>
                <w:bCs/>
                <w:color w:val="auto"/>
                <w:kern w:val="2"/>
                <w:sz w:val="21"/>
                <w:szCs w:val="21"/>
                <w:lang w:val="en-US" w:eastAsia="zh-CN" w:bidi="ar-SA"/>
              </w:rPr>
              <w:t>229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氮氧化物</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0.174</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宋体" w:cs="Times New Roman"/>
                <w:bCs/>
                <w:color w:val="auto"/>
                <w:kern w:val="2"/>
                <w:sz w:val="21"/>
                <w:szCs w:val="21"/>
                <w:lang w:val="en-US" w:eastAsia="zh-CN" w:bidi="ar-SA"/>
              </w:rPr>
              <w:t>0</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0.174</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eastAsia" w:ascii="Times New Roman" w:hAnsi="Times New Roman" w:eastAsia="宋体" w:cs="Times New Roman"/>
                <w:bCs/>
                <w:color w:val="auto"/>
                <w:kern w:val="2"/>
                <w:sz w:val="21"/>
                <w:szCs w:val="21"/>
                <w:lang w:val="en-US" w:eastAsia="zh-CN" w:bidi="ar-SA"/>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二氧化硫</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0.0237</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二甲苯</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0.1062</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0.00686</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0.00686</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0.00686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restart"/>
            <w:tcBorders>
              <w:top w:val="single" w:color="auto" w:sz="4" w:space="0"/>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废水</w:t>
            </w: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废水量</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99019.54</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76622</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eastAsia" w:cs="Times New Roman"/>
                <w:i w:val="0"/>
                <w:iCs w:val="0"/>
                <w:color w:val="auto"/>
                <w:kern w:val="0"/>
                <w:sz w:val="21"/>
                <w:szCs w:val="21"/>
                <w:highlight w:val="none"/>
                <w:u w:val="none"/>
                <w:lang w:val="en-US" w:eastAsia="zh-CN" w:bidi="ar"/>
              </w:rPr>
              <w:t>41078.8</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216720.34</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lang w:val="en-US"/>
              </w:rPr>
            </w:pPr>
            <w:r>
              <w:rPr>
                <w:rFonts w:hint="eastAsia" w:cs="Times New Roman"/>
                <w:i w:val="0"/>
                <w:iCs w:val="0"/>
                <w:color w:val="auto"/>
                <w:kern w:val="0"/>
                <w:sz w:val="21"/>
                <w:szCs w:val="21"/>
                <w:highlight w:val="none"/>
                <w:u w:val="none"/>
                <w:lang w:val="en-US" w:eastAsia="zh-CN" w:bidi="ar"/>
              </w:rPr>
              <w:t>41078.8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化学需氧量</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9.647</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6.143</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3.733</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19.523</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eastAsia" w:ascii="Times New Roman" w:hAnsi="Times New Roman" w:eastAsia="宋体" w:cs="Times New Roman"/>
                <w:i w:val="0"/>
                <w:iCs w:val="0"/>
                <w:color w:val="auto"/>
                <w:kern w:val="0"/>
                <w:sz w:val="21"/>
                <w:szCs w:val="21"/>
                <w:highlight w:val="none"/>
                <w:u w:val="none"/>
                <w:lang w:val="en-US" w:eastAsia="zh-CN" w:bidi="ar"/>
              </w:rPr>
              <w:t>3.733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31" w:hRule="atLeast"/>
          <w:jc w:val="center"/>
        </w:trPr>
        <w:tc>
          <w:tcPr>
            <w:tcW w:w="1252" w:type="dxa"/>
            <w:vMerge w:val="continue"/>
            <w:tcBorders>
              <w:left w:val="single" w:color="auto" w:sz="12"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p>
        </w:tc>
        <w:tc>
          <w:tcPr>
            <w:tcW w:w="1815"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氨氮</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1.494</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0.221</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0.151</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1.866</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eastAsia" w:ascii="Times New Roman" w:hAnsi="Times New Roman" w:eastAsia="宋体" w:cs="Times New Roman"/>
                <w:i w:val="0"/>
                <w:iCs w:val="0"/>
                <w:color w:val="auto"/>
                <w:kern w:val="0"/>
                <w:sz w:val="21"/>
                <w:szCs w:val="21"/>
                <w:highlight w:val="none"/>
                <w:u w:val="none"/>
                <w:lang w:val="en-US" w:eastAsia="zh-CN" w:bidi="ar"/>
              </w:rPr>
              <w:t>0.151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3067" w:type="dxa"/>
            <w:gridSpan w:val="2"/>
            <w:tcBorders>
              <w:top w:val="single" w:color="auto" w:sz="4" w:space="0"/>
              <w:left w:val="single" w:color="auto" w:sz="12" w:space="0"/>
              <w:bottom w:val="single" w:color="auto" w:sz="4" w:space="0"/>
            </w:tcBorders>
            <w:noWrap w:val="0"/>
            <w:vAlign w:val="center"/>
          </w:tcPr>
          <w:p>
            <w:pPr>
              <w:pStyle w:val="37"/>
              <w:spacing w:beforeLines="0" w:afterLines="0" w:line="240" w:lineRule="auto"/>
              <w:jc w:val="center"/>
              <w:rPr>
                <w:rFonts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一般工业固体废物</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858.695</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1093.352</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1093.352</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3045.399</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1093.352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3067" w:type="dxa"/>
            <w:gridSpan w:val="2"/>
            <w:tcBorders>
              <w:top w:val="single" w:color="auto" w:sz="4" w:space="0"/>
              <w:left w:val="single" w:color="auto" w:sz="12"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rPr>
            </w:pPr>
            <w:r>
              <w:rPr>
                <w:rFonts w:hint="eastAsia" w:ascii="Times New Roman" w:hAnsi="Times New Roman" w:eastAsia="黑体" w:cs="Times New Roman"/>
                <w:snapToGrid w:val="0"/>
                <w:color w:val="auto"/>
                <w:spacing w:val="-6"/>
                <w:kern w:val="21"/>
                <w:szCs w:val="21"/>
              </w:rPr>
              <w:t>危险废物</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224.277</w:t>
            </w:r>
          </w:p>
        </w:tc>
        <w:tc>
          <w:tcPr>
            <w:tcW w:w="1303"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736"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ascii="Times New Roman" w:hAnsi="Times New Roman" w:eastAsia="黑体" w:cs="Times New Roman"/>
                <w:snapToGrid w:val="0"/>
                <w:color w:val="auto"/>
                <w:spacing w:val="-6"/>
                <w:kern w:val="21"/>
                <w:szCs w:val="21"/>
              </w:rPr>
            </w:pPr>
            <w:r>
              <w:rPr>
                <w:rFonts w:hint="default" w:ascii="Times New Roman" w:hAnsi="Times New Roman" w:eastAsia="宋体" w:cs="Times New Roman"/>
                <w:i w:val="0"/>
                <w:iCs w:val="0"/>
                <w:color w:val="auto"/>
                <w:kern w:val="0"/>
                <w:sz w:val="21"/>
                <w:szCs w:val="21"/>
                <w:u w:val="none"/>
                <w:lang w:val="en-US" w:eastAsia="zh-CN" w:bidi="ar"/>
              </w:rPr>
              <w:t>146.12</w:t>
            </w:r>
          </w:p>
        </w:tc>
        <w:tc>
          <w:tcPr>
            <w:tcW w:w="1592"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146.12</w:t>
            </w:r>
          </w:p>
        </w:tc>
        <w:tc>
          <w:tcPr>
            <w:tcW w:w="1798" w:type="dxa"/>
            <w:tcBorders>
              <w:top w:val="single" w:color="auto" w:sz="4" w:space="0"/>
              <w:bottom w:val="single" w:color="auto" w:sz="4" w:space="0"/>
            </w:tcBorders>
            <w:noWrap w:val="0"/>
            <w:vAlign w:val="center"/>
          </w:tcPr>
          <w:p>
            <w:pPr>
              <w:pStyle w:val="37"/>
              <w:spacing w:beforeLines="0" w:afterLines="0" w:line="240" w:lineRule="auto"/>
              <w:jc w:val="center"/>
              <w:rPr>
                <w:rFonts w:hint="eastAsia" w:ascii="Times New Roman" w:hAnsi="Times New Roman" w:eastAsia="黑体" w:cs="Times New Roman"/>
                <w:snapToGrid w:val="0"/>
                <w:color w:val="auto"/>
                <w:spacing w:val="-6"/>
                <w:kern w:val="21"/>
                <w:szCs w:val="21"/>
                <w:lang w:val="en-US" w:eastAsia="zh-CN"/>
              </w:rPr>
            </w:pPr>
            <w:r>
              <w:rPr>
                <w:rFonts w:hint="eastAsia" w:ascii="Times New Roman" w:hAnsi="Times New Roman" w:eastAsia="黑体" w:cs="Times New Roman"/>
                <w:snapToGrid w:val="0"/>
                <w:color w:val="auto"/>
                <w:spacing w:val="-6"/>
                <w:kern w:val="21"/>
                <w:szCs w:val="21"/>
                <w:lang w:val="en-US" w:eastAsia="zh-CN"/>
              </w:rPr>
              <w:t>/</w:t>
            </w:r>
          </w:p>
        </w:tc>
        <w:tc>
          <w:tcPr>
            <w:tcW w:w="1531" w:type="dxa"/>
            <w:tcBorders>
              <w:top w:val="single" w:color="auto" w:sz="4" w:space="0"/>
              <w:bottom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000000"/>
                <w:kern w:val="0"/>
                <w:sz w:val="21"/>
                <w:szCs w:val="21"/>
                <w:u w:val="none"/>
                <w:lang w:val="en-US" w:eastAsia="zh-CN" w:bidi="ar"/>
              </w:rPr>
              <w:t>516.517</w:t>
            </w:r>
          </w:p>
        </w:tc>
        <w:tc>
          <w:tcPr>
            <w:tcW w:w="1312" w:type="dxa"/>
            <w:tcBorders>
              <w:top w:val="single" w:color="auto" w:sz="4" w:space="0"/>
              <w:bottom w:val="single" w:color="auto" w:sz="4" w:space="0"/>
              <w:right w:val="single" w:color="auto" w:sz="12" w:space="0"/>
            </w:tcBorders>
            <w:noWrap w:val="0"/>
            <w:vAlign w:val="center"/>
          </w:tcPr>
          <w:p>
            <w:pPr>
              <w:keepNext w:val="0"/>
              <w:keepLines w:val="0"/>
              <w:widowControl/>
              <w:suppressLineNumbers w:val="0"/>
              <w:jc w:val="center"/>
              <w:textAlignment w:val="center"/>
              <w:rPr>
                <w:rFonts w:hint="default" w:ascii="Times New Roman" w:hAnsi="Times New Roman" w:eastAsia="黑体" w:cs="Times New Roman"/>
                <w:snapToGrid w:val="0"/>
                <w:color w:val="auto"/>
                <w:spacing w:val="-6"/>
                <w:kern w:val="21"/>
                <w:sz w:val="21"/>
                <w:szCs w:val="21"/>
              </w:rPr>
            </w:pPr>
            <w:r>
              <w:rPr>
                <w:rFonts w:hint="default" w:ascii="Times New Roman" w:hAnsi="Times New Roman" w:eastAsia="宋体" w:cs="Times New Roman"/>
                <w:i w:val="0"/>
                <w:iCs w:val="0"/>
                <w:color w:val="auto"/>
                <w:kern w:val="0"/>
                <w:sz w:val="21"/>
                <w:szCs w:val="21"/>
                <w:highlight w:val="none"/>
                <w:u w:val="none"/>
                <w:lang w:val="en-US" w:eastAsia="zh-CN" w:bidi="ar"/>
              </w:rPr>
              <w:t>146.12</w:t>
            </w:r>
          </w:p>
        </w:tc>
      </w:tr>
    </w:tbl>
    <w:p>
      <w:pPr>
        <w:pStyle w:val="37"/>
        <w:spacing w:before="192" w:beforeLines="80" w:after="24"/>
        <w:jc w:val="left"/>
        <w:rPr>
          <w:rFonts w:hAnsi="宋体" w:eastAsia="黑体"/>
          <w:color w:val="auto"/>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sectPr>
      <w:footerReference r:id="rId8" w:type="default"/>
      <w:pgSz w:w="16838" w:h="11906" w:orient="landscape"/>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auto"/>
    <w:pitch w:val="default"/>
    <w:sig w:usb0="00000000" w:usb1="00000000" w:usb2="00000000" w:usb3="00000000" w:csb0="8000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11</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61</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3"/>
        <w:rFonts w:ascii="宋体" w:hAnsi="宋体"/>
        <w:sz w:val="28"/>
        <w:szCs w:val="28"/>
      </w:rPr>
    </w:pPr>
    <w:r>
      <w:rPr>
        <w:rStyle w:val="23"/>
        <w:rFonts w:hint="eastAsia" w:ascii="宋体" w:hAnsi="宋体"/>
        <w:sz w:val="28"/>
        <w:szCs w:val="28"/>
      </w:rPr>
      <w:t>—</w:t>
    </w:r>
    <w:r>
      <w:rPr>
        <w:rStyle w:val="23"/>
        <w:rFonts w:hint="eastAsia" w:ascii="宋体" w:hAnsi="宋体"/>
        <w:sz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62</w:t>
    </w:r>
    <w:r>
      <w:rPr>
        <w:rFonts w:ascii="宋体" w:hAnsi="宋体"/>
        <w:sz w:val="26"/>
        <w:szCs w:val="26"/>
      </w:rPr>
      <w:fldChar w:fldCharType="end"/>
    </w:r>
    <w:r>
      <w:rPr>
        <w:rStyle w:val="23"/>
        <w:rFonts w:hint="eastAsia" w:ascii="宋体" w:hAnsi="宋体"/>
        <w:sz w:val="20"/>
      </w:rPr>
      <w:t xml:space="preserve">  </w:t>
    </w:r>
    <w:r>
      <w:rPr>
        <w:rStyle w:val="23"/>
        <w:rFonts w:hint="eastAsia" w:ascii="宋体" w:hAnsi="宋体"/>
        <w:sz w:val="28"/>
        <w:szCs w:val="28"/>
      </w:rPr>
      <w:t>—</w:t>
    </w:r>
  </w:p>
  <w:p>
    <w:pPr>
      <w:pStyle w:val="14"/>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36AC05"/>
    <w:multiLevelType w:val="singleLevel"/>
    <w:tmpl w:val="AF36AC05"/>
    <w:lvl w:ilvl="0" w:tentative="0">
      <w:start w:val="2"/>
      <w:numFmt w:val="chineseCounting"/>
      <w:suff w:val="nothing"/>
      <w:lvlText w:val="%1、"/>
      <w:lvlJc w:val="left"/>
      <w:rPr>
        <w:rFonts w:hint="eastAsia"/>
      </w:rPr>
    </w:lvl>
  </w:abstractNum>
  <w:abstractNum w:abstractNumId="1">
    <w:nsid w:val="C2277B7C"/>
    <w:multiLevelType w:val="singleLevel"/>
    <w:tmpl w:val="C2277B7C"/>
    <w:lvl w:ilvl="0" w:tentative="0">
      <w:start w:val="1"/>
      <w:numFmt w:val="chineseCounting"/>
      <w:suff w:val="nothing"/>
      <w:lvlText w:val="（%1）"/>
      <w:lvlJc w:val="left"/>
      <w:rPr>
        <w:rFonts w:hint="eastAsia"/>
      </w:rPr>
    </w:lvl>
  </w:abstractNum>
  <w:abstractNum w:abstractNumId="2">
    <w:nsid w:val="CFE1FD77"/>
    <w:multiLevelType w:val="singleLevel"/>
    <w:tmpl w:val="CFE1FD77"/>
    <w:lvl w:ilvl="0" w:tentative="0">
      <w:start w:val="1"/>
      <w:numFmt w:val="decimal"/>
      <w:suff w:val="nothing"/>
      <w:lvlText w:val="（%1）"/>
      <w:lvlJc w:val="left"/>
    </w:lvl>
  </w:abstractNum>
  <w:abstractNum w:abstractNumId="3">
    <w:nsid w:val="0715028F"/>
    <w:multiLevelType w:val="singleLevel"/>
    <w:tmpl w:val="0715028F"/>
    <w:lvl w:ilvl="0" w:tentative="0">
      <w:start w:val="5"/>
      <w:numFmt w:val="decimal"/>
      <w:suff w:val="nothing"/>
      <w:lvlText w:val="（%1）"/>
      <w:lvlJc w:val="left"/>
      <w:pPr>
        <w:ind w:left="480" w:firstLine="0"/>
      </w:pPr>
    </w:lvl>
  </w:abstractNum>
  <w:abstractNum w:abstractNumId="4">
    <w:nsid w:val="46741172"/>
    <w:multiLevelType w:val="multilevel"/>
    <w:tmpl w:val="46741172"/>
    <w:lvl w:ilvl="0" w:tentative="0">
      <w:start w:val="1"/>
      <w:numFmt w:val="decimal"/>
      <w:lvlText w:val="表%1"/>
      <w:lvlJc w:val="left"/>
      <w:pPr>
        <w:ind w:left="420" w:hanging="420"/>
      </w:pPr>
      <w:rPr>
        <w:rFonts w:hint="default"/>
        <w:b/>
        <w:bC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9C510C5"/>
    <w:multiLevelType w:val="singleLevel"/>
    <w:tmpl w:val="59C510C5"/>
    <w:lvl w:ilvl="0" w:tentative="0">
      <w:start w:val="7"/>
      <w:numFmt w:val="chineseCounting"/>
      <w:suff w:val="nothing"/>
      <w:lvlText w:val="（%1）"/>
      <w:lvlJc w:val="left"/>
      <w:rPr>
        <w:rFonts w:hint="eastAsia"/>
      </w:rPr>
    </w:lvl>
  </w:abstractNum>
  <w:abstractNum w:abstractNumId="6">
    <w:nsid w:val="6F809B4F"/>
    <w:multiLevelType w:val="multilevel"/>
    <w:tmpl w:val="6F809B4F"/>
    <w:lvl w:ilvl="0" w:tentative="0">
      <w:start w:val="1"/>
      <w:numFmt w:val="decimal"/>
      <w:lvlText w:val="表%1"/>
      <w:lvlJc w:val="left"/>
      <w:pPr>
        <w:ind w:left="420" w:hanging="42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zQzNWI2NTgwYTZmOWEwY2IyODVmNzM5MjJhZmQ2OTQifQ=="/>
  </w:docVars>
  <w:rsids>
    <w:rsidRoot w:val="00A14947"/>
    <w:rsid w:val="000060B3"/>
    <w:rsid w:val="000365B1"/>
    <w:rsid w:val="0004364B"/>
    <w:rsid w:val="0005477B"/>
    <w:rsid w:val="00061B1F"/>
    <w:rsid w:val="00072A19"/>
    <w:rsid w:val="000733C4"/>
    <w:rsid w:val="00074783"/>
    <w:rsid w:val="0008070B"/>
    <w:rsid w:val="000810AC"/>
    <w:rsid w:val="00081A02"/>
    <w:rsid w:val="00082231"/>
    <w:rsid w:val="00092D38"/>
    <w:rsid w:val="0009377B"/>
    <w:rsid w:val="000A168D"/>
    <w:rsid w:val="000A20C9"/>
    <w:rsid w:val="000B058F"/>
    <w:rsid w:val="000B4467"/>
    <w:rsid w:val="000B4DB9"/>
    <w:rsid w:val="000B511A"/>
    <w:rsid w:val="000C09AC"/>
    <w:rsid w:val="000C767F"/>
    <w:rsid w:val="000D5A44"/>
    <w:rsid w:val="000E04A1"/>
    <w:rsid w:val="000E3ED2"/>
    <w:rsid w:val="00127B31"/>
    <w:rsid w:val="00131F42"/>
    <w:rsid w:val="001357F1"/>
    <w:rsid w:val="00136C79"/>
    <w:rsid w:val="00140FA8"/>
    <w:rsid w:val="00142FEB"/>
    <w:rsid w:val="00143A2D"/>
    <w:rsid w:val="00145A41"/>
    <w:rsid w:val="0015018B"/>
    <w:rsid w:val="00151675"/>
    <w:rsid w:val="00157435"/>
    <w:rsid w:val="0017504D"/>
    <w:rsid w:val="0017671A"/>
    <w:rsid w:val="00177422"/>
    <w:rsid w:val="00184590"/>
    <w:rsid w:val="001870D1"/>
    <w:rsid w:val="0018781E"/>
    <w:rsid w:val="0019262D"/>
    <w:rsid w:val="001A1B35"/>
    <w:rsid w:val="001A48A2"/>
    <w:rsid w:val="001A5625"/>
    <w:rsid w:val="001A5C99"/>
    <w:rsid w:val="001A6F61"/>
    <w:rsid w:val="001B72B8"/>
    <w:rsid w:val="001C0AB7"/>
    <w:rsid w:val="001C69B3"/>
    <w:rsid w:val="001D5595"/>
    <w:rsid w:val="001D7874"/>
    <w:rsid w:val="001D7F22"/>
    <w:rsid w:val="001E6C45"/>
    <w:rsid w:val="001F0F17"/>
    <w:rsid w:val="001F3347"/>
    <w:rsid w:val="001F69E4"/>
    <w:rsid w:val="002125B4"/>
    <w:rsid w:val="002155B8"/>
    <w:rsid w:val="00222427"/>
    <w:rsid w:val="00224839"/>
    <w:rsid w:val="002249B2"/>
    <w:rsid w:val="00226574"/>
    <w:rsid w:val="002278EC"/>
    <w:rsid w:val="0023280E"/>
    <w:rsid w:val="002377D1"/>
    <w:rsid w:val="002506BC"/>
    <w:rsid w:val="00254345"/>
    <w:rsid w:val="00264557"/>
    <w:rsid w:val="00266A2E"/>
    <w:rsid w:val="002805AB"/>
    <w:rsid w:val="00282DF6"/>
    <w:rsid w:val="00284204"/>
    <w:rsid w:val="00291773"/>
    <w:rsid w:val="002A168C"/>
    <w:rsid w:val="002A3DC7"/>
    <w:rsid w:val="002B3F7B"/>
    <w:rsid w:val="002B49E2"/>
    <w:rsid w:val="002B6117"/>
    <w:rsid w:val="002B7B00"/>
    <w:rsid w:val="002B7C44"/>
    <w:rsid w:val="002C0A90"/>
    <w:rsid w:val="002C2B17"/>
    <w:rsid w:val="002D2D71"/>
    <w:rsid w:val="002D3DD0"/>
    <w:rsid w:val="002E1F3A"/>
    <w:rsid w:val="002E298A"/>
    <w:rsid w:val="00301978"/>
    <w:rsid w:val="0030332C"/>
    <w:rsid w:val="003051C2"/>
    <w:rsid w:val="00312296"/>
    <w:rsid w:val="00314F0E"/>
    <w:rsid w:val="00321D8E"/>
    <w:rsid w:val="003234F1"/>
    <w:rsid w:val="00325928"/>
    <w:rsid w:val="00330529"/>
    <w:rsid w:val="00332863"/>
    <w:rsid w:val="00333B70"/>
    <w:rsid w:val="0033684D"/>
    <w:rsid w:val="00337B42"/>
    <w:rsid w:val="00341B42"/>
    <w:rsid w:val="0034348F"/>
    <w:rsid w:val="00356653"/>
    <w:rsid w:val="0035743F"/>
    <w:rsid w:val="00357BE2"/>
    <w:rsid w:val="0036170C"/>
    <w:rsid w:val="003624DE"/>
    <w:rsid w:val="00364915"/>
    <w:rsid w:val="00366E0F"/>
    <w:rsid w:val="00376D08"/>
    <w:rsid w:val="00381A72"/>
    <w:rsid w:val="00384676"/>
    <w:rsid w:val="00384D81"/>
    <w:rsid w:val="00386226"/>
    <w:rsid w:val="00390857"/>
    <w:rsid w:val="003A0E6A"/>
    <w:rsid w:val="003A4BF3"/>
    <w:rsid w:val="003B420D"/>
    <w:rsid w:val="003C6C16"/>
    <w:rsid w:val="003D10E2"/>
    <w:rsid w:val="003D794D"/>
    <w:rsid w:val="003E3058"/>
    <w:rsid w:val="003E76A9"/>
    <w:rsid w:val="003F010D"/>
    <w:rsid w:val="003F0809"/>
    <w:rsid w:val="003F6A8C"/>
    <w:rsid w:val="003F755C"/>
    <w:rsid w:val="004047AA"/>
    <w:rsid w:val="00406F01"/>
    <w:rsid w:val="00416D50"/>
    <w:rsid w:val="00416FD5"/>
    <w:rsid w:val="00417772"/>
    <w:rsid w:val="00420E6A"/>
    <w:rsid w:val="00425A9E"/>
    <w:rsid w:val="00426D6B"/>
    <w:rsid w:val="00431E6C"/>
    <w:rsid w:val="00433CE7"/>
    <w:rsid w:val="004522AB"/>
    <w:rsid w:val="00452738"/>
    <w:rsid w:val="00456091"/>
    <w:rsid w:val="0045613E"/>
    <w:rsid w:val="00466321"/>
    <w:rsid w:val="00484B9B"/>
    <w:rsid w:val="004855F6"/>
    <w:rsid w:val="0048661E"/>
    <w:rsid w:val="004913A4"/>
    <w:rsid w:val="00494670"/>
    <w:rsid w:val="004A3823"/>
    <w:rsid w:val="004A3A16"/>
    <w:rsid w:val="004D1739"/>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0F91"/>
    <w:rsid w:val="00542E07"/>
    <w:rsid w:val="00545424"/>
    <w:rsid w:val="00554A7B"/>
    <w:rsid w:val="005556D4"/>
    <w:rsid w:val="0055572C"/>
    <w:rsid w:val="00556776"/>
    <w:rsid w:val="0056106A"/>
    <w:rsid w:val="005664C7"/>
    <w:rsid w:val="005720AE"/>
    <w:rsid w:val="00592780"/>
    <w:rsid w:val="00594D77"/>
    <w:rsid w:val="005969E4"/>
    <w:rsid w:val="005A06B7"/>
    <w:rsid w:val="005A1759"/>
    <w:rsid w:val="005A68A7"/>
    <w:rsid w:val="005C0AA9"/>
    <w:rsid w:val="005D36AB"/>
    <w:rsid w:val="006032C4"/>
    <w:rsid w:val="00613211"/>
    <w:rsid w:val="0061553D"/>
    <w:rsid w:val="006162DA"/>
    <w:rsid w:val="00617CC3"/>
    <w:rsid w:val="00624FEA"/>
    <w:rsid w:val="006377A6"/>
    <w:rsid w:val="00637A3D"/>
    <w:rsid w:val="006411EF"/>
    <w:rsid w:val="00672225"/>
    <w:rsid w:val="006748B8"/>
    <w:rsid w:val="006775C3"/>
    <w:rsid w:val="0069290A"/>
    <w:rsid w:val="0069775A"/>
    <w:rsid w:val="00697813"/>
    <w:rsid w:val="006A3EE8"/>
    <w:rsid w:val="006A72BF"/>
    <w:rsid w:val="006A7EAC"/>
    <w:rsid w:val="006B03F2"/>
    <w:rsid w:val="006B0F6F"/>
    <w:rsid w:val="006B37DC"/>
    <w:rsid w:val="006B4F68"/>
    <w:rsid w:val="006C0592"/>
    <w:rsid w:val="006C272E"/>
    <w:rsid w:val="006C524B"/>
    <w:rsid w:val="006C5479"/>
    <w:rsid w:val="006D13B5"/>
    <w:rsid w:val="006E12FF"/>
    <w:rsid w:val="006E200D"/>
    <w:rsid w:val="006E2A21"/>
    <w:rsid w:val="006E607E"/>
    <w:rsid w:val="006F3A5B"/>
    <w:rsid w:val="006F43E3"/>
    <w:rsid w:val="00706C5D"/>
    <w:rsid w:val="00720242"/>
    <w:rsid w:val="00732922"/>
    <w:rsid w:val="0075162E"/>
    <w:rsid w:val="00754034"/>
    <w:rsid w:val="007551AA"/>
    <w:rsid w:val="00756556"/>
    <w:rsid w:val="007618C4"/>
    <w:rsid w:val="00767980"/>
    <w:rsid w:val="00770B19"/>
    <w:rsid w:val="0077463F"/>
    <w:rsid w:val="007836EA"/>
    <w:rsid w:val="00784CDA"/>
    <w:rsid w:val="007906C4"/>
    <w:rsid w:val="007940EA"/>
    <w:rsid w:val="007967E8"/>
    <w:rsid w:val="007A2170"/>
    <w:rsid w:val="007A22BF"/>
    <w:rsid w:val="007A3323"/>
    <w:rsid w:val="007B69C3"/>
    <w:rsid w:val="007B72B8"/>
    <w:rsid w:val="007B7A58"/>
    <w:rsid w:val="007C0B7C"/>
    <w:rsid w:val="007C1EC5"/>
    <w:rsid w:val="007C21B5"/>
    <w:rsid w:val="007D4DD1"/>
    <w:rsid w:val="007E4BD2"/>
    <w:rsid w:val="00801393"/>
    <w:rsid w:val="00802F88"/>
    <w:rsid w:val="0081293E"/>
    <w:rsid w:val="00815465"/>
    <w:rsid w:val="00817E9A"/>
    <w:rsid w:val="00825B06"/>
    <w:rsid w:val="008306BD"/>
    <w:rsid w:val="00831A80"/>
    <w:rsid w:val="00833743"/>
    <w:rsid w:val="008340A4"/>
    <w:rsid w:val="0084211F"/>
    <w:rsid w:val="0087135F"/>
    <w:rsid w:val="00872D94"/>
    <w:rsid w:val="00880364"/>
    <w:rsid w:val="0088619C"/>
    <w:rsid w:val="00891592"/>
    <w:rsid w:val="00891E9E"/>
    <w:rsid w:val="008A08D6"/>
    <w:rsid w:val="008A2F68"/>
    <w:rsid w:val="008B4FA6"/>
    <w:rsid w:val="008B5282"/>
    <w:rsid w:val="008B6F0F"/>
    <w:rsid w:val="008B7C17"/>
    <w:rsid w:val="008C2D01"/>
    <w:rsid w:val="008C40E6"/>
    <w:rsid w:val="008D0F7A"/>
    <w:rsid w:val="008D4105"/>
    <w:rsid w:val="008D68E4"/>
    <w:rsid w:val="008E0506"/>
    <w:rsid w:val="008E0CFF"/>
    <w:rsid w:val="008E5D6B"/>
    <w:rsid w:val="008E76F0"/>
    <w:rsid w:val="008F15FE"/>
    <w:rsid w:val="008F2D29"/>
    <w:rsid w:val="008F5187"/>
    <w:rsid w:val="008F60D8"/>
    <w:rsid w:val="00902727"/>
    <w:rsid w:val="0090312B"/>
    <w:rsid w:val="0091736D"/>
    <w:rsid w:val="0093037A"/>
    <w:rsid w:val="009375DF"/>
    <w:rsid w:val="0094154D"/>
    <w:rsid w:val="00950F0C"/>
    <w:rsid w:val="0095155F"/>
    <w:rsid w:val="00954429"/>
    <w:rsid w:val="009563CE"/>
    <w:rsid w:val="00976328"/>
    <w:rsid w:val="0097680D"/>
    <w:rsid w:val="00976C28"/>
    <w:rsid w:val="00982438"/>
    <w:rsid w:val="0098404C"/>
    <w:rsid w:val="00985283"/>
    <w:rsid w:val="00995992"/>
    <w:rsid w:val="009A03E5"/>
    <w:rsid w:val="009A0F3B"/>
    <w:rsid w:val="009A1BB4"/>
    <w:rsid w:val="009A2628"/>
    <w:rsid w:val="009A3200"/>
    <w:rsid w:val="009A64ED"/>
    <w:rsid w:val="009B0897"/>
    <w:rsid w:val="009B7BD9"/>
    <w:rsid w:val="009C7DD5"/>
    <w:rsid w:val="009E0578"/>
    <w:rsid w:val="009E227D"/>
    <w:rsid w:val="009E5019"/>
    <w:rsid w:val="00A04F1B"/>
    <w:rsid w:val="00A0501B"/>
    <w:rsid w:val="00A05686"/>
    <w:rsid w:val="00A14947"/>
    <w:rsid w:val="00A15B0B"/>
    <w:rsid w:val="00A210C9"/>
    <w:rsid w:val="00A30370"/>
    <w:rsid w:val="00A32A83"/>
    <w:rsid w:val="00A35626"/>
    <w:rsid w:val="00A368DB"/>
    <w:rsid w:val="00A423AA"/>
    <w:rsid w:val="00A52331"/>
    <w:rsid w:val="00A53EC6"/>
    <w:rsid w:val="00A55C0F"/>
    <w:rsid w:val="00A8713F"/>
    <w:rsid w:val="00A90BA1"/>
    <w:rsid w:val="00A96F30"/>
    <w:rsid w:val="00A97A9A"/>
    <w:rsid w:val="00AA0671"/>
    <w:rsid w:val="00AA2531"/>
    <w:rsid w:val="00AB1E09"/>
    <w:rsid w:val="00AB5330"/>
    <w:rsid w:val="00AB655F"/>
    <w:rsid w:val="00AB7747"/>
    <w:rsid w:val="00AC14CE"/>
    <w:rsid w:val="00AC2A56"/>
    <w:rsid w:val="00AC52ED"/>
    <w:rsid w:val="00AD055E"/>
    <w:rsid w:val="00AD47A7"/>
    <w:rsid w:val="00AD60F2"/>
    <w:rsid w:val="00AF0CBF"/>
    <w:rsid w:val="00AF257F"/>
    <w:rsid w:val="00AF33CF"/>
    <w:rsid w:val="00AF4D50"/>
    <w:rsid w:val="00AF6179"/>
    <w:rsid w:val="00B114FF"/>
    <w:rsid w:val="00B1295A"/>
    <w:rsid w:val="00B20A45"/>
    <w:rsid w:val="00B20B5B"/>
    <w:rsid w:val="00B22C5C"/>
    <w:rsid w:val="00B24F30"/>
    <w:rsid w:val="00B31ABF"/>
    <w:rsid w:val="00B32754"/>
    <w:rsid w:val="00B33BE3"/>
    <w:rsid w:val="00B37C8E"/>
    <w:rsid w:val="00B45AB5"/>
    <w:rsid w:val="00B53B5D"/>
    <w:rsid w:val="00B6055E"/>
    <w:rsid w:val="00B6317D"/>
    <w:rsid w:val="00B64816"/>
    <w:rsid w:val="00B7062F"/>
    <w:rsid w:val="00B76E24"/>
    <w:rsid w:val="00B7723F"/>
    <w:rsid w:val="00B80534"/>
    <w:rsid w:val="00B8433C"/>
    <w:rsid w:val="00B87491"/>
    <w:rsid w:val="00B90F28"/>
    <w:rsid w:val="00BA29E9"/>
    <w:rsid w:val="00BA2AC3"/>
    <w:rsid w:val="00BA7142"/>
    <w:rsid w:val="00BA7773"/>
    <w:rsid w:val="00BB237C"/>
    <w:rsid w:val="00BB41A3"/>
    <w:rsid w:val="00BC32DC"/>
    <w:rsid w:val="00BC35B6"/>
    <w:rsid w:val="00BD1B51"/>
    <w:rsid w:val="00BD4596"/>
    <w:rsid w:val="00BD7D79"/>
    <w:rsid w:val="00BE1405"/>
    <w:rsid w:val="00BE312D"/>
    <w:rsid w:val="00BE706A"/>
    <w:rsid w:val="00BE77F4"/>
    <w:rsid w:val="00BF1C20"/>
    <w:rsid w:val="00C10578"/>
    <w:rsid w:val="00C135BC"/>
    <w:rsid w:val="00C15C95"/>
    <w:rsid w:val="00C2596A"/>
    <w:rsid w:val="00C27537"/>
    <w:rsid w:val="00C328FE"/>
    <w:rsid w:val="00C33507"/>
    <w:rsid w:val="00C348BF"/>
    <w:rsid w:val="00C359A8"/>
    <w:rsid w:val="00C40A84"/>
    <w:rsid w:val="00C4409D"/>
    <w:rsid w:val="00C44E72"/>
    <w:rsid w:val="00C45A06"/>
    <w:rsid w:val="00C47E5B"/>
    <w:rsid w:val="00C50140"/>
    <w:rsid w:val="00C61E4B"/>
    <w:rsid w:val="00C64520"/>
    <w:rsid w:val="00C6453A"/>
    <w:rsid w:val="00C64BFF"/>
    <w:rsid w:val="00C704E9"/>
    <w:rsid w:val="00C763C9"/>
    <w:rsid w:val="00C80057"/>
    <w:rsid w:val="00C82232"/>
    <w:rsid w:val="00C82913"/>
    <w:rsid w:val="00C866DC"/>
    <w:rsid w:val="00C972B1"/>
    <w:rsid w:val="00CA1B83"/>
    <w:rsid w:val="00CA2CCE"/>
    <w:rsid w:val="00CA42D6"/>
    <w:rsid w:val="00CA43FD"/>
    <w:rsid w:val="00CA5B89"/>
    <w:rsid w:val="00CA7EF8"/>
    <w:rsid w:val="00CC04F9"/>
    <w:rsid w:val="00CC489B"/>
    <w:rsid w:val="00CD22DB"/>
    <w:rsid w:val="00CD2BCD"/>
    <w:rsid w:val="00CD3A4C"/>
    <w:rsid w:val="00CE10E9"/>
    <w:rsid w:val="00CE2910"/>
    <w:rsid w:val="00CE5393"/>
    <w:rsid w:val="00CF36BE"/>
    <w:rsid w:val="00CF6000"/>
    <w:rsid w:val="00D003F3"/>
    <w:rsid w:val="00D0364F"/>
    <w:rsid w:val="00D06834"/>
    <w:rsid w:val="00D308ED"/>
    <w:rsid w:val="00D33383"/>
    <w:rsid w:val="00D36D86"/>
    <w:rsid w:val="00D428AA"/>
    <w:rsid w:val="00D50A34"/>
    <w:rsid w:val="00D50C03"/>
    <w:rsid w:val="00D53EFA"/>
    <w:rsid w:val="00D57BBE"/>
    <w:rsid w:val="00D91A25"/>
    <w:rsid w:val="00D94851"/>
    <w:rsid w:val="00D94A7C"/>
    <w:rsid w:val="00D95896"/>
    <w:rsid w:val="00DA2540"/>
    <w:rsid w:val="00DB2983"/>
    <w:rsid w:val="00DC1257"/>
    <w:rsid w:val="00DC2B9C"/>
    <w:rsid w:val="00DC3DC0"/>
    <w:rsid w:val="00DC5B2B"/>
    <w:rsid w:val="00DD114C"/>
    <w:rsid w:val="00DD318D"/>
    <w:rsid w:val="00DD5CD6"/>
    <w:rsid w:val="00DE5251"/>
    <w:rsid w:val="00DF2E12"/>
    <w:rsid w:val="00DF514A"/>
    <w:rsid w:val="00DF6690"/>
    <w:rsid w:val="00DF6804"/>
    <w:rsid w:val="00DF7B00"/>
    <w:rsid w:val="00E0358D"/>
    <w:rsid w:val="00E04323"/>
    <w:rsid w:val="00E070A2"/>
    <w:rsid w:val="00E2656A"/>
    <w:rsid w:val="00E412D0"/>
    <w:rsid w:val="00E46375"/>
    <w:rsid w:val="00E52616"/>
    <w:rsid w:val="00E56322"/>
    <w:rsid w:val="00E60982"/>
    <w:rsid w:val="00E62C62"/>
    <w:rsid w:val="00E654C1"/>
    <w:rsid w:val="00E65D97"/>
    <w:rsid w:val="00E72A5A"/>
    <w:rsid w:val="00E73354"/>
    <w:rsid w:val="00E81F29"/>
    <w:rsid w:val="00E9242D"/>
    <w:rsid w:val="00EB2386"/>
    <w:rsid w:val="00EB5255"/>
    <w:rsid w:val="00EB5C47"/>
    <w:rsid w:val="00EC2BF3"/>
    <w:rsid w:val="00ED0639"/>
    <w:rsid w:val="00EE2378"/>
    <w:rsid w:val="00EF4755"/>
    <w:rsid w:val="00EF7135"/>
    <w:rsid w:val="00F027DB"/>
    <w:rsid w:val="00F14A7A"/>
    <w:rsid w:val="00F21CE0"/>
    <w:rsid w:val="00F22985"/>
    <w:rsid w:val="00F3383E"/>
    <w:rsid w:val="00F465A7"/>
    <w:rsid w:val="00F50B7C"/>
    <w:rsid w:val="00F550E6"/>
    <w:rsid w:val="00F74345"/>
    <w:rsid w:val="00F80A0A"/>
    <w:rsid w:val="00F82B19"/>
    <w:rsid w:val="00F9212D"/>
    <w:rsid w:val="00F965DA"/>
    <w:rsid w:val="00FA406A"/>
    <w:rsid w:val="00FB2F35"/>
    <w:rsid w:val="00FB503A"/>
    <w:rsid w:val="00FB516C"/>
    <w:rsid w:val="00FD0236"/>
    <w:rsid w:val="00FD18F4"/>
    <w:rsid w:val="00FD54DB"/>
    <w:rsid w:val="00FD619F"/>
    <w:rsid w:val="00FE1F37"/>
    <w:rsid w:val="01245820"/>
    <w:rsid w:val="0124735F"/>
    <w:rsid w:val="01290F7E"/>
    <w:rsid w:val="013B6FE3"/>
    <w:rsid w:val="015D1E09"/>
    <w:rsid w:val="01A57819"/>
    <w:rsid w:val="01B64F75"/>
    <w:rsid w:val="01B97CC1"/>
    <w:rsid w:val="01BE07EC"/>
    <w:rsid w:val="01F52625"/>
    <w:rsid w:val="020620A5"/>
    <w:rsid w:val="021B2B71"/>
    <w:rsid w:val="02211298"/>
    <w:rsid w:val="02472C8D"/>
    <w:rsid w:val="02697173"/>
    <w:rsid w:val="02697903"/>
    <w:rsid w:val="02C43B26"/>
    <w:rsid w:val="02CC09AA"/>
    <w:rsid w:val="02D559E8"/>
    <w:rsid w:val="02D71110"/>
    <w:rsid w:val="02F23886"/>
    <w:rsid w:val="02F96569"/>
    <w:rsid w:val="035916FD"/>
    <w:rsid w:val="037621EB"/>
    <w:rsid w:val="037E3391"/>
    <w:rsid w:val="039364D3"/>
    <w:rsid w:val="039765CA"/>
    <w:rsid w:val="03976E4C"/>
    <w:rsid w:val="03A103F3"/>
    <w:rsid w:val="03A6050D"/>
    <w:rsid w:val="03B6062C"/>
    <w:rsid w:val="03C508DD"/>
    <w:rsid w:val="03DF5956"/>
    <w:rsid w:val="03EA7B21"/>
    <w:rsid w:val="03FE2673"/>
    <w:rsid w:val="040C4619"/>
    <w:rsid w:val="046256A1"/>
    <w:rsid w:val="046B5A3A"/>
    <w:rsid w:val="048A5670"/>
    <w:rsid w:val="04955554"/>
    <w:rsid w:val="049B6C18"/>
    <w:rsid w:val="051F6540"/>
    <w:rsid w:val="052B66D7"/>
    <w:rsid w:val="052D0021"/>
    <w:rsid w:val="05613A10"/>
    <w:rsid w:val="056B315A"/>
    <w:rsid w:val="05787B3E"/>
    <w:rsid w:val="05A47E48"/>
    <w:rsid w:val="05AB19FE"/>
    <w:rsid w:val="05AC4A5F"/>
    <w:rsid w:val="05BB6731"/>
    <w:rsid w:val="05DD030E"/>
    <w:rsid w:val="05EA1E95"/>
    <w:rsid w:val="05F83EAE"/>
    <w:rsid w:val="05F841D4"/>
    <w:rsid w:val="05FC340C"/>
    <w:rsid w:val="06282A7B"/>
    <w:rsid w:val="063E7D85"/>
    <w:rsid w:val="068F76EB"/>
    <w:rsid w:val="06925915"/>
    <w:rsid w:val="069937A3"/>
    <w:rsid w:val="06B51F6B"/>
    <w:rsid w:val="06BA3ED7"/>
    <w:rsid w:val="06D73F5B"/>
    <w:rsid w:val="06F75B63"/>
    <w:rsid w:val="06F93849"/>
    <w:rsid w:val="070F7934"/>
    <w:rsid w:val="071B4823"/>
    <w:rsid w:val="07236CC2"/>
    <w:rsid w:val="07293586"/>
    <w:rsid w:val="07295285"/>
    <w:rsid w:val="07336AF3"/>
    <w:rsid w:val="07587AF5"/>
    <w:rsid w:val="07636392"/>
    <w:rsid w:val="076932D4"/>
    <w:rsid w:val="07770C56"/>
    <w:rsid w:val="07DB75E3"/>
    <w:rsid w:val="07DD6BCF"/>
    <w:rsid w:val="07DF07C5"/>
    <w:rsid w:val="07E268BA"/>
    <w:rsid w:val="07E701E4"/>
    <w:rsid w:val="080F1CEF"/>
    <w:rsid w:val="08126B94"/>
    <w:rsid w:val="0863069D"/>
    <w:rsid w:val="08971ECB"/>
    <w:rsid w:val="08AC22F4"/>
    <w:rsid w:val="08EE0EA4"/>
    <w:rsid w:val="08FA79D8"/>
    <w:rsid w:val="092217DD"/>
    <w:rsid w:val="09257CAA"/>
    <w:rsid w:val="093A7294"/>
    <w:rsid w:val="09587508"/>
    <w:rsid w:val="095B14F9"/>
    <w:rsid w:val="095B3CB5"/>
    <w:rsid w:val="09606AB8"/>
    <w:rsid w:val="09660E3C"/>
    <w:rsid w:val="09700BB7"/>
    <w:rsid w:val="09994998"/>
    <w:rsid w:val="09A53B17"/>
    <w:rsid w:val="09B5512D"/>
    <w:rsid w:val="09B90DE1"/>
    <w:rsid w:val="09BC042F"/>
    <w:rsid w:val="0A183D92"/>
    <w:rsid w:val="0A263993"/>
    <w:rsid w:val="0A2B5B4B"/>
    <w:rsid w:val="0A2D3AC2"/>
    <w:rsid w:val="0A5D4F32"/>
    <w:rsid w:val="0A794063"/>
    <w:rsid w:val="0AA755DF"/>
    <w:rsid w:val="0AAB7D62"/>
    <w:rsid w:val="0AAC16D8"/>
    <w:rsid w:val="0AB155A1"/>
    <w:rsid w:val="0AF01DAA"/>
    <w:rsid w:val="0AFD7277"/>
    <w:rsid w:val="0B02784B"/>
    <w:rsid w:val="0B120D44"/>
    <w:rsid w:val="0B6A7B06"/>
    <w:rsid w:val="0BA9196C"/>
    <w:rsid w:val="0BAD5CBE"/>
    <w:rsid w:val="0BD27BF6"/>
    <w:rsid w:val="0BD3096C"/>
    <w:rsid w:val="0BDA237C"/>
    <w:rsid w:val="0BDC31C7"/>
    <w:rsid w:val="0C021726"/>
    <w:rsid w:val="0C3B3C7D"/>
    <w:rsid w:val="0C50647C"/>
    <w:rsid w:val="0C6D7396"/>
    <w:rsid w:val="0C730594"/>
    <w:rsid w:val="0C9B4CD3"/>
    <w:rsid w:val="0C9B6146"/>
    <w:rsid w:val="0CAB2EAE"/>
    <w:rsid w:val="0CB04CDC"/>
    <w:rsid w:val="0CEF5689"/>
    <w:rsid w:val="0D621C7D"/>
    <w:rsid w:val="0D760770"/>
    <w:rsid w:val="0D803996"/>
    <w:rsid w:val="0DBC5EC0"/>
    <w:rsid w:val="0DCE1F63"/>
    <w:rsid w:val="0E0A1B1A"/>
    <w:rsid w:val="0E4624EB"/>
    <w:rsid w:val="0E636E3A"/>
    <w:rsid w:val="0E73034D"/>
    <w:rsid w:val="0E7C4189"/>
    <w:rsid w:val="0EB16245"/>
    <w:rsid w:val="0EB33938"/>
    <w:rsid w:val="0EC87E8E"/>
    <w:rsid w:val="0EEC3786"/>
    <w:rsid w:val="0EF021A6"/>
    <w:rsid w:val="0F0A3043"/>
    <w:rsid w:val="0F13775A"/>
    <w:rsid w:val="0F1E28A7"/>
    <w:rsid w:val="0F385144"/>
    <w:rsid w:val="0F5A23DC"/>
    <w:rsid w:val="0F5B4403"/>
    <w:rsid w:val="0F5F45FE"/>
    <w:rsid w:val="0F6D3ED6"/>
    <w:rsid w:val="0F725A50"/>
    <w:rsid w:val="0F9A112B"/>
    <w:rsid w:val="0FCE08C0"/>
    <w:rsid w:val="0FD71441"/>
    <w:rsid w:val="0FF578E2"/>
    <w:rsid w:val="100E2F32"/>
    <w:rsid w:val="10380ADD"/>
    <w:rsid w:val="10647FA4"/>
    <w:rsid w:val="106D2F64"/>
    <w:rsid w:val="10B63710"/>
    <w:rsid w:val="10C01BF6"/>
    <w:rsid w:val="10CC5EE4"/>
    <w:rsid w:val="10EE4D05"/>
    <w:rsid w:val="10F10820"/>
    <w:rsid w:val="10FA4E5F"/>
    <w:rsid w:val="11113305"/>
    <w:rsid w:val="111C2F7A"/>
    <w:rsid w:val="11207F84"/>
    <w:rsid w:val="11240289"/>
    <w:rsid w:val="115B7872"/>
    <w:rsid w:val="11665CA1"/>
    <w:rsid w:val="11EF0172"/>
    <w:rsid w:val="12051B32"/>
    <w:rsid w:val="12276B02"/>
    <w:rsid w:val="12422894"/>
    <w:rsid w:val="12446724"/>
    <w:rsid w:val="1267520A"/>
    <w:rsid w:val="129B5346"/>
    <w:rsid w:val="12C809C5"/>
    <w:rsid w:val="12D35C91"/>
    <w:rsid w:val="12F3330B"/>
    <w:rsid w:val="13400E81"/>
    <w:rsid w:val="13560AD9"/>
    <w:rsid w:val="135D2F98"/>
    <w:rsid w:val="13933E9E"/>
    <w:rsid w:val="13951726"/>
    <w:rsid w:val="13BE665C"/>
    <w:rsid w:val="13F94CC8"/>
    <w:rsid w:val="141F050A"/>
    <w:rsid w:val="14302FE9"/>
    <w:rsid w:val="14396509"/>
    <w:rsid w:val="14405EDB"/>
    <w:rsid w:val="1479651B"/>
    <w:rsid w:val="14C62672"/>
    <w:rsid w:val="14DD2C3C"/>
    <w:rsid w:val="15105BE3"/>
    <w:rsid w:val="157F43D7"/>
    <w:rsid w:val="15891F67"/>
    <w:rsid w:val="15A95C65"/>
    <w:rsid w:val="15C636D4"/>
    <w:rsid w:val="15CA232E"/>
    <w:rsid w:val="15E474D4"/>
    <w:rsid w:val="16087E1D"/>
    <w:rsid w:val="16403D0D"/>
    <w:rsid w:val="166A3DC1"/>
    <w:rsid w:val="168C127E"/>
    <w:rsid w:val="168F208C"/>
    <w:rsid w:val="16911A71"/>
    <w:rsid w:val="169400C7"/>
    <w:rsid w:val="169F3D04"/>
    <w:rsid w:val="16D259D1"/>
    <w:rsid w:val="16DB31BB"/>
    <w:rsid w:val="16E60B80"/>
    <w:rsid w:val="170548EF"/>
    <w:rsid w:val="171B558E"/>
    <w:rsid w:val="17201A42"/>
    <w:rsid w:val="17367EE8"/>
    <w:rsid w:val="17386342"/>
    <w:rsid w:val="174463A5"/>
    <w:rsid w:val="17701D14"/>
    <w:rsid w:val="17735226"/>
    <w:rsid w:val="1782278B"/>
    <w:rsid w:val="179E10CD"/>
    <w:rsid w:val="17A01E70"/>
    <w:rsid w:val="17AB3CC3"/>
    <w:rsid w:val="185C23DD"/>
    <w:rsid w:val="18912916"/>
    <w:rsid w:val="189F624C"/>
    <w:rsid w:val="18C20BCB"/>
    <w:rsid w:val="18DF5470"/>
    <w:rsid w:val="1906204F"/>
    <w:rsid w:val="19152C0C"/>
    <w:rsid w:val="193E1D1E"/>
    <w:rsid w:val="19403057"/>
    <w:rsid w:val="195347F5"/>
    <w:rsid w:val="198673A2"/>
    <w:rsid w:val="19D21371"/>
    <w:rsid w:val="19D71EA9"/>
    <w:rsid w:val="19D7481E"/>
    <w:rsid w:val="19F367D3"/>
    <w:rsid w:val="19FA306B"/>
    <w:rsid w:val="1A177539"/>
    <w:rsid w:val="1A1C66C0"/>
    <w:rsid w:val="1A1F2283"/>
    <w:rsid w:val="1A42393B"/>
    <w:rsid w:val="1A4D5EE0"/>
    <w:rsid w:val="1A530D87"/>
    <w:rsid w:val="1A5A2F04"/>
    <w:rsid w:val="1AA34363"/>
    <w:rsid w:val="1AA77AAB"/>
    <w:rsid w:val="1AAD45DE"/>
    <w:rsid w:val="1AD44E00"/>
    <w:rsid w:val="1ADC5CFE"/>
    <w:rsid w:val="1AE737BB"/>
    <w:rsid w:val="1B046F80"/>
    <w:rsid w:val="1B1E1AD6"/>
    <w:rsid w:val="1B3267B5"/>
    <w:rsid w:val="1B3D1D08"/>
    <w:rsid w:val="1B40161D"/>
    <w:rsid w:val="1B441859"/>
    <w:rsid w:val="1B5D3B36"/>
    <w:rsid w:val="1B6606B1"/>
    <w:rsid w:val="1B6A300F"/>
    <w:rsid w:val="1B761665"/>
    <w:rsid w:val="1BC56DD0"/>
    <w:rsid w:val="1BD12F83"/>
    <w:rsid w:val="1BF35282"/>
    <w:rsid w:val="1C321C7C"/>
    <w:rsid w:val="1C5660DE"/>
    <w:rsid w:val="1C5E7925"/>
    <w:rsid w:val="1C626AD0"/>
    <w:rsid w:val="1C69637E"/>
    <w:rsid w:val="1C6B1DFE"/>
    <w:rsid w:val="1CA268DF"/>
    <w:rsid w:val="1CFD070F"/>
    <w:rsid w:val="1D3F1BB7"/>
    <w:rsid w:val="1D3F6599"/>
    <w:rsid w:val="1D5E0A3D"/>
    <w:rsid w:val="1D5F6196"/>
    <w:rsid w:val="1D611380"/>
    <w:rsid w:val="1D6132A5"/>
    <w:rsid w:val="1D754380"/>
    <w:rsid w:val="1D892EE3"/>
    <w:rsid w:val="1D8A65AB"/>
    <w:rsid w:val="1D8E56D5"/>
    <w:rsid w:val="1E0F522A"/>
    <w:rsid w:val="1E2531E2"/>
    <w:rsid w:val="1E3320AE"/>
    <w:rsid w:val="1E37568C"/>
    <w:rsid w:val="1E427763"/>
    <w:rsid w:val="1E430958"/>
    <w:rsid w:val="1E4F41A3"/>
    <w:rsid w:val="1E571099"/>
    <w:rsid w:val="1E7A43DA"/>
    <w:rsid w:val="1E8F58E1"/>
    <w:rsid w:val="1EA04837"/>
    <w:rsid w:val="1F5A4DB2"/>
    <w:rsid w:val="1F677E84"/>
    <w:rsid w:val="1F7A7662"/>
    <w:rsid w:val="1F8E536C"/>
    <w:rsid w:val="1F9C2DD2"/>
    <w:rsid w:val="1FA90A79"/>
    <w:rsid w:val="1FE7539E"/>
    <w:rsid w:val="20016FBD"/>
    <w:rsid w:val="201D25F8"/>
    <w:rsid w:val="20283FC1"/>
    <w:rsid w:val="20666C96"/>
    <w:rsid w:val="20671BE0"/>
    <w:rsid w:val="208E5915"/>
    <w:rsid w:val="20963CB8"/>
    <w:rsid w:val="20A81A1B"/>
    <w:rsid w:val="20B07FB6"/>
    <w:rsid w:val="20B646FB"/>
    <w:rsid w:val="20BA7648"/>
    <w:rsid w:val="20C43A61"/>
    <w:rsid w:val="20F06F99"/>
    <w:rsid w:val="21277136"/>
    <w:rsid w:val="213B74B1"/>
    <w:rsid w:val="215A2310"/>
    <w:rsid w:val="215C0CE5"/>
    <w:rsid w:val="216C6B65"/>
    <w:rsid w:val="2174081D"/>
    <w:rsid w:val="21847913"/>
    <w:rsid w:val="21973F77"/>
    <w:rsid w:val="21BC51D5"/>
    <w:rsid w:val="21C141AA"/>
    <w:rsid w:val="21D10DB2"/>
    <w:rsid w:val="21DE318A"/>
    <w:rsid w:val="21EF5B80"/>
    <w:rsid w:val="21FF2FFB"/>
    <w:rsid w:val="2217260A"/>
    <w:rsid w:val="22576990"/>
    <w:rsid w:val="229662EA"/>
    <w:rsid w:val="22B73BDE"/>
    <w:rsid w:val="22CC7F31"/>
    <w:rsid w:val="22F47480"/>
    <w:rsid w:val="22FA7779"/>
    <w:rsid w:val="23213086"/>
    <w:rsid w:val="239509AA"/>
    <w:rsid w:val="239F1A46"/>
    <w:rsid w:val="23B1073F"/>
    <w:rsid w:val="23D8630C"/>
    <w:rsid w:val="23DE1C48"/>
    <w:rsid w:val="23E4781C"/>
    <w:rsid w:val="23E9505C"/>
    <w:rsid w:val="23EB79E2"/>
    <w:rsid w:val="240210CD"/>
    <w:rsid w:val="240D536E"/>
    <w:rsid w:val="243E580E"/>
    <w:rsid w:val="24473611"/>
    <w:rsid w:val="24915FCA"/>
    <w:rsid w:val="249E0846"/>
    <w:rsid w:val="24B9321D"/>
    <w:rsid w:val="24BF09F7"/>
    <w:rsid w:val="24CB7E07"/>
    <w:rsid w:val="252D53FE"/>
    <w:rsid w:val="253D1CE5"/>
    <w:rsid w:val="25437696"/>
    <w:rsid w:val="254D6E4E"/>
    <w:rsid w:val="2555265E"/>
    <w:rsid w:val="256612EA"/>
    <w:rsid w:val="256C36C2"/>
    <w:rsid w:val="25721AB6"/>
    <w:rsid w:val="258914B8"/>
    <w:rsid w:val="25952C80"/>
    <w:rsid w:val="25C16591"/>
    <w:rsid w:val="25D84526"/>
    <w:rsid w:val="25D853D0"/>
    <w:rsid w:val="25E73D48"/>
    <w:rsid w:val="25EC2D81"/>
    <w:rsid w:val="25FA7C38"/>
    <w:rsid w:val="25FF3078"/>
    <w:rsid w:val="26050615"/>
    <w:rsid w:val="261001D9"/>
    <w:rsid w:val="264A5ECC"/>
    <w:rsid w:val="2653341A"/>
    <w:rsid w:val="267373B2"/>
    <w:rsid w:val="26C718E1"/>
    <w:rsid w:val="26CC6B0D"/>
    <w:rsid w:val="26D04E64"/>
    <w:rsid w:val="26D96204"/>
    <w:rsid w:val="270F0928"/>
    <w:rsid w:val="27192F61"/>
    <w:rsid w:val="275E5B83"/>
    <w:rsid w:val="275E654C"/>
    <w:rsid w:val="277057A2"/>
    <w:rsid w:val="277A3234"/>
    <w:rsid w:val="279A642A"/>
    <w:rsid w:val="279E2CD7"/>
    <w:rsid w:val="27A17296"/>
    <w:rsid w:val="27DA4987"/>
    <w:rsid w:val="27DB7F09"/>
    <w:rsid w:val="28724D4D"/>
    <w:rsid w:val="28A3039B"/>
    <w:rsid w:val="28C03D59"/>
    <w:rsid w:val="28CB4F8E"/>
    <w:rsid w:val="28E160D6"/>
    <w:rsid w:val="28F04EB0"/>
    <w:rsid w:val="28FC5C60"/>
    <w:rsid w:val="290947E1"/>
    <w:rsid w:val="29206EB8"/>
    <w:rsid w:val="293D7C1E"/>
    <w:rsid w:val="29491E08"/>
    <w:rsid w:val="294B71E7"/>
    <w:rsid w:val="29595666"/>
    <w:rsid w:val="295B3521"/>
    <w:rsid w:val="295F5373"/>
    <w:rsid w:val="29874881"/>
    <w:rsid w:val="29A27A35"/>
    <w:rsid w:val="29AB440C"/>
    <w:rsid w:val="29E325E0"/>
    <w:rsid w:val="29E4572B"/>
    <w:rsid w:val="29EC6825"/>
    <w:rsid w:val="29F80C48"/>
    <w:rsid w:val="2A1C29F6"/>
    <w:rsid w:val="2A1E333B"/>
    <w:rsid w:val="2A2111FF"/>
    <w:rsid w:val="2A2D458A"/>
    <w:rsid w:val="2A452503"/>
    <w:rsid w:val="2A4C7637"/>
    <w:rsid w:val="2A8A745B"/>
    <w:rsid w:val="2A942FB6"/>
    <w:rsid w:val="2A9A40AE"/>
    <w:rsid w:val="2AAD24DE"/>
    <w:rsid w:val="2AB76B0C"/>
    <w:rsid w:val="2AE17FDE"/>
    <w:rsid w:val="2AFA3CA3"/>
    <w:rsid w:val="2B721BDD"/>
    <w:rsid w:val="2B9920E3"/>
    <w:rsid w:val="2BA936A8"/>
    <w:rsid w:val="2BC30369"/>
    <w:rsid w:val="2C0B34B0"/>
    <w:rsid w:val="2C315A5A"/>
    <w:rsid w:val="2C40436C"/>
    <w:rsid w:val="2C4B1C25"/>
    <w:rsid w:val="2C6D0059"/>
    <w:rsid w:val="2C85737E"/>
    <w:rsid w:val="2CAB4B09"/>
    <w:rsid w:val="2CD30950"/>
    <w:rsid w:val="2CD723FE"/>
    <w:rsid w:val="2D1669E8"/>
    <w:rsid w:val="2D9E56F5"/>
    <w:rsid w:val="2DC65E2A"/>
    <w:rsid w:val="2DCA2C72"/>
    <w:rsid w:val="2DE666D4"/>
    <w:rsid w:val="2DEF72E4"/>
    <w:rsid w:val="2E232336"/>
    <w:rsid w:val="2E2E72B2"/>
    <w:rsid w:val="2E667F96"/>
    <w:rsid w:val="2E6C419D"/>
    <w:rsid w:val="2E716E9F"/>
    <w:rsid w:val="2E8226AB"/>
    <w:rsid w:val="2E8E6F7B"/>
    <w:rsid w:val="2E8F72E3"/>
    <w:rsid w:val="2E9821AD"/>
    <w:rsid w:val="2EAC6004"/>
    <w:rsid w:val="2EC479D2"/>
    <w:rsid w:val="2F0568F3"/>
    <w:rsid w:val="2F1A219A"/>
    <w:rsid w:val="2F2D0BD0"/>
    <w:rsid w:val="2F382528"/>
    <w:rsid w:val="2F721949"/>
    <w:rsid w:val="2F7B1D7E"/>
    <w:rsid w:val="2FA04364"/>
    <w:rsid w:val="2FB14A33"/>
    <w:rsid w:val="2FBB4906"/>
    <w:rsid w:val="2FD065E6"/>
    <w:rsid w:val="2FD96870"/>
    <w:rsid w:val="2FEC2CD3"/>
    <w:rsid w:val="302F5CC6"/>
    <w:rsid w:val="30346CC3"/>
    <w:rsid w:val="304244B3"/>
    <w:rsid w:val="30515FFE"/>
    <w:rsid w:val="30520E0D"/>
    <w:rsid w:val="30580BC9"/>
    <w:rsid w:val="30A25F0E"/>
    <w:rsid w:val="30AF4EE2"/>
    <w:rsid w:val="30CE3163"/>
    <w:rsid w:val="30D47DFE"/>
    <w:rsid w:val="30DB4DB8"/>
    <w:rsid w:val="30E8734A"/>
    <w:rsid w:val="30ED5F42"/>
    <w:rsid w:val="311E2ED7"/>
    <w:rsid w:val="31506E30"/>
    <w:rsid w:val="31551ECE"/>
    <w:rsid w:val="315619EE"/>
    <w:rsid w:val="315C449C"/>
    <w:rsid w:val="3194289D"/>
    <w:rsid w:val="31A01217"/>
    <w:rsid w:val="31A850A5"/>
    <w:rsid w:val="31B82709"/>
    <w:rsid w:val="31D05482"/>
    <w:rsid w:val="31D4793E"/>
    <w:rsid w:val="31D8664E"/>
    <w:rsid w:val="31F47FFC"/>
    <w:rsid w:val="3211647D"/>
    <w:rsid w:val="3222395D"/>
    <w:rsid w:val="32314D8B"/>
    <w:rsid w:val="32400B34"/>
    <w:rsid w:val="32726C15"/>
    <w:rsid w:val="32756EAC"/>
    <w:rsid w:val="329E6876"/>
    <w:rsid w:val="32A80688"/>
    <w:rsid w:val="32EE3827"/>
    <w:rsid w:val="330E572E"/>
    <w:rsid w:val="331B7260"/>
    <w:rsid w:val="33202BF6"/>
    <w:rsid w:val="332643FB"/>
    <w:rsid w:val="333015F2"/>
    <w:rsid w:val="33406DAB"/>
    <w:rsid w:val="33457009"/>
    <w:rsid w:val="334B6320"/>
    <w:rsid w:val="335B558A"/>
    <w:rsid w:val="33707536"/>
    <w:rsid w:val="337D7B87"/>
    <w:rsid w:val="338872BC"/>
    <w:rsid w:val="339D1CEF"/>
    <w:rsid w:val="33D934D4"/>
    <w:rsid w:val="33E82FC0"/>
    <w:rsid w:val="33F12782"/>
    <w:rsid w:val="33F76AEF"/>
    <w:rsid w:val="33FE2F6A"/>
    <w:rsid w:val="340048BE"/>
    <w:rsid w:val="340E07E5"/>
    <w:rsid w:val="340F4D3C"/>
    <w:rsid w:val="34177DBB"/>
    <w:rsid w:val="341A02CD"/>
    <w:rsid w:val="341C13EC"/>
    <w:rsid w:val="341F027C"/>
    <w:rsid w:val="34235BF7"/>
    <w:rsid w:val="3429066C"/>
    <w:rsid w:val="344F186B"/>
    <w:rsid w:val="3457226A"/>
    <w:rsid w:val="346A7183"/>
    <w:rsid w:val="346B3893"/>
    <w:rsid w:val="34757EB3"/>
    <w:rsid w:val="34AE59F2"/>
    <w:rsid w:val="34C12538"/>
    <w:rsid w:val="34D11C52"/>
    <w:rsid w:val="34D20F62"/>
    <w:rsid w:val="351216E7"/>
    <w:rsid w:val="352073D1"/>
    <w:rsid w:val="35362BA1"/>
    <w:rsid w:val="358C5FA8"/>
    <w:rsid w:val="358E358F"/>
    <w:rsid w:val="3590728A"/>
    <w:rsid w:val="35B93DB9"/>
    <w:rsid w:val="35C15DF1"/>
    <w:rsid w:val="35CB226D"/>
    <w:rsid w:val="35D06206"/>
    <w:rsid w:val="36074A7F"/>
    <w:rsid w:val="36153780"/>
    <w:rsid w:val="361A5473"/>
    <w:rsid w:val="36703ED5"/>
    <w:rsid w:val="367457DF"/>
    <w:rsid w:val="36923549"/>
    <w:rsid w:val="36AB1B13"/>
    <w:rsid w:val="36AB3EA1"/>
    <w:rsid w:val="36B32D41"/>
    <w:rsid w:val="36B75FBF"/>
    <w:rsid w:val="36BD0C45"/>
    <w:rsid w:val="36E51BDB"/>
    <w:rsid w:val="36E77119"/>
    <w:rsid w:val="36F75D93"/>
    <w:rsid w:val="36FF2131"/>
    <w:rsid w:val="370C4677"/>
    <w:rsid w:val="372F2693"/>
    <w:rsid w:val="37517E6F"/>
    <w:rsid w:val="377B7886"/>
    <w:rsid w:val="3785293B"/>
    <w:rsid w:val="37DA540E"/>
    <w:rsid w:val="37E00298"/>
    <w:rsid w:val="37E11891"/>
    <w:rsid w:val="37E43319"/>
    <w:rsid w:val="382D16F4"/>
    <w:rsid w:val="385D0CD0"/>
    <w:rsid w:val="38720CF2"/>
    <w:rsid w:val="388E3078"/>
    <w:rsid w:val="38953F6F"/>
    <w:rsid w:val="38B302F9"/>
    <w:rsid w:val="38B60EDE"/>
    <w:rsid w:val="38D344B8"/>
    <w:rsid w:val="38D74B44"/>
    <w:rsid w:val="38F12CD3"/>
    <w:rsid w:val="38F94775"/>
    <w:rsid w:val="39037210"/>
    <w:rsid w:val="392971ED"/>
    <w:rsid w:val="39325651"/>
    <w:rsid w:val="39464E29"/>
    <w:rsid w:val="398355DF"/>
    <w:rsid w:val="39A62050"/>
    <w:rsid w:val="39A97D66"/>
    <w:rsid w:val="39BA6517"/>
    <w:rsid w:val="39C6058E"/>
    <w:rsid w:val="39D05E69"/>
    <w:rsid w:val="39D11F3B"/>
    <w:rsid w:val="3A0B1DF3"/>
    <w:rsid w:val="3A3F67A7"/>
    <w:rsid w:val="3A512D5B"/>
    <w:rsid w:val="3A740C9F"/>
    <w:rsid w:val="3A872856"/>
    <w:rsid w:val="3A933BC1"/>
    <w:rsid w:val="3AD47E3F"/>
    <w:rsid w:val="3AD578BE"/>
    <w:rsid w:val="3B3763D1"/>
    <w:rsid w:val="3B89782D"/>
    <w:rsid w:val="3B916194"/>
    <w:rsid w:val="3BC40631"/>
    <w:rsid w:val="3BE26846"/>
    <w:rsid w:val="3C15539D"/>
    <w:rsid w:val="3C2A7D26"/>
    <w:rsid w:val="3C2F6E1E"/>
    <w:rsid w:val="3C4333FA"/>
    <w:rsid w:val="3C4F64BA"/>
    <w:rsid w:val="3C575941"/>
    <w:rsid w:val="3C680D06"/>
    <w:rsid w:val="3C747AE7"/>
    <w:rsid w:val="3CB01A94"/>
    <w:rsid w:val="3CCB72ED"/>
    <w:rsid w:val="3CCE7A82"/>
    <w:rsid w:val="3CDA245A"/>
    <w:rsid w:val="3CEC3936"/>
    <w:rsid w:val="3CFB2FAD"/>
    <w:rsid w:val="3D1E06B7"/>
    <w:rsid w:val="3D413922"/>
    <w:rsid w:val="3D4D533B"/>
    <w:rsid w:val="3D8B47E9"/>
    <w:rsid w:val="3DBC290D"/>
    <w:rsid w:val="3DEC7181"/>
    <w:rsid w:val="3E14509C"/>
    <w:rsid w:val="3E28203B"/>
    <w:rsid w:val="3E4151A4"/>
    <w:rsid w:val="3E444599"/>
    <w:rsid w:val="3E934075"/>
    <w:rsid w:val="3EDA0523"/>
    <w:rsid w:val="3EDB3A33"/>
    <w:rsid w:val="3EDF523A"/>
    <w:rsid w:val="3F1F3FEF"/>
    <w:rsid w:val="3F396AF0"/>
    <w:rsid w:val="3F8857AA"/>
    <w:rsid w:val="3F944C03"/>
    <w:rsid w:val="3F962C67"/>
    <w:rsid w:val="401F15F8"/>
    <w:rsid w:val="401F1D12"/>
    <w:rsid w:val="40426387"/>
    <w:rsid w:val="406B0215"/>
    <w:rsid w:val="407A6407"/>
    <w:rsid w:val="407B43BC"/>
    <w:rsid w:val="40EA503D"/>
    <w:rsid w:val="411037F3"/>
    <w:rsid w:val="41392108"/>
    <w:rsid w:val="414C3DBE"/>
    <w:rsid w:val="415E5BD2"/>
    <w:rsid w:val="41700F54"/>
    <w:rsid w:val="4177345E"/>
    <w:rsid w:val="419932B0"/>
    <w:rsid w:val="41BF0053"/>
    <w:rsid w:val="41D04E6E"/>
    <w:rsid w:val="4200449D"/>
    <w:rsid w:val="420856EB"/>
    <w:rsid w:val="420C78C0"/>
    <w:rsid w:val="42333654"/>
    <w:rsid w:val="423A3BCC"/>
    <w:rsid w:val="424E57D2"/>
    <w:rsid w:val="425114CE"/>
    <w:rsid w:val="42590E0D"/>
    <w:rsid w:val="42641B13"/>
    <w:rsid w:val="426D186E"/>
    <w:rsid w:val="42932444"/>
    <w:rsid w:val="42A52FCD"/>
    <w:rsid w:val="42A73169"/>
    <w:rsid w:val="42AC11C8"/>
    <w:rsid w:val="42B26C49"/>
    <w:rsid w:val="42C361AD"/>
    <w:rsid w:val="42C4140C"/>
    <w:rsid w:val="42CF1061"/>
    <w:rsid w:val="42D26BC3"/>
    <w:rsid w:val="430075AA"/>
    <w:rsid w:val="4303661A"/>
    <w:rsid w:val="4333000A"/>
    <w:rsid w:val="433A58C9"/>
    <w:rsid w:val="433A6FE6"/>
    <w:rsid w:val="43480868"/>
    <w:rsid w:val="4350713C"/>
    <w:rsid w:val="436653E0"/>
    <w:rsid w:val="43B064AA"/>
    <w:rsid w:val="43B34800"/>
    <w:rsid w:val="43C4431A"/>
    <w:rsid w:val="43F22CEF"/>
    <w:rsid w:val="44014C53"/>
    <w:rsid w:val="440D6316"/>
    <w:rsid w:val="442F22F3"/>
    <w:rsid w:val="445B61B0"/>
    <w:rsid w:val="446E503B"/>
    <w:rsid w:val="44853396"/>
    <w:rsid w:val="4493319F"/>
    <w:rsid w:val="44B951CC"/>
    <w:rsid w:val="44C841CA"/>
    <w:rsid w:val="44CD14E0"/>
    <w:rsid w:val="44F20B0B"/>
    <w:rsid w:val="450A4182"/>
    <w:rsid w:val="452E5F4C"/>
    <w:rsid w:val="45397BA5"/>
    <w:rsid w:val="455F0D99"/>
    <w:rsid w:val="45601D22"/>
    <w:rsid w:val="45612018"/>
    <w:rsid w:val="45783301"/>
    <w:rsid w:val="458946E9"/>
    <w:rsid w:val="45A47C0E"/>
    <w:rsid w:val="45EF1A65"/>
    <w:rsid w:val="46006AB3"/>
    <w:rsid w:val="46015A1D"/>
    <w:rsid w:val="46257259"/>
    <w:rsid w:val="46404A08"/>
    <w:rsid w:val="46577FD6"/>
    <w:rsid w:val="46782F6E"/>
    <w:rsid w:val="46835A49"/>
    <w:rsid w:val="46AB11F1"/>
    <w:rsid w:val="46B717B2"/>
    <w:rsid w:val="46D03D24"/>
    <w:rsid w:val="46D955A7"/>
    <w:rsid w:val="46E55E23"/>
    <w:rsid w:val="47107AE3"/>
    <w:rsid w:val="47133957"/>
    <w:rsid w:val="471A1215"/>
    <w:rsid w:val="473D0BAD"/>
    <w:rsid w:val="47541A1E"/>
    <w:rsid w:val="47954A60"/>
    <w:rsid w:val="479852FB"/>
    <w:rsid w:val="47A07E0C"/>
    <w:rsid w:val="47A15DD2"/>
    <w:rsid w:val="47BD4B04"/>
    <w:rsid w:val="47C56C25"/>
    <w:rsid w:val="47FF4AD3"/>
    <w:rsid w:val="481B5455"/>
    <w:rsid w:val="48584679"/>
    <w:rsid w:val="48597CD5"/>
    <w:rsid w:val="4861133B"/>
    <w:rsid w:val="4870272E"/>
    <w:rsid w:val="489353E1"/>
    <w:rsid w:val="489B17CB"/>
    <w:rsid w:val="48BD1F92"/>
    <w:rsid w:val="48E6292F"/>
    <w:rsid w:val="48EA3928"/>
    <w:rsid w:val="490F63F6"/>
    <w:rsid w:val="49472E01"/>
    <w:rsid w:val="49B262F6"/>
    <w:rsid w:val="49C114EF"/>
    <w:rsid w:val="49C56B74"/>
    <w:rsid w:val="49D4264B"/>
    <w:rsid w:val="49DC7715"/>
    <w:rsid w:val="49E827DA"/>
    <w:rsid w:val="4A023139"/>
    <w:rsid w:val="4A19472F"/>
    <w:rsid w:val="4A7B576F"/>
    <w:rsid w:val="4A993C47"/>
    <w:rsid w:val="4AAF5970"/>
    <w:rsid w:val="4AC4452E"/>
    <w:rsid w:val="4AF561A9"/>
    <w:rsid w:val="4B19475E"/>
    <w:rsid w:val="4B1E3DB2"/>
    <w:rsid w:val="4B556A9C"/>
    <w:rsid w:val="4B9156C8"/>
    <w:rsid w:val="4BC85D75"/>
    <w:rsid w:val="4BF90D4D"/>
    <w:rsid w:val="4BFC2331"/>
    <w:rsid w:val="4C4A0649"/>
    <w:rsid w:val="4C4F0870"/>
    <w:rsid w:val="4C6824F6"/>
    <w:rsid w:val="4C7E5ECA"/>
    <w:rsid w:val="4C876AA5"/>
    <w:rsid w:val="4C8A6DCA"/>
    <w:rsid w:val="4CAF16A8"/>
    <w:rsid w:val="4CDF331E"/>
    <w:rsid w:val="4CEF3096"/>
    <w:rsid w:val="4CFA3C1F"/>
    <w:rsid w:val="4D0E00FB"/>
    <w:rsid w:val="4D0E2795"/>
    <w:rsid w:val="4D176606"/>
    <w:rsid w:val="4D6F0538"/>
    <w:rsid w:val="4D9E03E5"/>
    <w:rsid w:val="4DB049C0"/>
    <w:rsid w:val="4DB62172"/>
    <w:rsid w:val="4DC458EB"/>
    <w:rsid w:val="4DC86066"/>
    <w:rsid w:val="4DCD2184"/>
    <w:rsid w:val="4DD513FC"/>
    <w:rsid w:val="4DD74D0F"/>
    <w:rsid w:val="4DDF2976"/>
    <w:rsid w:val="4DEC4FB0"/>
    <w:rsid w:val="4DF422CD"/>
    <w:rsid w:val="4E075D8A"/>
    <w:rsid w:val="4E0D4F02"/>
    <w:rsid w:val="4E1F304A"/>
    <w:rsid w:val="4E533062"/>
    <w:rsid w:val="4E5A17E0"/>
    <w:rsid w:val="4E6B173A"/>
    <w:rsid w:val="4E710F72"/>
    <w:rsid w:val="4E722F5E"/>
    <w:rsid w:val="4E877901"/>
    <w:rsid w:val="4E8B2669"/>
    <w:rsid w:val="4E921BE0"/>
    <w:rsid w:val="4EB27064"/>
    <w:rsid w:val="4EC00FAD"/>
    <w:rsid w:val="4EC278E5"/>
    <w:rsid w:val="4EF21EF2"/>
    <w:rsid w:val="4F035F30"/>
    <w:rsid w:val="4F07780E"/>
    <w:rsid w:val="4F41753D"/>
    <w:rsid w:val="4F5E7CD7"/>
    <w:rsid w:val="4F603425"/>
    <w:rsid w:val="4F6F4F5E"/>
    <w:rsid w:val="4F892E34"/>
    <w:rsid w:val="4F9843DC"/>
    <w:rsid w:val="4F9A631E"/>
    <w:rsid w:val="4FA179F5"/>
    <w:rsid w:val="4FC62A8C"/>
    <w:rsid w:val="4FCD1980"/>
    <w:rsid w:val="4FE20F0D"/>
    <w:rsid w:val="4FE51552"/>
    <w:rsid w:val="50504C4B"/>
    <w:rsid w:val="50814840"/>
    <w:rsid w:val="508A7BA1"/>
    <w:rsid w:val="509C6E7C"/>
    <w:rsid w:val="50B37A49"/>
    <w:rsid w:val="50EF1DEB"/>
    <w:rsid w:val="50F10517"/>
    <w:rsid w:val="50F10879"/>
    <w:rsid w:val="50F7036B"/>
    <w:rsid w:val="51393730"/>
    <w:rsid w:val="514F1BAD"/>
    <w:rsid w:val="515512D4"/>
    <w:rsid w:val="5162104E"/>
    <w:rsid w:val="51895BD2"/>
    <w:rsid w:val="518C470E"/>
    <w:rsid w:val="519A5C9A"/>
    <w:rsid w:val="51B77057"/>
    <w:rsid w:val="51FC6742"/>
    <w:rsid w:val="52087AEE"/>
    <w:rsid w:val="521560B8"/>
    <w:rsid w:val="524B7098"/>
    <w:rsid w:val="525E1115"/>
    <w:rsid w:val="526863C2"/>
    <w:rsid w:val="52907952"/>
    <w:rsid w:val="529E3592"/>
    <w:rsid w:val="52C9659A"/>
    <w:rsid w:val="52FB4CED"/>
    <w:rsid w:val="532F2C62"/>
    <w:rsid w:val="53543243"/>
    <w:rsid w:val="53664F45"/>
    <w:rsid w:val="538B77C1"/>
    <w:rsid w:val="539A41CF"/>
    <w:rsid w:val="53A039CC"/>
    <w:rsid w:val="53A1505A"/>
    <w:rsid w:val="53D84D97"/>
    <w:rsid w:val="54050D54"/>
    <w:rsid w:val="54063E08"/>
    <w:rsid w:val="542436A1"/>
    <w:rsid w:val="543437E8"/>
    <w:rsid w:val="54365691"/>
    <w:rsid w:val="543B3067"/>
    <w:rsid w:val="54427370"/>
    <w:rsid w:val="544425F8"/>
    <w:rsid w:val="54A03E38"/>
    <w:rsid w:val="54A603DC"/>
    <w:rsid w:val="54BE4DC6"/>
    <w:rsid w:val="54F73313"/>
    <w:rsid w:val="54F80955"/>
    <w:rsid w:val="54FD3CA5"/>
    <w:rsid w:val="551A30BB"/>
    <w:rsid w:val="553C0EEE"/>
    <w:rsid w:val="55443B8A"/>
    <w:rsid w:val="555170A7"/>
    <w:rsid w:val="55594793"/>
    <w:rsid w:val="555F276C"/>
    <w:rsid w:val="5587536D"/>
    <w:rsid w:val="55904673"/>
    <w:rsid w:val="55975033"/>
    <w:rsid w:val="559B174B"/>
    <w:rsid w:val="55C91367"/>
    <w:rsid w:val="55CE0CF4"/>
    <w:rsid w:val="55D11EE8"/>
    <w:rsid w:val="55E9341B"/>
    <w:rsid w:val="55F83D27"/>
    <w:rsid w:val="56171A4F"/>
    <w:rsid w:val="563D212D"/>
    <w:rsid w:val="564C5CC1"/>
    <w:rsid w:val="5663625F"/>
    <w:rsid w:val="568E2A56"/>
    <w:rsid w:val="569F0781"/>
    <w:rsid w:val="56B22A9C"/>
    <w:rsid w:val="56C11D54"/>
    <w:rsid w:val="56DD2A76"/>
    <w:rsid w:val="56E16D93"/>
    <w:rsid w:val="56ED4B48"/>
    <w:rsid w:val="56F3287C"/>
    <w:rsid w:val="570568E0"/>
    <w:rsid w:val="573B2A8A"/>
    <w:rsid w:val="577E740B"/>
    <w:rsid w:val="57B72A76"/>
    <w:rsid w:val="57BD4DA5"/>
    <w:rsid w:val="57C3426C"/>
    <w:rsid w:val="57CA5382"/>
    <w:rsid w:val="57CE1F93"/>
    <w:rsid w:val="57F7473D"/>
    <w:rsid w:val="58472EBF"/>
    <w:rsid w:val="584D7ACE"/>
    <w:rsid w:val="58705CC4"/>
    <w:rsid w:val="588743D1"/>
    <w:rsid w:val="5887701A"/>
    <w:rsid w:val="588F72F0"/>
    <w:rsid w:val="58B2453A"/>
    <w:rsid w:val="58BC3122"/>
    <w:rsid w:val="58BE5ADC"/>
    <w:rsid w:val="590C1208"/>
    <w:rsid w:val="597F3073"/>
    <w:rsid w:val="59A1215B"/>
    <w:rsid w:val="59A907D0"/>
    <w:rsid w:val="59C0439F"/>
    <w:rsid w:val="59CA02DF"/>
    <w:rsid w:val="59CB0AF0"/>
    <w:rsid w:val="59E71824"/>
    <w:rsid w:val="59F82255"/>
    <w:rsid w:val="5A154A5E"/>
    <w:rsid w:val="5A1B3911"/>
    <w:rsid w:val="5A227411"/>
    <w:rsid w:val="5A374072"/>
    <w:rsid w:val="5A422CAE"/>
    <w:rsid w:val="5A6A6A96"/>
    <w:rsid w:val="5AA42977"/>
    <w:rsid w:val="5AB60277"/>
    <w:rsid w:val="5ABE2233"/>
    <w:rsid w:val="5B162680"/>
    <w:rsid w:val="5B64433E"/>
    <w:rsid w:val="5B730795"/>
    <w:rsid w:val="5B797326"/>
    <w:rsid w:val="5B907A62"/>
    <w:rsid w:val="5B9F54BD"/>
    <w:rsid w:val="5BCA6DF0"/>
    <w:rsid w:val="5BDF5D95"/>
    <w:rsid w:val="5BFE7528"/>
    <w:rsid w:val="5C5218DF"/>
    <w:rsid w:val="5C6551E2"/>
    <w:rsid w:val="5C97011F"/>
    <w:rsid w:val="5CE80E7D"/>
    <w:rsid w:val="5CF14047"/>
    <w:rsid w:val="5D3A4790"/>
    <w:rsid w:val="5D516444"/>
    <w:rsid w:val="5D564896"/>
    <w:rsid w:val="5D7A4270"/>
    <w:rsid w:val="5DA82956"/>
    <w:rsid w:val="5DD03176"/>
    <w:rsid w:val="5E242409"/>
    <w:rsid w:val="5E2467F1"/>
    <w:rsid w:val="5E3C0D11"/>
    <w:rsid w:val="5E5442D0"/>
    <w:rsid w:val="5EDA0AE5"/>
    <w:rsid w:val="5EE06CE5"/>
    <w:rsid w:val="5F044D47"/>
    <w:rsid w:val="5F0D2BED"/>
    <w:rsid w:val="5F1A2B43"/>
    <w:rsid w:val="5F3533AD"/>
    <w:rsid w:val="5F6319D5"/>
    <w:rsid w:val="5F8C53BA"/>
    <w:rsid w:val="5FB21040"/>
    <w:rsid w:val="5FB837BB"/>
    <w:rsid w:val="5FBB46FD"/>
    <w:rsid w:val="5FC87780"/>
    <w:rsid w:val="5FCC7822"/>
    <w:rsid w:val="6003380C"/>
    <w:rsid w:val="603A429F"/>
    <w:rsid w:val="60756457"/>
    <w:rsid w:val="607A4BFD"/>
    <w:rsid w:val="607E4274"/>
    <w:rsid w:val="60A34A2E"/>
    <w:rsid w:val="60CC405A"/>
    <w:rsid w:val="60E95638"/>
    <w:rsid w:val="61134F83"/>
    <w:rsid w:val="61235A57"/>
    <w:rsid w:val="612E0471"/>
    <w:rsid w:val="618942AC"/>
    <w:rsid w:val="61997898"/>
    <w:rsid w:val="61B75E27"/>
    <w:rsid w:val="61B8776B"/>
    <w:rsid w:val="61DD1582"/>
    <w:rsid w:val="61DF182F"/>
    <w:rsid w:val="61E215D8"/>
    <w:rsid w:val="61FB77FC"/>
    <w:rsid w:val="620E510C"/>
    <w:rsid w:val="621B3775"/>
    <w:rsid w:val="62323744"/>
    <w:rsid w:val="62364782"/>
    <w:rsid w:val="625C6F94"/>
    <w:rsid w:val="626D056F"/>
    <w:rsid w:val="62742C57"/>
    <w:rsid w:val="62831E38"/>
    <w:rsid w:val="62840880"/>
    <w:rsid w:val="62890706"/>
    <w:rsid w:val="62A57F2C"/>
    <w:rsid w:val="62AF0F6A"/>
    <w:rsid w:val="630625C3"/>
    <w:rsid w:val="635000F2"/>
    <w:rsid w:val="6394356A"/>
    <w:rsid w:val="63AA7768"/>
    <w:rsid w:val="63AE492E"/>
    <w:rsid w:val="63B5196F"/>
    <w:rsid w:val="63B80135"/>
    <w:rsid w:val="63C61B2C"/>
    <w:rsid w:val="63D40BE9"/>
    <w:rsid w:val="63F13060"/>
    <w:rsid w:val="64102431"/>
    <w:rsid w:val="64692B32"/>
    <w:rsid w:val="64692F7A"/>
    <w:rsid w:val="64792D6D"/>
    <w:rsid w:val="647978F2"/>
    <w:rsid w:val="647C5B07"/>
    <w:rsid w:val="64A5243A"/>
    <w:rsid w:val="64BB5FF7"/>
    <w:rsid w:val="64D24A38"/>
    <w:rsid w:val="64D711E0"/>
    <w:rsid w:val="64F531DE"/>
    <w:rsid w:val="65253B9C"/>
    <w:rsid w:val="652D0FCF"/>
    <w:rsid w:val="65373578"/>
    <w:rsid w:val="65907DB7"/>
    <w:rsid w:val="659D1C82"/>
    <w:rsid w:val="65D8039C"/>
    <w:rsid w:val="65EF3917"/>
    <w:rsid w:val="65FD5B6B"/>
    <w:rsid w:val="6625546C"/>
    <w:rsid w:val="66555E83"/>
    <w:rsid w:val="667767F5"/>
    <w:rsid w:val="66BD1BEF"/>
    <w:rsid w:val="66BF7115"/>
    <w:rsid w:val="66C04521"/>
    <w:rsid w:val="66D1122A"/>
    <w:rsid w:val="66DE15B7"/>
    <w:rsid w:val="66DF170F"/>
    <w:rsid w:val="66F140D8"/>
    <w:rsid w:val="66FA79C7"/>
    <w:rsid w:val="671F124A"/>
    <w:rsid w:val="67525FA9"/>
    <w:rsid w:val="675D5AF5"/>
    <w:rsid w:val="6765286A"/>
    <w:rsid w:val="67693C80"/>
    <w:rsid w:val="67792CE4"/>
    <w:rsid w:val="677A33C6"/>
    <w:rsid w:val="67AA2BD3"/>
    <w:rsid w:val="67DA3934"/>
    <w:rsid w:val="680F4B15"/>
    <w:rsid w:val="681F6961"/>
    <w:rsid w:val="682D2EF5"/>
    <w:rsid w:val="68403510"/>
    <w:rsid w:val="684D668A"/>
    <w:rsid w:val="68610A2F"/>
    <w:rsid w:val="68805514"/>
    <w:rsid w:val="68B91071"/>
    <w:rsid w:val="68BB1F40"/>
    <w:rsid w:val="68E54691"/>
    <w:rsid w:val="68EC61A0"/>
    <w:rsid w:val="69316639"/>
    <w:rsid w:val="69316E2F"/>
    <w:rsid w:val="693353D0"/>
    <w:rsid w:val="694E2071"/>
    <w:rsid w:val="69766163"/>
    <w:rsid w:val="697A3B33"/>
    <w:rsid w:val="69A60A85"/>
    <w:rsid w:val="69BB196A"/>
    <w:rsid w:val="69C44D3C"/>
    <w:rsid w:val="69D44760"/>
    <w:rsid w:val="69D606D3"/>
    <w:rsid w:val="69D74DFB"/>
    <w:rsid w:val="6A1003A3"/>
    <w:rsid w:val="6A18653E"/>
    <w:rsid w:val="6A520EC7"/>
    <w:rsid w:val="6A5800C8"/>
    <w:rsid w:val="6A650672"/>
    <w:rsid w:val="6A7F4960"/>
    <w:rsid w:val="6A845731"/>
    <w:rsid w:val="6A8A077F"/>
    <w:rsid w:val="6AA54E2D"/>
    <w:rsid w:val="6AF51334"/>
    <w:rsid w:val="6AF87E20"/>
    <w:rsid w:val="6B0C4594"/>
    <w:rsid w:val="6B175264"/>
    <w:rsid w:val="6B2A197B"/>
    <w:rsid w:val="6B322639"/>
    <w:rsid w:val="6B54755A"/>
    <w:rsid w:val="6B5A54B0"/>
    <w:rsid w:val="6B65177E"/>
    <w:rsid w:val="6B9D1833"/>
    <w:rsid w:val="6B9E25CD"/>
    <w:rsid w:val="6BA01579"/>
    <w:rsid w:val="6BD00EFF"/>
    <w:rsid w:val="6BD81086"/>
    <w:rsid w:val="6BE75246"/>
    <w:rsid w:val="6BEC0658"/>
    <w:rsid w:val="6BFA155E"/>
    <w:rsid w:val="6BFC3CCA"/>
    <w:rsid w:val="6C145EBC"/>
    <w:rsid w:val="6C15131C"/>
    <w:rsid w:val="6C1D4BD4"/>
    <w:rsid w:val="6C373265"/>
    <w:rsid w:val="6C41026E"/>
    <w:rsid w:val="6C45393F"/>
    <w:rsid w:val="6C636C38"/>
    <w:rsid w:val="6C6375BD"/>
    <w:rsid w:val="6C7B5998"/>
    <w:rsid w:val="6C8C42C1"/>
    <w:rsid w:val="6C8D2A73"/>
    <w:rsid w:val="6CBE0FA0"/>
    <w:rsid w:val="6CC70C4C"/>
    <w:rsid w:val="6D034FD0"/>
    <w:rsid w:val="6D04351B"/>
    <w:rsid w:val="6D4006DA"/>
    <w:rsid w:val="6D433097"/>
    <w:rsid w:val="6D5F525C"/>
    <w:rsid w:val="6DB34098"/>
    <w:rsid w:val="6DB545B6"/>
    <w:rsid w:val="6DBB19CC"/>
    <w:rsid w:val="6DE02FB4"/>
    <w:rsid w:val="6E0839FA"/>
    <w:rsid w:val="6E0973B0"/>
    <w:rsid w:val="6E296EA1"/>
    <w:rsid w:val="6E2D40FD"/>
    <w:rsid w:val="6E350DE4"/>
    <w:rsid w:val="6E514CED"/>
    <w:rsid w:val="6E6575EB"/>
    <w:rsid w:val="6E91665A"/>
    <w:rsid w:val="6EA93F85"/>
    <w:rsid w:val="6EAF4C4A"/>
    <w:rsid w:val="6EB563D5"/>
    <w:rsid w:val="6ED92677"/>
    <w:rsid w:val="6F0A6C8D"/>
    <w:rsid w:val="6F1A6595"/>
    <w:rsid w:val="6F225983"/>
    <w:rsid w:val="6F341FB2"/>
    <w:rsid w:val="6F424BC6"/>
    <w:rsid w:val="6F4B6A37"/>
    <w:rsid w:val="6F567E27"/>
    <w:rsid w:val="6FE552C4"/>
    <w:rsid w:val="6FEE2341"/>
    <w:rsid w:val="6FEF478E"/>
    <w:rsid w:val="6FFC5590"/>
    <w:rsid w:val="70085E9F"/>
    <w:rsid w:val="700C644D"/>
    <w:rsid w:val="705043EE"/>
    <w:rsid w:val="7069787D"/>
    <w:rsid w:val="706D1DD0"/>
    <w:rsid w:val="70703B85"/>
    <w:rsid w:val="707F6ACA"/>
    <w:rsid w:val="70856B87"/>
    <w:rsid w:val="70BC13D5"/>
    <w:rsid w:val="70C90969"/>
    <w:rsid w:val="70D527EE"/>
    <w:rsid w:val="70DF218F"/>
    <w:rsid w:val="70E72AF9"/>
    <w:rsid w:val="712A77F2"/>
    <w:rsid w:val="712C32D8"/>
    <w:rsid w:val="714F1CA9"/>
    <w:rsid w:val="715B5300"/>
    <w:rsid w:val="718D2A9D"/>
    <w:rsid w:val="71D27F8A"/>
    <w:rsid w:val="722241AD"/>
    <w:rsid w:val="72332E55"/>
    <w:rsid w:val="72367E53"/>
    <w:rsid w:val="723A7004"/>
    <w:rsid w:val="724F4E17"/>
    <w:rsid w:val="72553024"/>
    <w:rsid w:val="7296164F"/>
    <w:rsid w:val="72A40F4C"/>
    <w:rsid w:val="72B936B1"/>
    <w:rsid w:val="72EB1FB5"/>
    <w:rsid w:val="72FB3CC9"/>
    <w:rsid w:val="73122968"/>
    <w:rsid w:val="731D724C"/>
    <w:rsid w:val="731F5D5E"/>
    <w:rsid w:val="733430BC"/>
    <w:rsid w:val="7359481B"/>
    <w:rsid w:val="738F2FE5"/>
    <w:rsid w:val="739F514F"/>
    <w:rsid w:val="73A87091"/>
    <w:rsid w:val="73C51AD5"/>
    <w:rsid w:val="73D53447"/>
    <w:rsid w:val="73FB5AE1"/>
    <w:rsid w:val="741A6756"/>
    <w:rsid w:val="741E793C"/>
    <w:rsid w:val="742D25C0"/>
    <w:rsid w:val="74521179"/>
    <w:rsid w:val="745E3944"/>
    <w:rsid w:val="74710293"/>
    <w:rsid w:val="74716C24"/>
    <w:rsid w:val="74734967"/>
    <w:rsid w:val="748C4844"/>
    <w:rsid w:val="74965912"/>
    <w:rsid w:val="749E54D4"/>
    <w:rsid w:val="74B50E9B"/>
    <w:rsid w:val="74BC0FC4"/>
    <w:rsid w:val="74D52979"/>
    <w:rsid w:val="750A6882"/>
    <w:rsid w:val="75140916"/>
    <w:rsid w:val="75272E8E"/>
    <w:rsid w:val="752B4D69"/>
    <w:rsid w:val="75624BD6"/>
    <w:rsid w:val="75B36414"/>
    <w:rsid w:val="76172592"/>
    <w:rsid w:val="76276BA0"/>
    <w:rsid w:val="7635099D"/>
    <w:rsid w:val="76392BE9"/>
    <w:rsid w:val="766D6759"/>
    <w:rsid w:val="766E1FD4"/>
    <w:rsid w:val="767E1B7B"/>
    <w:rsid w:val="767F3ECF"/>
    <w:rsid w:val="76853DD7"/>
    <w:rsid w:val="76A07EB8"/>
    <w:rsid w:val="76AC0274"/>
    <w:rsid w:val="76BA01A8"/>
    <w:rsid w:val="76BE7BA0"/>
    <w:rsid w:val="76CD49AE"/>
    <w:rsid w:val="76F57100"/>
    <w:rsid w:val="76F816CE"/>
    <w:rsid w:val="76FF654E"/>
    <w:rsid w:val="774411F5"/>
    <w:rsid w:val="7768157B"/>
    <w:rsid w:val="7769638B"/>
    <w:rsid w:val="776B5767"/>
    <w:rsid w:val="77762421"/>
    <w:rsid w:val="77B17D0F"/>
    <w:rsid w:val="77B56B1F"/>
    <w:rsid w:val="77B6618F"/>
    <w:rsid w:val="77D33DEE"/>
    <w:rsid w:val="77E574E8"/>
    <w:rsid w:val="77F46616"/>
    <w:rsid w:val="780F09F4"/>
    <w:rsid w:val="7839624D"/>
    <w:rsid w:val="785E7F5D"/>
    <w:rsid w:val="78666718"/>
    <w:rsid w:val="7872329B"/>
    <w:rsid w:val="787C4205"/>
    <w:rsid w:val="78933626"/>
    <w:rsid w:val="789834A2"/>
    <w:rsid w:val="78992399"/>
    <w:rsid w:val="78A90480"/>
    <w:rsid w:val="78B72514"/>
    <w:rsid w:val="78DE5DEC"/>
    <w:rsid w:val="78E92761"/>
    <w:rsid w:val="78E94B9A"/>
    <w:rsid w:val="7900493C"/>
    <w:rsid w:val="79104961"/>
    <w:rsid w:val="795F7763"/>
    <w:rsid w:val="79717CA3"/>
    <w:rsid w:val="79947BAE"/>
    <w:rsid w:val="79A43A87"/>
    <w:rsid w:val="79A63181"/>
    <w:rsid w:val="79BE3D2A"/>
    <w:rsid w:val="79CB1CEC"/>
    <w:rsid w:val="79EF48E0"/>
    <w:rsid w:val="7A080884"/>
    <w:rsid w:val="7A0F14BB"/>
    <w:rsid w:val="7A2F3E76"/>
    <w:rsid w:val="7A363AEE"/>
    <w:rsid w:val="7A364017"/>
    <w:rsid w:val="7A3F0E72"/>
    <w:rsid w:val="7A6B3FD4"/>
    <w:rsid w:val="7A6C17FE"/>
    <w:rsid w:val="7A8265E1"/>
    <w:rsid w:val="7B03513D"/>
    <w:rsid w:val="7B046F77"/>
    <w:rsid w:val="7B072501"/>
    <w:rsid w:val="7B0768DB"/>
    <w:rsid w:val="7B425DB7"/>
    <w:rsid w:val="7B50762D"/>
    <w:rsid w:val="7B686D42"/>
    <w:rsid w:val="7B841746"/>
    <w:rsid w:val="7BA62AD7"/>
    <w:rsid w:val="7BC421D4"/>
    <w:rsid w:val="7BD932E1"/>
    <w:rsid w:val="7BDA6114"/>
    <w:rsid w:val="7BDE52CB"/>
    <w:rsid w:val="7BE878B8"/>
    <w:rsid w:val="7C533DB3"/>
    <w:rsid w:val="7C605C6F"/>
    <w:rsid w:val="7C6362BC"/>
    <w:rsid w:val="7C647BF4"/>
    <w:rsid w:val="7C6C5AC7"/>
    <w:rsid w:val="7C910BF5"/>
    <w:rsid w:val="7CAA1487"/>
    <w:rsid w:val="7CB55AFC"/>
    <w:rsid w:val="7CC6544B"/>
    <w:rsid w:val="7CEE3E07"/>
    <w:rsid w:val="7CFE1CF5"/>
    <w:rsid w:val="7D0239FF"/>
    <w:rsid w:val="7D052063"/>
    <w:rsid w:val="7D5E40CD"/>
    <w:rsid w:val="7D5F78D8"/>
    <w:rsid w:val="7D7161A6"/>
    <w:rsid w:val="7D7B67C7"/>
    <w:rsid w:val="7DAB2669"/>
    <w:rsid w:val="7DCD56F2"/>
    <w:rsid w:val="7E0903C9"/>
    <w:rsid w:val="7E304BA3"/>
    <w:rsid w:val="7E4D7AFA"/>
    <w:rsid w:val="7E4E7ADF"/>
    <w:rsid w:val="7E6D339B"/>
    <w:rsid w:val="7E780E90"/>
    <w:rsid w:val="7E996FD5"/>
    <w:rsid w:val="7EB13908"/>
    <w:rsid w:val="7ECD32D4"/>
    <w:rsid w:val="7EDA21E0"/>
    <w:rsid w:val="7EDB0F21"/>
    <w:rsid w:val="7EE44AC2"/>
    <w:rsid w:val="7EF15914"/>
    <w:rsid w:val="7F001CE7"/>
    <w:rsid w:val="7F3D1C6C"/>
    <w:rsid w:val="7FAA32B5"/>
    <w:rsid w:val="7FAB6BCA"/>
    <w:rsid w:val="7FCF4AA9"/>
    <w:rsid w:val="7FD83431"/>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locked/>
    <w:uiPriority w:val="0"/>
    <w:pPr>
      <w:keepNext/>
      <w:keepLines/>
      <w:spacing w:before="260" w:after="260" w:line="416" w:lineRule="auto"/>
      <w:outlineLvl w:val="2"/>
    </w:pPr>
    <w:rPr>
      <w:b/>
      <w:bCs/>
      <w:sz w:val="32"/>
      <w:szCs w:val="32"/>
    </w:rPr>
  </w:style>
  <w:style w:type="paragraph" w:styleId="8">
    <w:name w:val="heading 4"/>
    <w:basedOn w:val="1"/>
    <w:next w:val="1"/>
    <w:qFormat/>
    <w:locked/>
    <w:uiPriority w:val="0"/>
    <w:pPr>
      <w:keepNext/>
      <w:keepLines/>
      <w:spacing w:before="280" w:after="290" w:line="376" w:lineRule="auto"/>
      <w:outlineLvl w:val="3"/>
    </w:pPr>
    <w:rPr>
      <w:rFonts w:ascii="Calibri Light" w:hAnsi="Calibri Light" w:eastAsia="宋体" w:cs="Times New Roman"/>
      <w:b/>
      <w:bCs/>
      <w:sz w:val="28"/>
      <w:szCs w:val="28"/>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Indent 2"/>
    <w:basedOn w:val="1"/>
    <w:next w:val="3"/>
    <w:qFormat/>
    <w:locked/>
    <w:uiPriority w:val="0"/>
    <w:pPr>
      <w:spacing w:after="120" w:line="480" w:lineRule="auto"/>
      <w:ind w:left="420" w:leftChars="200"/>
    </w:pPr>
    <w:rPr>
      <w:szCs w:val="24"/>
    </w:rPr>
  </w:style>
  <w:style w:type="paragraph" w:styleId="3">
    <w:name w:val="Body Text First Indent 2"/>
    <w:basedOn w:val="4"/>
    <w:next w:val="1"/>
    <w:qFormat/>
    <w:locked/>
    <w:uiPriority w:val="0"/>
    <w:pPr>
      <w:spacing w:after="120" w:line="240" w:lineRule="auto"/>
      <w:ind w:left="420" w:leftChars="200" w:firstLine="420" w:firstLineChars="200"/>
    </w:pPr>
    <w:rPr>
      <w:sz w:val="21"/>
      <w:szCs w:val="24"/>
    </w:rPr>
  </w:style>
  <w:style w:type="paragraph" w:styleId="4">
    <w:name w:val="Body Text Indent"/>
    <w:basedOn w:val="1"/>
    <w:next w:val="2"/>
    <w:link w:val="27"/>
    <w:qFormat/>
    <w:uiPriority w:val="0"/>
    <w:pPr>
      <w:spacing w:after="120"/>
      <w:ind w:left="420" w:leftChars="200"/>
    </w:pPr>
    <w:rPr>
      <w:kern w:val="0"/>
      <w:sz w:val="24"/>
      <w:szCs w:val="20"/>
    </w:rPr>
  </w:style>
  <w:style w:type="paragraph" w:styleId="9">
    <w:name w:val="Normal Indent"/>
    <w:basedOn w:val="1"/>
    <w:qFormat/>
    <w:locked/>
    <w:uiPriority w:val="0"/>
    <w:pPr>
      <w:ind w:firstLine="420" w:firstLineChars="200"/>
    </w:pPr>
    <w:rPr>
      <w:szCs w:val="20"/>
    </w:rPr>
  </w:style>
  <w:style w:type="paragraph" w:styleId="10">
    <w:name w:val="annotation text"/>
    <w:basedOn w:val="1"/>
    <w:link w:val="25"/>
    <w:semiHidden/>
    <w:qFormat/>
    <w:uiPriority w:val="0"/>
    <w:pPr>
      <w:jc w:val="left"/>
    </w:pPr>
    <w:rPr>
      <w:kern w:val="0"/>
      <w:sz w:val="24"/>
      <w:szCs w:val="20"/>
    </w:rPr>
  </w:style>
  <w:style w:type="paragraph" w:styleId="11">
    <w:name w:val="Body Text"/>
    <w:basedOn w:val="1"/>
    <w:link w:val="26"/>
    <w:qFormat/>
    <w:uiPriority w:val="0"/>
    <w:pPr>
      <w:widowControl/>
      <w:snapToGrid w:val="0"/>
      <w:spacing w:before="60" w:after="160" w:line="259" w:lineRule="auto"/>
      <w:ind w:right="113"/>
    </w:pPr>
    <w:rPr>
      <w:kern w:val="0"/>
      <w:sz w:val="18"/>
      <w:szCs w:val="20"/>
    </w:rPr>
  </w:style>
  <w:style w:type="paragraph" w:styleId="12">
    <w:name w:val="Date"/>
    <w:basedOn w:val="1"/>
    <w:next w:val="1"/>
    <w:link w:val="28"/>
    <w:qFormat/>
    <w:uiPriority w:val="0"/>
    <w:pPr>
      <w:ind w:left="100" w:leftChars="2500"/>
    </w:pPr>
    <w:rPr>
      <w:kern w:val="0"/>
      <w:sz w:val="24"/>
      <w:szCs w:val="20"/>
    </w:rPr>
  </w:style>
  <w:style w:type="paragraph" w:styleId="13">
    <w:name w:val="Balloon Text"/>
    <w:basedOn w:val="1"/>
    <w:link w:val="29"/>
    <w:semiHidden/>
    <w:qFormat/>
    <w:uiPriority w:val="0"/>
    <w:rPr>
      <w:kern w:val="0"/>
      <w:sz w:val="18"/>
      <w:szCs w:val="20"/>
    </w:rPr>
  </w:style>
  <w:style w:type="paragraph" w:styleId="14">
    <w:name w:val="footer"/>
    <w:basedOn w:val="1"/>
    <w:link w:val="30"/>
    <w:qFormat/>
    <w:uiPriority w:val="99"/>
    <w:pPr>
      <w:tabs>
        <w:tab w:val="center" w:pos="4153"/>
        <w:tab w:val="right" w:pos="8306"/>
      </w:tabs>
      <w:snapToGrid w:val="0"/>
      <w:jc w:val="left"/>
    </w:pPr>
    <w:rPr>
      <w:kern w:val="0"/>
      <w:sz w:val="18"/>
      <w:szCs w:val="20"/>
    </w:rPr>
  </w:style>
  <w:style w:type="paragraph" w:styleId="15">
    <w:name w:val="header"/>
    <w:basedOn w:val="1"/>
    <w:link w:val="31"/>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List"/>
    <w:basedOn w:val="1"/>
    <w:qFormat/>
    <w:locked/>
    <w:uiPriority w:val="0"/>
    <w:pPr>
      <w:spacing w:line="360" w:lineRule="exact"/>
      <w:jc w:val="center"/>
    </w:pPr>
    <w:rPr>
      <w:rFonts w:ascii="仿宋_GB2312" w:eastAsia="仿宋_GB2312" w:cs="仿宋_GB2312"/>
      <w:sz w:val="24"/>
    </w:rPr>
  </w:style>
  <w:style w:type="paragraph" w:styleId="17">
    <w:name w:val="Body Text 2"/>
    <w:basedOn w:val="1"/>
    <w:qFormat/>
    <w:locked/>
    <w:uiPriority w:val="0"/>
    <w:pPr>
      <w:spacing w:after="120" w:line="480" w:lineRule="auto"/>
    </w:pPr>
    <w:rPr>
      <w:szCs w:val="24"/>
    </w:rPr>
  </w:style>
  <w:style w:type="paragraph" w:styleId="18">
    <w:name w:val="Normal (Web)"/>
    <w:basedOn w:val="1"/>
    <w:link w:val="32"/>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10"/>
    <w:next w:val="10"/>
    <w:link w:val="33"/>
    <w:semiHidden/>
    <w:qFormat/>
    <w:uiPriority w:val="0"/>
    <w:rPr>
      <w:b/>
      <w:kern w:val="2"/>
    </w:rPr>
  </w:style>
  <w:style w:type="table" w:styleId="21">
    <w:name w:val="Table Grid"/>
    <w:basedOn w:val="2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qFormat/>
    <w:locked/>
    <w:uiPriority w:val="0"/>
  </w:style>
  <w:style w:type="character" w:styleId="24">
    <w:name w:val="annotation reference"/>
    <w:semiHidden/>
    <w:qFormat/>
    <w:uiPriority w:val="0"/>
    <w:rPr>
      <w:sz w:val="21"/>
    </w:rPr>
  </w:style>
  <w:style w:type="character" w:customStyle="1" w:styleId="25">
    <w:name w:val="批注文字 Char"/>
    <w:link w:val="10"/>
    <w:qFormat/>
    <w:locked/>
    <w:uiPriority w:val="0"/>
    <w:rPr>
      <w:rFonts w:ascii="Times New Roman" w:hAnsi="Times New Roman" w:eastAsia="宋体"/>
      <w:sz w:val="24"/>
    </w:rPr>
  </w:style>
  <w:style w:type="character" w:customStyle="1" w:styleId="26">
    <w:name w:val="正文文本 Char"/>
    <w:link w:val="11"/>
    <w:qFormat/>
    <w:locked/>
    <w:uiPriority w:val="0"/>
    <w:rPr>
      <w:sz w:val="18"/>
    </w:rPr>
  </w:style>
  <w:style w:type="character" w:customStyle="1" w:styleId="27">
    <w:name w:val="正文文本缩进 Char"/>
    <w:link w:val="4"/>
    <w:semiHidden/>
    <w:qFormat/>
    <w:locked/>
    <w:uiPriority w:val="0"/>
    <w:rPr>
      <w:rFonts w:ascii="Times New Roman" w:hAnsi="Times New Roman" w:eastAsia="宋体"/>
      <w:sz w:val="24"/>
    </w:rPr>
  </w:style>
  <w:style w:type="character" w:customStyle="1" w:styleId="28">
    <w:name w:val="日期 Char"/>
    <w:link w:val="12"/>
    <w:qFormat/>
    <w:locked/>
    <w:uiPriority w:val="0"/>
    <w:rPr>
      <w:rFonts w:ascii="Times New Roman" w:hAnsi="Times New Roman" w:eastAsia="宋体"/>
      <w:sz w:val="24"/>
    </w:rPr>
  </w:style>
  <w:style w:type="character" w:customStyle="1" w:styleId="29">
    <w:name w:val="批注框文本 Char"/>
    <w:link w:val="13"/>
    <w:semiHidden/>
    <w:qFormat/>
    <w:locked/>
    <w:uiPriority w:val="0"/>
    <w:rPr>
      <w:rFonts w:ascii="Times New Roman" w:hAnsi="Times New Roman" w:eastAsia="宋体"/>
      <w:sz w:val="18"/>
    </w:rPr>
  </w:style>
  <w:style w:type="character" w:customStyle="1" w:styleId="30">
    <w:name w:val="页脚 Char"/>
    <w:link w:val="14"/>
    <w:qFormat/>
    <w:locked/>
    <w:uiPriority w:val="99"/>
    <w:rPr>
      <w:sz w:val="18"/>
    </w:rPr>
  </w:style>
  <w:style w:type="character" w:customStyle="1" w:styleId="31">
    <w:name w:val="页眉 Char"/>
    <w:link w:val="15"/>
    <w:qFormat/>
    <w:locked/>
    <w:uiPriority w:val="0"/>
    <w:rPr>
      <w:sz w:val="18"/>
    </w:rPr>
  </w:style>
  <w:style w:type="character" w:customStyle="1" w:styleId="32">
    <w:name w:val="普通(网站) Char"/>
    <w:link w:val="18"/>
    <w:qFormat/>
    <w:locked/>
    <w:uiPriority w:val="0"/>
    <w:rPr>
      <w:rFonts w:ascii="宋体" w:hAnsi="宋体" w:eastAsia="宋体"/>
      <w:sz w:val="24"/>
    </w:rPr>
  </w:style>
  <w:style w:type="character" w:customStyle="1" w:styleId="33">
    <w:name w:val="批注主题 Char"/>
    <w:link w:val="19"/>
    <w:semiHidden/>
    <w:qFormat/>
    <w:locked/>
    <w:uiPriority w:val="0"/>
    <w:rPr>
      <w:rFonts w:ascii="Times New Roman" w:hAnsi="Times New Roman" w:eastAsia="宋体"/>
      <w:b/>
      <w:kern w:val="2"/>
      <w:sz w:val="24"/>
    </w:rPr>
  </w:style>
  <w:style w:type="character" w:customStyle="1" w:styleId="34">
    <w:name w:val="日期 字符"/>
    <w:semiHidden/>
    <w:qFormat/>
    <w:uiPriority w:val="0"/>
    <w:rPr>
      <w:rFonts w:ascii="Times New Roman" w:hAnsi="Times New Roman" w:eastAsia="宋体"/>
      <w:sz w:val="24"/>
    </w:rPr>
  </w:style>
  <w:style w:type="character" w:customStyle="1" w:styleId="35">
    <w:name w:val="页脚 字符"/>
    <w:qFormat/>
    <w:uiPriority w:val="99"/>
  </w:style>
  <w:style w:type="character" w:customStyle="1" w:styleId="36">
    <w:name w:val="表格 Char"/>
    <w:link w:val="37"/>
    <w:qFormat/>
    <w:locked/>
    <w:uiPriority w:val="0"/>
    <w:rPr>
      <w:rFonts w:ascii="宋体"/>
      <w:sz w:val="21"/>
    </w:rPr>
  </w:style>
  <w:style w:type="paragraph" w:customStyle="1" w:styleId="37">
    <w:name w:val="表格"/>
    <w:basedOn w:val="1"/>
    <w:next w:val="1"/>
    <w:link w:val="36"/>
    <w:qFormat/>
    <w:uiPriority w:val="0"/>
    <w:pPr>
      <w:adjustRightInd w:val="0"/>
      <w:snapToGrid w:val="0"/>
      <w:spacing w:beforeLines="10" w:afterLines="10" w:line="259" w:lineRule="auto"/>
      <w:jc w:val="center"/>
    </w:pPr>
    <w:rPr>
      <w:rFonts w:ascii="宋体"/>
      <w:kern w:val="0"/>
      <w:szCs w:val="20"/>
    </w:rPr>
  </w:style>
  <w:style w:type="character" w:customStyle="1" w:styleId="38">
    <w:name w:val="font31"/>
    <w:qFormat/>
    <w:uiPriority w:val="0"/>
    <w:rPr>
      <w:rFonts w:hint="eastAsia" w:ascii="宋体" w:hAnsi="宋体" w:eastAsia="宋体" w:cs="宋体"/>
      <w:color w:val="000000"/>
      <w:sz w:val="22"/>
      <w:szCs w:val="22"/>
      <w:u w:val="none"/>
    </w:rPr>
  </w:style>
  <w:style w:type="character" w:customStyle="1" w:styleId="39">
    <w:name w:val="font51"/>
    <w:qFormat/>
    <w:uiPriority w:val="0"/>
    <w:rPr>
      <w:rFonts w:hint="default" w:ascii="Times New Roman" w:hAnsi="Times New Roman" w:cs="Times New Roman"/>
      <w:color w:val="000000"/>
      <w:sz w:val="21"/>
      <w:szCs w:val="21"/>
      <w:u w:val="none"/>
    </w:rPr>
  </w:style>
  <w:style w:type="character" w:customStyle="1" w:styleId="40">
    <w:name w:val="font71"/>
    <w:qFormat/>
    <w:uiPriority w:val="0"/>
    <w:rPr>
      <w:rFonts w:hint="default" w:ascii="Times New Roman" w:hAnsi="Times New Roman" w:cs="Times New Roman"/>
      <w:color w:val="000000"/>
      <w:sz w:val="20"/>
      <w:szCs w:val="20"/>
      <w:u w:val="none"/>
    </w:rPr>
  </w:style>
  <w:style w:type="character" w:customStyle="1" w:styleId="41">
    <w:name w:val="font01"/>
    <w:qFormat/>
    <w:uiPriority w:val="0"/>
    <w:rPr>
      <w:rFonts w:hint="eastAsia" w:ascii="宋体" w:hAnsi="宋体" w:eastAsia="宋体" w:cs="宋体"/>
      <w:color w:val="000000"/>
      <w:sz w:val="22"/>
      <w:szCs w:val="22"/>
      <w:u w:val="none"/>
    </w:rPr>
  </w:style>
  <w:style w:type="character" w:customStyle="1" w:styleId="42">
    <w:name w:val="font21"/>
    <w:qFormat/>
    <w:uiPriority w:val="0"/>
    <w:rPr>
      <w:rFonts w:hint="eastAsia" w:ascii="宋体" w:hAnsi="宋体" w:eastAsia="宋体" w:cs="宋体"/>
      <w:color w:val="000000"/>
      <w:sz w:val="21"/>
      <w:szCs w:val="21"/>
      <w:u w:val="none"/>
    </w:rPr>
  </w:style>
  <w:style w:type="character" w:customStyle="1" w:styleId="43">
    <w:name w:val="font61"/>
    <w:qFormat/>
    <w:uiPriority w:val="0"/>
    <w:rPr>
      <w:rFonts w:hint="eastAsia" w:ascii="宋体" w:hAnsi="宋体" w:eastAsia="宋体" w:cs="宋体"/>
      <w:color w:val="333333"/>
      <w:sz w:val="21"/>
      <w:szCs w:val="21"/>
      <w:u w:val="none"/>
    </w:rPr>
  </w:style>
  <w:style w:type="character" w:customStyle="1" w:styleId="44">
    <w:name w:val="正文文本 字符1"/>
    <w:semiHidden/>
    <w:qFormat/>
    <w:uiPriority w:val="0"/>
    <w:rPr>
      <w:rFonts w:ascii="Times New Roman" w:hAnsi="Times New Roman" w:eastAsia="宋体"/>
      <w:sz w:val="24"/>
    </w:rPr>
  </w:style>
  <w:style w:type="character" w:customStyle="1" w:styleId="45">
    <w:name w:val="font11"/>
    <w:qFormat/>
    <w:uiPriority w:val="0"/>
    <w:rPr>
      <w:rFonts w:hint="eastAsia" w:ascii="宋体" w:hAnsi="宋体" w:eastAsia="宋体" w:cs="宋体"/>
      <w:color w:val="000000"/>
      <w:sz w:val="21"/>
      <w:szCs w:val="21"/>
      <w:u w:val="none"/>
    </w:rPr>
  </w:style>
  <w:style w:type="character" w:customStyle="1" w:styleId="46">
    <w:name w:val="批注文字 字符1"/>
    <w:semiHidden/>
    <w:qFormat/>
    <w:uiPriority w:val="0"/>
    <w:rPr>
      <w:rFonts w:ascii="Times New Roman" w:hAnsi="Times New Roman" w:eastAsia="宋体"/>
      <w:sz w:val="24"/>
    </w:rPr>
  </w:style>
  <w:style w:type="character" w:customStyle="1" w:styleId="47">
    <w:name w:val="font41"/>
    <w:qFormat/>
    <w:uiPriority w:val="0"/>
    <w:rPr>
      <w:rFonts w:hint="default" w:ascii="Times New Roman" w:hAnsi="Times New Roman" w:cs="Times New Roman"/>
      <w:color w:val="000000"/>
      <w:sz w:val="21"/>
      <w:szCs w:val="21"/>
      <w:u w:val="none"/>
      <w:vertAlign w:val="superscript"/>
    </w:rPr>
  </w:style>
  <w:style w:type="paragraph" w:customStyle="1" w:styleId="48">
    <w:name w:val="文本"/>
    <w:basedOn w:val="1"/>
    <w:qFormat/>
    <w:uiPriority w:val="0"/>
    <w:pPr>
      <w:adjustRightInd w:val="0"/>
      <w:snapToGrid w:val="0"/>
      <w:spacing w:line="360" w:lineRule="auto"/>
      <w:ind w:firstLine="1446" w:firstLineChars="200"/>
    </w:pPr>
    <w:rPr>
      <w:rFonts w:ascii="Times New Roman" w:hAnsi="Times New Roman" w:eastAsia="宋体"/>
      <w:sz w:val="24"/>
    </w:rPr>
  </w:style>
  <w:style w:type="paragraph" w:customStyle="1" w:styleId="49">
    <w:name w:val="目录 53"/>
    <w:basedOn w:val="1"/>
    <w:next w:val="1"/>
    <w:qFormat/>
    <w:uiPriority w:val="0"/>
    <w:pPr>
      <w:ind w:left="840"/>
    </w:pPr>
    <w:rPr>
      <w:rFonts w:cs="宋体"/>
      <w:color w:val="000000"/>
    </w:rPr>
  </w:style>
  <w:style w:type="paragraph" w:customStyle="1" w:styleId="50">
    <w:name w:val="表格头"/>
    <w:basedOn w:val="1"/>
    <w:qFormat/>
    <w:uiPriority w:val="0"/>
    <w:pPr>
      <w:widowControl w:val="0"/>
      <w:tabs>
        <w:tab w:val="left" w:pos="0"/>
      </w:tabs>
      <w:spacing w:line="360" w:lineRule="auto"/>
      <w:jc w:val="center"/>
    </w:pPr>
    <w:rPr>
      <w:b/>
      <w:bCs/>
      <w:kern w:val="2"/>
      <w:sz w:val="24"/>
      <w:szCs w:val="24"/>
    </w:rPr>
  </w:style>
  <w:style w:type="paragraph" w:customStyle="1" w:styleId="51">
    <w:name w:val="表头"/>
    <w:basedOn w:val="48"/>
    <w:next w:val="1"/>
    <w:qFormat/>
    <w:uiPriority w:val="0"/>
    <w:pPr>
      <w:adjustRightInd w:val="0"/>
      <w:spacing w:line="320" w:lineRule="atLeast"/>
      <w:jc w:val="center"/>
      <w:textAlignment w:val="baseline"/>
    </w:pPr>
    <w:rPr>
      <w:rFonts w:eastAsia="黑体"/>
      <w:spacing w:val="-10"/>
      <w:kern w:val="0"/>
      <w:szCs w:val="20"/>
    </w:rPr>
  </w:style>
  <w:style w:type="paragraph" w:customStyle="1" w:styleId="52">
    <w:name w:val="表格标题"/>
    <w:basedOn w:val="1"/>
    <w:qFormat/>
    <w:uiPriority w:val="0"/>
    <w:pPr>
      <w:adjustRightInd w:val="0"/>
      <w:snapToGrid w:val="0"/>
      <w:spacing w:line="480" w:lineRule="exact"/>
      <w:jc w:val="center"/>
    </w:pPr>
    <w:rPr>
      <w:rFonts w:eastAsia="黑体"/>
      <w:b/>
      <w:snapToGrid w:val="0"/>
      <w:kern w:val="0"/>
      <w:sz w:val="24"/>
    </w:rPr>
  </w:style>
  <w:style w:type="paragraph" w:customStyle="1" w:styleId="53">
    <w:name w:val="_Style 0"/>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54">
    <w:name w:val="1正文段落"/>
    <w:basedOn w:val="1"/>
    <w:qFormat/>
    <w:uiPriority w:val="0"/>
    <w:pPr>
      <w:spacing w:before="60"/>
      <w:ind w:firstLine="480"/>
      <w:jc w:val="center"/>
    </w:pPr>
    <w:rPr>
      <w:rFonts w:ascii="黑体"/>
      <w:color w:val="000000"/>
    </w:rPr>
  </w:style>
  <w:style w:type="paragraph" w:customStyle="1" w:styleId="55">
    <w:name w:val="标题2"/>
    <w:basedOn w:val="6"/>
    <w:qFormat/>
    <w:uiPriority w:val="0"/>
    <w:pPr>
      <w:keepLines w:val="0"/>
      <w:adjustRightInd w:val="0"/>
      <w:snapToGrid w:val="0"/>
      <w:spacing w:before="0" w:after="0" w:line="360" w:lineRule="auto"/>
    </w:pPr>
    <w:rPr>
      <w:rFonts w:ascii="黑体" w:hAnsi="Times New Roman"/>
      <w:snapToGrid w:val="0"/>
      <w:kern w:val="0"/>
      <w:sz w:val="24"/>
      <w:szCs w:val="20"/>
    </w:rPr>
  </w:style>
  <w:style w:type="paragraph" w:customStyle="1" w:styleId="56">
    <w:name w:val="Default"/>
    <w:basedOn w:val="55"/>
    <w:next w:val="1"/>
    <w:qFormat/>
    <w:uiPriority w:val="0"/>
    <w:pPr>
      <w:widowControl w:val="0"/>
      <w:autoSpaceDE w:val="0"/>
      <w:autoSpaceDN w:val="0"/>
      <w:adjustRightInd w:val="0"/>
    </w:pPr>
    <w:rPr>
      <w:rFonts w:ascii="宋体" w:hAnsi="宋体" w:cs="宋体"/>
      <w:sz w:val="24"/>
      <w:lang w:val="en-US" w:eastAsia="zh-CN" w:bidi="ar-SA"/>
    </w:rPr>
  </w:style>
  <w:style w:type="paragraph" w:customStyle="1" w:styleId="57">
    <w:name w:val="表"/>
    <w:basedOn w:val="1"/>
    <w:qFormat/>
    <w:uiPriority w:val="0"/>
    <w:pPr>
      <w:snapToGrid w:val="0"/>
      <w:jc w:val="center"/>
    </w:pPr>
    <w:rPr>
      <w:rFonts w:eastAsia="宋体"/>
      <w:spacing w:val="2"/>
      <w:sz w:val="24"/>
      <w:szCs w:val="22"/>
    </w:rPr>
  </w:style>
  <w:style w:type="paragraph" w:customStyle="1" w:styleId="58">
    <w:name w:val="表格内容自定"/>
    <w:basedOn w:val="1"/>
    <w:qFormat/>
    <w:uiPriority w:val="0"/>
    <w:pPr>
      <w:spacing w:line="280" w:lineRule="exact"/>
      <w:jc w:val="center"/>
    </w:pPr>
    <w:rPr>
      <w:sz w:val="18"/>
      <w:szCs w:val="21"/>
    </w:rPr>
  </w:style>
  <w:style w:type="paragraph" w:customStyle="1" w:styleId="59">
    <w:name w:val="Table Paragraph"/>
    <w:basedOn w:val="1"/>
    <w:qFormat/>
    <w:uiPriority w:val="99"/>
  </w:style>
  <w:style w:type="paragraph" w:customStyle="1" w:styleId="60">
    <w:name w:val="正文（首行缩进） Char"/>
    <w:basedOn w:val="1"/>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rPr>
  </w:style>
  <w:style w:type="paragraph" w:customStyle="1" w:styleId="61">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3">
    <w:name w:val="样式1"/>
    <w:basedOn w:val="1"/>
    <w:qFormat/>
    <w:uiPriority w:val="0"/>
    <w:rPr>
      <w:color w:val="000000"/>
      <w:sz w:val="24"/>
      <w:szCs w:val="24"/>
    </w:rPr>
  </w:style>
  <w:style w:type="table" w:customStyle="1" w:styleId="64">
    <w:name w:val="Table Normal"/>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7.png"/><Relationship Id="rId36" Type="http://schemas.openxmlformats.org/officeDocument/2006/relationships/image" Target="media/image16.wmf"/><Relationship Id="rId35" Type="http://schemas.openxmlformats.org/officeDocument/2006/relationships/oleObject" Target="embeddings/oleObject11.bin"/><Relationship Id="rId34" Type="http://schemas.openxmlformats.org/officeDocument/2006/relationships/image" Target="media/image15.wmf"/><Relationship Id="rId33" Type="http://schemas.openxmlformats.org/officeDocument/2006/relationships/oleObject" Target="embeddings/oleObject10.bin"/><Relationship Id="rId32" Type="http://schemas.openxmlformats.org/officeDocument/2006/relationships/image" Target="media/image14.wmf"/><Relationship Id="rId31" Type="http://schemas.openxmlformats.org/officeDocument/2006/relationships/oleObject" Target="embeddings/oleObject9.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2.wmf"/><Relationship Id="rId27" Type="http://schemas.openxmlformats.org/officeDocument/2006/relationships/oleObject" Target="embeddings/oleObject7.bin"/><Relationship Id="rId26" Type="http://schemas.openxmlformats.org/officeDocument/2006/relationships/image" Target="media/image11.png"/><Relationship Id="rId25" Type="http://schemas.openxmlformats.org/officeDocument/2006/relationships/image" Target="media/image10.wmf"/><Relationship Id="rId24" Type="http://schemas.openxmlformats.org/officeDocument/2006/relationships/oleObject" Target="embeddings/oleObject6.bin"/><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oleObject" Target="embeddings/oleObject5.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4.bin"/><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3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生态环境部制</Company>
  <Pages>66</Pages>
  <Words>39704</Words>
  <Characters>47331</Characters>
  <Lines>356</Lines>
  <Paragraphs>100</Paragraphs>
  <TotalTime>12</TotalTime>
  <ScaleCrop>false</ScaleCrop>
  <LinksUpToDate>false</LinksUpToDate>
  <CharactersWithSpaces>47603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徐老师</dc:creator>
  <cp:lastModifiedBy>重尺</cp:lastModifiedBy>
  <cp:lastPrinted>2022-10-20T04:52:00Z</cp:lastPrinted>
  <dcterms:modified xsi:type="dcterms:W3CDTF">2022-11-14T08:59:43Z</dcterms:modified>
  <dc:title>建设项目环境影响报告表（污染影响类）</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B5FA5C97DE0F4A9CA93A15812CAF37DA</vt:lpwstr>
  </property>
</Properties>
</file>