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pPr>
    </w:p>
    <w:p>
      <w:pPr>
        <w:ind w:firstLine="480"/>
      </w:pPr>
    </w:p>
    <w:p>
      <w:pPr>
        <w:ind w:firstLine="480"/>
      </w:pPr>
    </w:p>
    <w:p>
      <w:pPr>
        <w:ind w:firstLine="480"/>
      </w:pPr>
    </w:p>
    <w:p>
      <w:pPr>
        <w:ind w:firstLine="480"/>
      </w:pPr>
    </w:p>
    <w:p>
      <w:pPr>
        <w:ind w:firstLine="1760" w:firstLineChars="400"/>
        <w:rPr>
          <w:sz w:val="44"/>
          <w:szCs w:val="44"/>
        </w:rPr>
      </w:pPr>
      <w:r>
        <w:rPr>
          <w:rFonts w:hint="eastAsia"/>
          <w:sz w:val="44"/>
          <w:szCs w:val="44"/>
        </w:rPr>
        <w:t>安徽新邦机械制造有限公司</w:t>
      </w:r>
    </w:p>
    <w:p>
      <w:pPr>
        <w:ind w:firstLine="1320" w:firstLineChars="300"/>
        <w:rPr>
          <w:sz w:val="44"/>
          <w:szCs w:val="44"/>
        </w:rPr>
      </w:pPr>
      <w:bookmarkStart w:id="0" w:name="_Hlk89415059"/>
      <w:r>
        <w:rPr>
          <w:rFonts w:hint="eastAsia"/>
          <w:sz w:val="44"/>
          <w:szCs w:val="44"/>
        </w:rPr>
        <w:t>年产10000吨机械加工生产项目</w:t>
      </w:r>
      <w:bookmarkEnd w:id="0"/>
    </w:p>
    <w:p>
      <w:pPr>
        <w:ind w:firstLine="1320" w:firstLineChars="300"/>
        <w:rPr>
          <w:w w:val="90"/>
          <w:sz w:val="44"/>
          <w:szCs w:val="44"/>
        </w:rPr>
      </w:pPr>
      <w:r>
        <w:rPr>
          <w:rFonts w:hint="eastAsia"/>
          <w:sz w:val="44"/>
          <w:szCs w:val="44"/>
        </w:rPr>
        <w:t>阶段性竣工环境保护</w:t>
      </w:r>
      <w:r>
        <w:rPr>
          <w:sz w:val="44"/>
          <w:szCs w:val="44"/>
        </w:rPr>
        <w:t>验收监测报告</w:t>
      </w:r>
    </w:p>
    <w:p>
      <w:pPr>
        <w:ind w:firstLine="480"/>
        <w:rPr>
          <w:sz w:val="44"/>
          <w:szCs w:val="44"/>
        </w:rPr>
      </w:pPr>
    </w:p>
    <w:p>
      <w:pPr>
        <w:ind w:firstLine="480"/>
        <w:rPr>
          <w:sz w:val="44"/>
          <w:szCs w:val="44"/>
        </w:rPr>
      </w:pPr>
    </w:p>
    <w:p>
      <w:pPr>
        <w:ind w:firstLine="480"/>
        <w:rPr>
          <w:sz w:val="44"/>
          <w:szCs w:val="44"/>
        </w:rPr>
      </w:pPr>
    </w:p>
    <w:p>
      <w:pPr>
        <w:ind w:left="0" w:leftChars="0" w:firstLine="0" w:firstLineChars="0"/>
        <w:rPr>
          <w:sz w:val="44"/>
          <w:szCs w:val="44"/>
        </w:rPr>
      </w:pPr>
    </w:p>
    <w:p>
      <w:pPr>
        <w:ind w:firstLine="480"/>
        <w:rPr>
          <w:sz w:val="44"/>
          <w:szCs w:val="44"/>
        </w:rPr>
      </w:pPr>
    </w:p>
    <w:p>
      <w:pPr>
        <w:ind w:firstLine="480"/>
        <w:rPr>
          <w:sz w:val="32"/>
          <w:szCs w:val="32"/>
        </w:rPr>
      </w:pPr>
      <w:r>
        <w:rPr>
          <w:rFonts w:hint="eastAsia"/>
          <w:sz w:val="32"/>
          <w:szCs w:val="32"/>
        </w:rPr>
        <w:t>建设单位</w:t>
      </w:r>
      <w:r>
        <w:rPr>
          <w:sz w:val="32"/>
          <w:szCs w:val="32"/>
        </w:rPr>
        <w:t>：</w:t>
      </w:r>
      <w:r>
        <w:rPr>
          <w:rFonts w:hint="eastAsia"/>
          <w:sz w:val="32"/>
          <w:szCs w:val="32"/>
        </w:rPr>
        <w:t>安徽新邦机械制造有限公司</w:t>
      </w:r>
    </w:p>
    <w:p>
      <w:pPr>
        <w:ind w:firstLine="480"/>
        <w:rPr>
          <w:sz w:val="32"/>
          <w:szCs w:val="32"/>
        </w:rPr>
      </w:pPr>
      <w:r>
        <w:rPr>
          <w:rFonts w:hint="eastAsia"/>
          <w:sz w:val="32"/>
          <w:szCs w:val="32"/>
        </w:rPr>
        <w:t>编制单位</w:t>
      </w:r>
      <w:r>
        <w:rPr>
          <w:sz w:val="32"/>
          <w:szCs w:val="32"/>
        </w:rPr>
        <w:t>：安徽应天环保科技咨询有限公司</w:t>
      </w:r>
    </w:p>
    <w:p>
      <w:pPr>
        <w:ind w:firstLine="3200" w:firstLineChars="1000"/>
        <w:rPr>
          <w:sz w:val="32"/>
          <w:szCs w:val="32"/>
        </w:rPr>
      </w:pPr>
      <w:r>
        <w:rPr>
          <w:rFonts w:hint="eastAsia"/>
          <w:sz w:val="32"/>
          <w:szCs w:val="32"/>
        </w:rPr>
        <w:t>2</w:t>
      </w:r>
      <w:r>
        <w:rPr>
          <w:sz w:val="32"/>
          <w:szCs w:val="32"/>
        </w:rPr>
        <w:t>02</w:t>
      </w:r>
      <w:r>
        <w:rPr>
          <w:rFonts w:hint="eastAsia"/>
          <w:sz w:val="32"/>
          <w:szCs w:val="32"/>
        </w:rPr>
        <w:t>4年1月</w:t>
      </w:r>
    </w:p>
    <w:p>
      <w:pPr>
        <w:ind w:firstLine="480"/>
        <w:rPr>
          <w:sz w:val="44"/>
          <w:szCs w:val="44"/>
        </w:rPr>
      </w:pPr>
    </w:p>
    <w:p>
      <w:pPr>
        <w:ind w:firstLine="480"/>
      </w:pPr>
    </w:p>
    <w:p>
      <w:pPr>
        <w:ind w:firstLine="480"/>
      </w:pPr>
    </w:p>
    <w:p>
      <w:pPr>
        <w:ind w:firstLine="480"/>
      </w:pPr>
    </w:p>
    <w:p>
      <w:pPr>
        <w:ind w:firstLine="480"/>
      </w:pPr>
    </w:p>
    <w:tbl>
      <w:tblPr>
        <w:tblStyle w:val="44"/>
        <w:tblW w:w="924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38"/>
        <w:gridCol w:w="3775"/>
        <w:gridCol w:w="1718"/>
        <w:gridCol w:w="20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513" w:type="dxa"/>
            <w:gridSpan w:val="2"/>
            <w:tcBorders>
              <w:tl2br w:val="nil"/>
              <w:tr2bl w:val="nil"/>
            </w:tcBorders>
            <w:vAlign w:val="center"/>
          </w:tcPr>
          <w:p>
            <w:pPr>
              <w:ind w:firstLine="480"/>
              <w:jc w:val="both"/>
              <w:rPr>
                <w:kern w:val="0"/>
              </w:rPr>
            </w:pPr>
            <w:r>
              <w:rPr>
                <w:kern w:val="0"/>
              </w:rPr>
              <w:t>建设单位法人代表（签字/签章）：</w:t>
            </w: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513" w:type="dxa"/>
            <w:gridSpan w:val="2"/>
            <w:tcBorders>
              <w:tl2br w:val="nil"/>
              <w:tr2bl w:val="nil"/>
            </w:tcBorders>
            <w:vAlign w:val="center"/>
          </w:tcPr>
          <w:p>
            <w:pPr>
              <w:ind w:firstLine="480"/>
              <w:jc w:val="both"/>
              <w:rPr>
                <w:kern w:val="0"/>
              </w:rPr>
            </w:pPr>
            <w:r>
              <w:rPr>
                <w:kern w:val="0"/>
              </w:rPr>
              <w:t>编制单位法人代表（签字/签章）：</w:t>
            </w: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513" w:type="dxa"/>
            <w:gridSpan w:val="2"/>
            <w:tcBorders>
              <w:tl2br w:val="nil"/>
              <w:tr2bl w:val="nil"/>
            </w:tcBorders>
            <w:vAlign w:val="center"/>
          </w:tcPr>
          <w:p>
            <w:pPr>
              <w:ind w:firstLine="480"/>
              <w:jc w:val="both"/>
              <w:rPr>
                <w:kern w:val="0"/>
              </w:rPr>
            </w:pPr>
            <w:r>
              <w:rPr>
                <w:kern w:val="0"/>
              </w:rPr>
              <w:t>项目负责人：</w:t>
            </w: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trPr>
        <w:tc>
          <w:tcPr>
            <w:tcW w:w="5513" w:type="dxa"/>
            <w:gridSpan w:val="2"/>
            <w:tcBorders>
              <w:tl2br w:val="nil"/>
              <w:tr2bl w:val="nil"/>
            </w:tcBorders>
            <w:vAlign w:val="center"/>
          </w:tcPr>
          <w:p>
            <w:pPr>
              <w:ind w:firstLine="480"/>
              <w:jc w:val="both"/>
              <w:rPr>
                <w:kern w:val="0"/>
              </w:rPr>
            </w:pPr>
            <w:r>
              <w:rPr>
                <w:rFonts w:hint="eastAsia"/>
                <w:kern w:val="0"/>
              </w:rPr>
              <w:t>报告编制人</w:t>
            </w:r>
            <w:r>
              <w:rPr>
                <w:kern w:val="0"/>
              </w:rPr>
              <w:t>：</w:t>
            </w:r>
          </w:p>
        </w:tc>
        <w:tc>
          <w:tcPr>
            <w:tcW w:w="3729" w:type="dxa"/>
            <w:gridSpan w:val="2"/>
            <w:tcBorders>
              <w:tl2br w:val="nil"/>
              <w:tr2bl w:val="nil"/>
            </w:tcBorders>
            <w:vAlign w:val="center"/>
          </w:tcPr>
          <w:p>
            <w:pPr>
              <w:ind w:firstLine="480"/>
              <w:jc w:val="both"/>
              <w:rPr>
                <w:kern w:val="0"/>
              </w:rPr>
            </w:pPr>
            <w:r>
              <w:rPr>
                <w:rFonts w:hint="eastAsia"/>
                <w:kern w:val="0"/>
              </w:rPr>
              <w:t>徐霞</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513" w:type="dxa"/>
            <w:gridSpan w:val="2"/>
            <w:tcBorders>
              <w:tl2br w:val="nil"/>
              <w:tr2bl w:val="nil"/>
            </w:tcBorders>
            <w:vAlign w:val="center"/>
          </w:tcPr>
          <w:p>
            <w:pPr>
              <w:ind w:firstLine="480"/>
              <w:jc w:val="both"/>
              <w:rPr>
                <w:kern w:val="0"/>
              </w:rPr>
            </w:pP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trPr>
        <w:tc>
          <w:tcPr>
            <w:tcW w:w="5513" w:type="dxa"/>
            <w:gridSpan w:val="2"/>
            <w:tcBorders>
              <w:tl2br w:val="nil"/>
              <w:tr2bl w:val="nil"/>
            </w:tcBorders>
            <w:vAlign w:val="center"/>
          </w:tcPr>
          <w:p>
            <w:pPr>
              <w:ind w:firstLine="480"/>
              <w:jc w:val="both"/>
              <w:rPr>
                <w:kern w:val="0"/>
              </w:rPr>
            </w:pP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trPr>
        <w:tc>
          <w:tcPr>
            <w:tcW w:w="5513" w:type="dxa"/>
            <w:gridSpan w:val="2"/>
            <w:tcBorders>
              <w:tl2br w:val="nil"/>
              <w:tr2bl w:val="nil"/>
            </w:tcBorders>
            <w:vAlign w:val="center"/>
          </w:tcPr>
          <w:p>
            <w:pPr>
              <w:ind w:firstLine="480"/>
              <w:jc w:val="both"/>
              <w:rPr>
                <w:kern w:val="0"/>
              </w:rPr>
            </w:pP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trPr>
        <w:tc>
          <w:tcPr>
            <w:tcW w:w="5513" w:type="dxa"/>
            <w:gridSpan w:val="2"/>
            <w:tcBorders>
              <w:tl2br w:val="nil"/>
              <w:tr2bl w:val="nil"/>
            </w:tcBorders>
            <w:vAlign w:val="center"/>
          </w:tcPr>
          <w:p>
            <w:pPr>
              <w:ind w:firstLine="480"/>
              <w:jc w:val="both"/>
              <w:rPr>
                <w:kern w:val="0"/>
              </w:rPr>
            </w:pPr>
          </w:p>
        </w:tc>
        <w:tc>
          <w:tcPr>
            <w:tcW w:w="3729" w:type="dxa"/>
            <w:gridSpan w:val="2"/>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建设单位：</w:t>
            </w:r>
          </w:p>
        </w:tc>
        <w:tc>
          <w:tcPr>
            <w:tcW w:w="5493" w:type="dxa"/>
            <w:gridSpan w:val="2"/>
            <w:tcBorders>
              <w:tl2br w:val="nil"/>
              <w:tr2bl w:val="nil"/>
            </w:tcBorders>
            <w:vAlign w:val="center"/>
          </w:tcPr>
          <w:p>
            <w:pPr>
              <w:ind w:firstLine="480"/>
              <w:jc w:val="both"/>
              <w:rPr>
                <w:kern w:val="0"/>
              </w:rPr>
            </w:pPr>
            <w:r>
              <w:rPr>
                <w:rFonts w:hint="eastAsia"/>
                <w:kern w:val="0"/>
              </w:rPr>
              <w:t>安徽新邦机械制造有限公司</w:t>
            </w:r>
          </w:p>
        </w:tc>
        <w:tc>
          <w:tcPr>
            <w:tcW w:w="2011" w:type="dxa"/>
            <w:tcBorders>
              <w:tl2br w:val="nil"/>
              <w:tr2bl w:val="nil"/>
            </w:tcBorders>
            <w:vAlign w:val="center"/>
          </w:tcPr>
          <w:p>
            <w:pPr>
              <w:ind w:firstLine="480"/>
              <w:jc w:val="both"/>
              <w:rPr>
                <w:kern w:val="0"/>
              </w:rPr>
            </w:pPr>
            <w:r>
              <w:rPr>
                <w:kern w:val="0"/>
              </w:rPr>
              <w:t>（盖章）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电    话：</w:t>
            </w:r>
          </w:p>
        </w:tc>
        <w:tc>
          <w:tcPr>
            <w:tcW w:w="7504" w:type="dxa"/>
            <w:gridSpan w:val="3"/>
            <w:tcBorders>
              <w:tl2br w:val="nil"/>
              <w:tr2bl w:val="nil"/>
            </w:tcBorders>
            <w:vAlign w:val="center"/>
          </w:tcPr>
          <w:p>
            <w:pPr>
              <w:ind w:firstLine="480"/>
              <w:jc w:val="both"/>
              <w:rPr>
                <w:kern w:val="0"/>
              </w:rPr>
            </w:pPr>
            <w:r>
              <w:rPr>
                <w:rFonts w:hint="eastAsia"/>
                <w:kern w:val="0"/>
              </w:rPr>
              <w:t>13814738411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传    真：</w:t>
            </w:r>
          </w:p>
        </w:tc>
        <w:tc>
          <w:tcPr>
            <w:tcW w:w="7504" w:type="dxa"/>
            <w:gridSpan w:val="3"/>
            <w:tcBorders>
              <w:tl2br w:val="nil"/>
              <w:tr2bl w:val="nil"/>
            </w:tcBorders>
            <w:vAlign w:val="center"/>
          </w:tcPr>
          <w:p>
            <w:pPr>
              <w:ind w:firstLine="480"/>
              <w:jc w:val="both"/>
              <w:rPr>
                <w:kern w:val="0"/>
              </w:rPr>
            </w:pPr>
            <w:r>
              <w:rPr>
                <w:rFonts w:hint="eastAsia"/>
                <w:kern w:val="0"/>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邮    编：</w:t>
            </w:r>
          </w:p>
        </w:tc>
        <w:tc>
          <w:tcPr>
            <w:tcW w:w="7504" w:type="dxa"/>
            <w:gridSpan w:val="3"/>
            <w:tcBorders>
              <w:tl2br w:val="nil"/>
              <w:tr2bl w:val="nil"/>
            </w:tcBorders>
            <w:vAlign w:val="center"/>
          </w:tcPr>
          <w:p>
            <w:pPr>
              <w:ind w:firstLine="480"/>
              <w:jc w:val="both"/>
              <w:rPr>
                <w:kern w:val="0"/>
              </w:rPr>
            </w:pPr>
            <w:r>
              <w:rPr>
                <w:rFonts w:hint="eastAsia"/>
                <w:kern w:val="0"/>
              </w:rPr>
              <w:t>235000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地    址：</w:t>
            </w:r>
          </w:p>
        </w:tc>
        <w:tc>
          <w:tcPr>
            <w:tcW w:w="7504" w:type="dxa"/>
            <w:gridSpan w:val="3"/>
            <w:tcBorders>
              <w:tl2br w:val="nil"/>
              <w:tr2bl w:val="nil"/>
            </w:tcBorders>
            <w:vAlign w:val="center"/>
          </w:tcPr>
          <w:p>
            <w:pPr>
              <w:ind w:firstLine="480"/>
              <w:jc w:val="both"/>
              <w:rPr>
                <w:kern w:val="0"/>
              </w:rPr>
            </w:pPr>
            <w:r>
              <w:rPr>
                <w:kern w:val="0"/>
              </w:rPr>
              <w:t>淮北市杜集区</w:t>
            </w:r>
            <w:r>
              <w:rPr>
                <w:rFonts w:hint="eastAsia"/>
                <w:kern w:val="0"/>
              </w:rPr>
              <w:t>段园工业集中区311国道原夹河收费站西2500米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firstLine="480"/>
              <w:jc w:val="both"/>
              <w:rPr>
                <w:kern w:val="0"/>
              </w:rPr>
            </w:pPr>
          </w:p>
        </w:tc>
        <w:tc>
          <w:tcPr>
            <w:tcW w:w="7504" w:type="dxa"/>
            <w:gridSpan w:val="3"/>
            <w:tcBorders>
              <w:tl2br w:val="nil"/>
              <w:tr2bl w:val="nil"/>
            </w:tcBorders>
            <w:vAlign w:val="center"/>
          </w:tcPr>
          <w:p>
            <w:pPr>
              <w:ind w:firstLine="480"/>
              <w:jc w:val="both"/>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编制单位：</w:t>
            </w:r>
          </w:p>
        </w:tc>
        <w:tc>
          <w:tcPr>
            <w:tcW w:w="5493" w:type="dxa"/>
            <w:gridSpan w:val="2"/>
            <w:tcBorders>
              <w:tl2br w:val="nil"/>
              <w:tr2bl w:val="nil"/>
            </w:tcBorders>
            <w:vAlign w:val="center"/>
          </w:tcPr>
          <w:p>
            <w:pPr>
              <w:ind w:firstLine="480"/>
              <w:jc w:val="both"/>
              <w:rPr>
                <w:kern w:val="0"/>
              </w:rPr>
            </w:pPr>
            <w:r>
              <w:rPr>
                <w:kern w:val="0"/>
              </w:rPr>
              <w:t>安徽应天环保科技咨询有限公司</w:t>
            </w:r>
          </w:p>
        </w:tc>
        <w:tc>
          <w:tcPr>
            <w:tcW w:w="2011" w:type="dxa"/>
            <w:tcBorders>
              <w:tl2br w:val="nil"/>
              <w:tr2bl w:val="nil"/>
            </w:tcBorders>
            <w:vAlign w:val="center"/>
          </w:tcPr>
          <w:p>
            <w:pPr>
              <w:ind w:firstLine="480"/>
              <w:jc w:val="both"/>
              <w:rPr>
                <w:kern w:val="0"/>
              </w:rPr>
            </w:pPr>
            <w:r>
              <w:rPr>
                <w:kern w:val="0"/>
              </w:rPr>
              <w:t>（盖章）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电    话：</w:t>
            </w:r>
          </w:p>
        </w:tc>
        <w:tc>
          <w:tcPr>
            <w:tcW w:w="7504" w:type="dxa"/>
            <w:gridSpan w:val="3"/>
            <w:tcBorders>
              <w:tl2br w:val="nil"/>
              <w:tr2bl w:val="nil"/>
            </w:tcBorders>
            <w:vAlign w:val="center"/>
          </w:tcPr>
          <w:p>
            <w:pPr>
              <w:ind w:firstLine="480"/>
              <w:jc w:val="both"/>
              <w:rPr>
                <w:kern w:val="0"/>
              </w:rPr>
            </w:pPr>
            <w:r>
              <w:rPr>
                <w:kern w:val="0"/>
              </w:rPr>
              <w:t>0551-65330150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传    真：</w:t>
            </w:r>
          </w:p>
        </w:tc>
        <w:tc>
          <w:tcPr>
            <w:tcW w:w="7504" w:type="dxa"/>
            <w:gridSpan w:val="3"/>
            <w:tcBorders>
              <w:tl2br w:val="nil"/>
              <w:tr2bl w:val="nil"/>
            </w:tcBorders>
            <w:vAlign w:val="center"/>
          </w:tcPr>
          <w:p>
            <w:pPr>
              <w:ind w:firstLine="480"/>
              <w:jc w:val="both"/>
              <w:rPr>
                <w:kern w:val="0"/>
              </w:rPr>
            </w:pPr>
            <w:r>
              <w:rPr>
                <w:kern w:val="0"/>
              </w:rPr>
              <w:t>0551-65330153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tcBorders>
              <w:tl2br w:val="nil"/>
              <w:tr2bl w:val="nil"/>
            </w:tcBorders>
            <w:vAlign w:val="center"/>
          </w:tcPr>
          <w:p>
            <w:pPr>
              <w:ind w:left="0" w:leftChars="0" w:firstLine="0" w:firstLineChars="0"/>
              <w:jc w:val="both"/>
              <w:rPr>
                <w:kern w:val="0"/>
              </w:rPr>
            </w:pPr>
            <w:r>
              <w:rPr>
                <w:kern w:val="0"/>
              </w:rPr>
              <w:t>邮    编：</w:t>
            </w:r>
          </w:p>
        </w:tc>
        <w:tc>
          <w:tcPr>
            <w:tcW w:w="7504" w:type="dxa"/>
            <w:gridSpan w:val="3"/>
            <w:tcBorders>
              <w:tl2br w:val="nil"/>
              <w:tr2bl w:val="nil"/>
            </w:tcBorders>
            <w:vAlign w:val="center"/>
          </w:tcPr>
          <w:p>
            <w:pPr>
              <w:ind w:firstLine="480"/>
              <w:jc w:val="both"/>
              <w:rPr>
                <w:rFonts w:ascii="Times New Roman" w:hAnsi="Times New Roman" w:eastAsia="宋体" w:cs="Times New Roman"/>
                <w:kern w:val="0"/>
                <w:sz w:val="30"/>
                <w:szCs w:val="30"/>
              </w:rPr>
            </w:pPr>
            <w:r>
              <w:fldChar w:fldCharType="begin"/>
            </w:r>
            <w:r>
              <w:instrText xml:space="preserve"> HYPERLINK "http://www.youbian.com/230088/" </w:instrText>
            </w:r>
            <w:r>
              <w:fldChar w:fldCharType="separate"/>
            </w:r>
            <w:r>
              <w:rPr>
                <w:rFonts w:ascii="Times New Roman" w:hAnsi="Times New Roman" w:eastAsia="宋体" w:cs="Times New Roman"/>
                <w:kern w:val="0"/>
                <w:sz w:val="30"/>
                <w:szCs w:val="30"/>
              </w:rPr>
              <w:t>230088</w:t>
            </w:r>
            <w:r>
              <w:rPr>
                <w:rFonts w:ascii="Times New Roman" w:hAnsi="Times New Roman" w:eastAsia="宋体" w:cs="Times New Roman"/>
                <w:kern w:val="0"/>
                <w:sz w:val="30"/>
                <w:szCs w:val="30"/>
              </w:rPr>
              <w:fldChar w:fldCharType="end"/>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738" w:type="dxa"/>
            <w:vAlign w:val="center"/>
          </w:tcPr>
          <w:p>
            <w:pPr>
              <w:ind w:left="0" w:leftChars="0" w:firstLine="0" w:firstLineChars="0"/>
              <w:jc w:val="both"/>
              <w:rPr>
                <w:kern w:val="0"/>
              </w:rPr>
            </w:pPr>
            <w:r>
              <w:rPr>
                <w:kern w:val="0"/>
              </w:rPr>
              <w:t>地    址：</w:t>
            </w:r>
          </w:p>
        </w:tc>
        <w:tc>
          <w:tcPr>
            <w:tcW w:w="7504" w:type="dxa"/>
            <w:gridSpan w:val="3"/>
            <w:vAlign w:val="center"/>
          </w:tcPr>
          <w:p>
            <w:pPr>
              <w:ind w:firstLine="480"/>
              <w:jc w:val="both"/>
              <w:rPr>
                <w:kern w:val="0"/>
              </w:rPr>
            </w:pPr>
            <w:r>
              <w:rPr>
                <w:kern w:val="0"/>
              </w:rPr>
              <w:t>合肥市高新区环保产业园F5栋11楼</w:t>
            </w:r>
          </w:p>
        </w:tc>
      </w:tr>
    </w:tbl>
    <w:sdt>
      <w:sdtPr>
        <w:rPr>
          <w:rFonts w:asciiTheme="minorHAnsi" w:hAnsiTheme="minorHAnsi" w:eastAsiaTheme="minorEastAsia" w:cstheme="minorBidi"/>
          <w:color w:val="auto"/>
          <w:kern w:val="2"/>
          <w:sz w:val="21"/>
          <w:szCs w:val="22"/>
          <w:lang w:val="zh-CN"/>
        </w:rPr>
        <w:id w:val="2138144190"/>
        <w:docPartObj>
          <w:docPartGallery w:val="Table of Contents"/>
          <w:docPartUnique/>
        </w:docPartObj>
      </w:sdtPr>
      <w:sdtEndPr>
        <w:rPr>
          <w:rFonts w:asciiTheme="minorHAnsi" w:hAnsiTheme="minorHAnsi" w:eastAsiaTheme="minorEastAsia" w:cstheme="minorBidi"/>
          <w:b/>
          <w:bCs/>
          <w:color w:val="auto"/>
          <w:kern w:val="2"/>
          <w:sz w:val="24"/>
          <w:szCs w:val="24"/>
          <w:lang w:val="zh-CN"/>
        </w:rPr>
      </w:sdtEndPr>
      <w:sdtContent>
        <w:p>
          <w:pPr>
            <w:pStyle w:val="109"/>
            <w:jc w:val="center"/>
          </w:pPr>
          <w:r>
            <w:rPr>
              <w:lang w:val="zh-CN"/>
            </w:rPr>
            <w:t>目录</w:t>
          </w:r>
        </w:p>
        <w:p>
          <w:pPr>
            <w:pStyle w:val="31"/>
            <w:tabs>
              <w:tab w:val="right" w:leader="dot" w:pos="8306"/>
            </w:tabs>
          </w:pPr>
          <w:r>
            <w:fldChar w:fldCharType="begin"/>
          </w:r>
          <w:r>
            <w:instrText xml:space="preserve"> TOC \o "1-2" \h \z \u </w:instrText>
          </w:r>
          <w:r>
            <w:fldChar w:fldCharType="separate"/>
          </w:r>
          <w:r>
            <w:fldChar w:fldCharType="begin"/>
          </w:r>
          <w:r>
            <w:instrText xml:space="preserve"> HYPERLINK \l _Toc9673 </w:instrText>
          </w:r>
          <w:r>
            <w:fldChar w:fldCharType="separate"/>
          </w:r>
          <w:r>
            <w:rPr>
              <w:rFonts w:hint="default" w:ascii="Times New Roman" w:hAnsi="Times New Roman" w:eastAsia="宋体" w:cs="Times New Roman"/>
            </w:rPr>
            <w:t>1 验收项目概况</w:t>
          </w:r>
          <w:r>
            <w:tab/>
          </w:r>
          <w:r>
            <w:fldChar w:fldCharType="begin"/>
          </w:r>
          <w:r>
            <w:instrText xml:space="preserve"> PAGEREF _Toc9673 \h </w:instrText>
          </w:r>
          <w:r>
            <w:fldChar w:fldCharType="separate"/>
          </w:r>
          <w:r>
            <w:t>1</w:t>
          </w:r>
          <w:r>
            <w:fldChar w:fldCharType="end"/>
          </w:r>
          <w:r>
            <w:fldChar w:fldCharType="end"/>
          </w:r>
        </w:p>
        <w:p>
          <w:pPr>
            <w:pStyle w:val="31"/>
            <w:tabs>
              <w:tab w:val="right" w:leader="dot" w:pos="8306"/>
            </w:tabs>
          </w:pPr>
          <w:r>
            <w:fldChar w:fldCharType="begin"/>
          </w:r>
          <w:r>
            <w:instrText xml:space="preserve"> HYPERLINK \l _Toc18884 </w:instrText>
          </w:r>
          <w:r>
            <w:fldChar w:fldCharType="separate"/>
          </w:r>
          <w:r>
            <w:rPr>
              <w:rFonts w:hint="default" w:ascii="Times New Roman" w:hAnsi="Times New Roman" w:eastAsia="宋体" w:cs="Times New Roman"/>
            </w:rPr>
            <w:t>2 验收依据</w:t>
          </w:r>
          <w:r>
            <w:tab/>
          </w:r>
          <w:r>
            <w:fldChar w:fldCharType="begin"/>
          </w:r>
          <w:r>
            <w:instrText xml:space="preserve"> PAGEREF _Toc18884 \h </w:instrText>
          </w:r>
          <w:r>
            <w:fldChar w:fldCharType="separate"/>
          </w:r>
          <w:r>
            <w:t>2</w:t>
          </w:r>
          <w:r>
            <w:fldChar w:fldCharType="end"/>
          </w:r>
          <w:r>
            <w:fldChar w:fldCharType="end"/>
          </w:r>
        </w:p>
        <w:p>
          <w:pPr>
            <w:pStyle w:val="37"/>
            <w:tabs>
              <w:tab w:val="right" w:leader="dot" w:pos="8306"/>
            </w:tabs>
          </w:pPr>
          <w:r>
            <w:fldChar w:fldCharType="begin"/>
          </w:r>
          <w:r>
            <w:instrText xml:space="preserve"> HYPERLINK \l _Toc26168 </w:instrText>
          </w:r>
          <w:r>
            <w:fldChar w:fldCharType="separate"/>
          </w:r>
          <w:r>
            <w:rPr>
              <w:rFonts w:hint="default" w:ascii="Times New Roman" w:hAnsi="Times New Roman" w:eastAsia="宋体" w:cs="Times New Roman"/>
            </w:rPr>
            <w:t>2.1 相关法律、法规和规章制度</w:t>
          </w:r>
          <w:r>
            <w:tab/>
          </w:r>
          <w:r>
            <w:fldChar w:fldCharType="begin"/>
          </w:r>
          <w:r>
            <w:instrText xml:space="preserve"> PAGEREF _Toc26168 \h </w:instrText>
          </w:r>
          <w:r>
            <w:fldChar w:fldCharType="separate"/>
          </w:r>
          <w:r>
            <w:t>2</w:t>
          </w:r>
          <w:r>
            <w:fldChar w:fldCharType="end"/>
          </w:r>
          <w:r>
            <w:fldChar w:fldCharType="end"/>
          </w:r>
        </w:p>
        <w:p>
          <w:pPr>
            <w:pStyle w:val="37"/>
            <w:tabs>
              <w:tab w:val="right" w:leader="dot" w:pos="8306"/>
            </w:tabs>
          </w:pPr>
          <w:r>
            <w:fldChar w:fldCharType="begin"/>
          </w:r>
          <w:r>
            <w:instrText xml:space="preserve"> HYPERLINK \l _Toc2655 </w:instrText>
          </w:r>
          <w:r>
            <w:fldChar w:fldCharType="separate"/>
          </w:r>
          <w:r>
            <w:rPr>
              <w:rFonts w:hint="default" w:ascii="Times New Roman" w:hAnsi="Times New Roman" w:eastAsia="宋体" w:cs="Times New Roman"/>
            </w:rPr>
            <w:t>2.2 建设项目竣工环境保护技术规范</w:t>
          </w:r>
          <w:r>
            <w:tab/>
          </w:r>
          <w:r>
            <w:fldChar w:fldCharType="begin"/>
          </w:r>
          <w:r>
            <w:instrText xml:space="preserve"> PAGEREF _Toc2655 \h </w:instrText>
          </w:r>
          <w:r>
            <w:fldChar w:fldCharType="separate"/>
          </w:r>
          <w:r>
            <w:t>2</w:t>
          </w:r>
          <w:r>
            <w:fldChar w:fldCharType="end"/>
          </w:r>
          <w:r>
            <w:fldChar w:fldCharType="end"/>
          </w:r>
        </w:p>
        <w:p>
          <w:pPr>
            <w:pStyle w:val="37"/>
            <w:tabs>
              <w:tab w:val="right" w:leader="dot" w:pos="8306"/>
            </w:tabs>
          </w:pPr>
          <w:r>
            <w:fldChar w:fldCharType="begin"/>
          </w:r>
          <w:r>
            <w:instrText xml:space="preserve"> HYPERLINK \l _Toc14679 </w:instrText>
          </w:r>
          <w:r>
            <w:fldChar w:fldCharType="separate"/>
          </w:r>
          <w:r>
            <w:rPr>
              <w:rFonts w:hint="default" w:ascii="Times New Roman" w:hAnsi="Times New Roman" w:eastAsia="宋体" w:cs="Times New Roman"/>
            </w:rPr>
            <w:t>2.3 建设项目环境影响报告书及其审批部门审批决定</w:t>
          </w:r>
          <w:r>
            <w:tab/>
          </w:r>
          <w:r>
            <w:fldChar w:fldCharType="begin"/>
          </w:r>
          <w:r>
            <w:instrText xml:space="preserve"> PAGEREF _Toc14679 \h </w:instrText>
          </w:r>
          <w:r>
            <w:fldChar w:fldCharType="separate"/>
          </w:r>
          <w:r>
            <w:t>2</w:t>
          </w:r>
          <w:r>
            <w:fldChar w:fldCharType="end"/>
          </w:r>
          <w:r>
            <w:fldChar w:fldCharType="end"/>
          </w:r>
        </w:p>
        <w:p>
          <w:pPr>
            <w:pStyle w:val="37"/>
            <w:tabs>
              <w:tab w:val="right" w:leader="dot" w:pos="8306"/>
            </w:tabs>
          </w:pPr>
          <w:r>
            <w:fldChar w:fldCharType="begin"/>
          </w:r>
          <w:r>
            <w:instrText xml:space="preserve"> HYPERLINK \l _Toc600 </w:instrText>
          </w:r>
          <w:r>
            <w:fldChar w:fldCharType="separate"/>
          </w:r>
          <w:r>
            <w:rPr>
              <w:rFonts w:hint="default" w:ascii="Times New Roman" w:hAnsi="Times New Roman" w:eastAsia="宋体" w:cs="Times New Roman"/>
            </w:rPr>
            <w:t>2.4 其他相关文件</w:t>
          </w:r>
          <w:r>
            <w:tab/>
          </w:r>
          <w:r>
            <w:fldChar w:fldCharType="begin"/>
          </w:r>
          <w:r>
            <w:instrText xml:space="preserve"> PAGEREF _Toc600 \h </w:instrText>
          </w:r>
          <w:r>
            <w:fldChar w:fldCharType="separate"/>
          </w:r>
          <w:r>
            <w:t>3</w:t>
          </w:r>
          <w:r>
            <w:fldChar w:fldCharType="end"/>
          </w:r>
          <w:r>
            <w:fldChar w:fldCharType="end"/>
          </w:r>
        </w:p>
        <w:p>
          <w:pPr>
            <w:pStyle w:val="31"/>
            <w:tabs>
              <w:tab w:val="right" w:leader="dot" w:pos="8306"/>
            </w:tabs>
          </w:pPr>
          <w:r>
            <w:fldChar w:fldCharType="begin"/>
          </w:r>
          <w:r>
            <w:instrText xml:space="preserve"> HYPERLINK \l _Toc27909 </w:instrText>
          </w:r>
          <w:r>
            <w:fldChar w:fldCharType="separate"/>
          </w:r>
          <w:r>
            <w:rPr>
              <w:rFonts w:hint="eastAsia"/>
            </w:rPr>
            <w:t>3 项目</w:t>
          </w:r>
          <w:r>
            <w:t>建设情况</w:t>
          </w:r>
          <w:r>
            <w:tab/>
          </w:r>
          <w:r>
            <w:fldChar w:fldCharType="begin"/>
          </w:r>
          <w:r>
            <w:instrText xml:space="preserve"> PAGEREF _Toc27909 \h </w:instrText>
          </w:r>
          <w:r>
            <w:fldChar w:fldCharType="separate"/>
          </w:r>
          <w:r>
            <w:t>4</w:t>
          </w:r>
          <w:r>
            <w:fldChar w:fldCharType="end"/>
          </w:r>
          <w:r>
            <w:fldChar w:fldCharType="end"/>
          </w:r>
        </w:p>
        <w:p>
          <w:pPr>
            <w:pStyle w:val="37"/>
            <w:tabs>
              <w:tab w:val="right" w:leader="dot" w:pos="8306"/>
            </w:tabs>
          </w:pPr>
          <w:r>
            <w:fldChar w:fldCharType="begin"/>
          </w:r>
          <w:r>
            <w:instrText xml:space="preserve"> HYPERLINK \l _Toc17825 </w:instrText>
          </w:r>
          <w:r>
            <w:fldChar w:fldCharType="separate"/>
          </w:r>
          <w:r>
            <w:rPr>
              <w:rFonts w:hint="default" w:ascii="Times New Roman" w:hAnsi="Times New Roman" w:eastAsia="宋体" w:cs="Times New Roman"/>
            </w:rPr>
            <w:t>3.1 地理位置及平面布置</w:t>
          </w:r>
          <w:r>
            <w:tab/>
          </w:r>
          <w:r>
            <w:fldChar w:fldCharType="begin"/>
          </w:r>
          <w:r>
            <w:instrText xml:space="preserve"> PAGEREF _Toc17825 \h </w:instrText>
          </w:r>
          <w:r>
            <w:fldChar w:fldCharType="separate"/>
          </w:r>
          <w:r>
            <w:t>4</w:t>
          </w:r>
          <w:r>
            <w:fldChar w:fldCharType="end"/>
          </w:r>
          <w:r>
            <w:fldChar w:fldCharType="end"/>
          </w:r>
        </w:p>
        <w:p>
          <w:pPr>
            <w:pStyle w:val="37"/>
            <w:tabs>
              <w:tab w:val="right" w:leader="dot" w:pos="8306"/>
            </w:tabs>
          </w:pPr>
          <w:r>
            <w:fldChar w:fldCharType="begin"/>
          </w:r>
          <w:r>
            <w:instrText xml:space="preserve"> HYPERLINK \l _Toc29906 </w:instrText>
          </w:r>
          <w:r>
            <w:fldChar w:fldCharType="separate"/>
          </w:r>
          <w:r>
            <w:rPr>
              <w:rFonts w:hint="default" w:ascii="Times New Roman" w:hAnsi="Times New Roman" w:eastAsia="宋体" w:cs="Times New Roman"/>
            </w:rPr>
            <w:t>3.2 项目概况</w:t>
          </w:r>
          <w:r>
            <w:tab/>
          </w:r>
          <w:r>
            <w:fldChar w:fldCharType="begin"/>
          </w:r>
          <w:r>
            <w:instrText xml:space="preserve"> PAGEREF _Toc29906 \h </w:instrText>
          </w:r>
          <w:r>
            <w:fldChar w:fldCharType="separate"/>
          </w:r>
          <w:r>
            <w:t>4</w:t>
          </w:r>
          <w:r>
            <w:fldChar w:fldCharType="end"/>
          </w:r>
          <w:r>
            <w:fldChar w:fldCharType="end"/>
          </w:r>
        </w:p>
        <w:p>
          <w:pPr>
            <w:pStyle w:val="37"/>
            <w:tabs>
              <w:tab w:val="right" w:leader="dot" w:pos="8306"/>
            </w:tabs>
          </w:pPr>
          <w:r>
            <w:fldChar w:fldCharType="begin"/>
          </w:r>
          <w:r>
            <w:instrText xml:space="preserve"> HYPERLINK \l _Toc29537 </w:instrText>
          </w:r>
          <w:r>
            <w:fldChar w:fldCharType="separate"/>
          </w:r>
          <w:r>
            <w:rPr>
              <w:rFonts w:hint="eastAsia"/>
            </w:rPr>
            <w:t>3.</w:t>
          </w:r>
          <w:r>
            <w:t>3</w:t>
          </w:r>
          <w:r>
            <w:rPr>
              <w:rFonts w:hint="eastAsia"/>
            </w:rPr>
            <w:t xml:space="preserve"> 项目变动情况</w:t>
          </w:r>
          <w:r>
            <w:tab/>
          </w:r>
          <w:r>
            <w:fldChar w:fldCharType="begin"/>
          </w:r>
          <w:r>
            <w:instrText xml:space="preserve"> PAGEREF _Toc29537 \h </w:instrText>
          </w:r>
          <w:r>
            <w:fldChar w:fldCharType="separate"/>
          </w:r>
          <w:r>
            <w:t>16</w:t>
          </w:r>
          <w:r>
            <w:fldChar w:fldCharType="end"/>
          </w:r>
          <w:r>
            <w:fldChar w:fldCharType="end"/>
          </w:r>
        </w:p>
        <w:p>
          <w:pPr>
            <w:pStyle w:val="37"/>
            <w:tabs>
              <w:tab w:val="right" w:leader="dot" w:pos="8306"/>
            </w:tabs>
          </w:pPr>
          <w:r>
            <w:fldChar w:fldCharType="begin"/>
          </w:r>
          <w:r>
            <w:instrText xml:space="preserve"> HYPERLINK \l _Toc28089 </w:instrText>
          </w:r>
          <w:r>
            <w:fldChar w:fldCharType="separate"/>
          </w:r>
          <w:r>
            <w:rPr>
              <w:rFonts w:hint="eastAsia"/>
            </w:rPr>
            <w:t>3.</w:t>
          </w:r>
          <w:r>
            <w:t>4</w:t>
          </w:r>
          <w:r>
            <w:rPr>
              <w:rFonts w:hint="eastAsia"/>
            </w:rPr>
            <w:t xml:space="preserve"> 项目排污许可</w:t>
          </w:r>
          <w:r>
            <w:t>申报</w:t>
          </w:r>
          <w:r>
            <w:rPr>
              <w:rFonts w:hint="eastAsia"/>
            </w:rPr>
            <w:t>情况</w:t>
          </w:r>
          <w:r>
            <w:tab/>
          </w:r>
          <w:r>
            <w:fldChar w:fldCharType="begin"/>
          </w:r>
          <w:r>
            <w:instrText xml:space="preserve"> PAGEREF _Toc28089 \h </w:instrText>
          </w:r>
          <w:r>
            <w:fldChar w:fldCharType="separate"/>
          </w:r>
          <w:r>
            <w:t>16</w:t>
          </w:r>
          <w:r>
            <w:fldChar w:fldCharType="end"/>
          </w:r>
          <w:r>
            <w:fldChar w:fldCharType="end"/>
          </w:r>
        </w:p>
        <w:p>
          <w:pPr>
            <w:pStyle w:val="31"/>
            <w:tabs>
              <w:tab w:val="right" w:leader="dot" w:pos="8306"/>
            </w:tabs>
          </w:pPr>
          <w:r>
            <w:fldChar w:fldCharType="begin"/>
          </w:r>
          <w:r>
            <w:instrText xml:space="preserve"> HYPERLINK \l _Toc3413 </w:instrText>
          </w:r>
          <w:r>
            <w:fldChar w:fldCharType="separate"/>
          </w:r>
          <w:r>
            <w:t>4</w:t>
          </w:r>
          <w:r>
            <w:rPr>
              <w:rFonts w:hint="eastAsia"/>
            </w:rPr>
            <w:t xml:space="preserve"> 环境保护设施</w:t>
          </w:r>
          <w:r>
            <w:tab/>
          </w:r>
          <w:r>
            <w:fldChar w:fldCharType="begin"/>
          </w:r>
          <w:r>
            <w:instrText xml:space="preserve"> PAGEREF _Toc3413 \h </w:instrText>
          </w:r>
          <w:r>
            <w:fldChar w:fldCharType="separate"/>
          </w:r>
          <w:r>
            <w:t>17</w:t>
          </w:r>
          <w:r>
            <w:fldChar w:fldCharType="end"/>
          </w:r>
          <w:r>
            <w:fldChar w:fldCharType="end"/>
          </w:r>
        </w:p>
        <w:p>
          <w:pPr>
            <w:pStyle w:val="37"/>
            <w:tabs>
              <w:tab w:val="right" w:leader="dot" w:pos="8306"/>
            </w:tabs>
          </w:pPr>
          <w:r>
            <w:fldChar w:fldCharType="begin"/>
          </w:r>
          <w:r>
            <w:instrText xml:space="preserve"> HYPERLINK \l _Toc28808 </w:instrText>
          </w:r>
          <w:r>
            <w:fldChar w:fldCharType="separate"/>
          </w:r>
          <w:r>
            <w:t>4</w:t>
          </w:r>
          <w:r>
            <w:rPr>
              <w:rFonts w:hint="eastAsia"/>
            </w:rPr>
            <w:t>.1</w:t>
          </w:r>
          <w:r>
            <w:t xml:space="preserve"> 污染</w:t>
          </w:r>
          <w:r>
            <w:rPr>
              <w:rFonts w:hint="eastAsia"/>
            </w:rPr>
            <w:t>物</w:t>
          </w:r>
          <w:r>
            <w:t>治理措施</w:t>
          </w:r>
          <w:r>
            <w:tab/>
          </w:r>
          <w:r>
            <w:fldChar w:fldCharType="begin"/>
          </w:r>
          <w:r>
            <w:instrText xml:space="preserve"> PAGEREF _Toc28808 \h </w:instrText>
          </w:r>
          <w:r>
            <w:fldChar w:fldCharType="separate"/>
          </w:r>
          <w:r>
            <w:t>17</w:t>
          </w:r>
          <w:r>
            <w:fldChar w:fldCharType="end"/>
          </w:r>
          <w:r>
            <w:fldChar w:fldCharType="end"/>
          </w:r>
        </w:p>
        <w:p>
          <w:pPr>
            <w:pStyle w:val="37"/>
            <w:tabs>
              <w:tab w:val="right" w:leader="dot" w:pos="8306"/>
            </w:tabs>
          </w:pPr>
          <w:r>
            <w:fldChar w:fldCharType="begin"/>
          </w:r>
          <w:r>
            <w:instrText xml:space="preserve"> HYPERLINK \l _Toc30473 </w:instrText>
          </w:r>
          <w:r>
            <w:fldChar w:fldCharType="separate"/>
          </w:r>
          <w:r>
            <w:rPr>
              <w:rFonts w:hint="eastAsia"/>
            </w:rPr>
            <w:t>4.2其他环境保护设施</w:t>
          </w:r>
          <w:r>
            <w:tab/>
          </w:r>
          <w:r>
            <w:fldChar w:fldCharType="begin"/>
          </w:r>
          <w:r>
            <w:instrText xml:space="preserve"> PAGEREF _Toc30473 \h </w:instrText>
          </w:r>
          <w:r>
            <w:fldChar w:fldCharType="separate"/>
          </w:r>
          <w:r>
            <w:t>26</w:t>
          </w:r>
          <w:r>
            <w:fldChar w:fldCharType="end"/>
          </w:r>
          <w:r>
            <w:fldChar w:fldCharType="end"/>
          </w:r>
        </w:p>
        <w:p>
          <w:pPr>
            <w:pStyle w:val="37"/>
            <w:tabs>
              <w:tab w:val="right" w:leader="dot" w:pos="8306"/>
            </w:tabs>
          </w:pPr>
          <w:r>
            <w:fldChar w:fldCharType="begin"/>
          </w:r>
          <w:r>
            <w:instrText xml:space="preserve"> HYPERLINK \l _Toc12460 </w:instrText>
          </w:r>
          <w:r>
            <w:fldChar w:fldCharType="separate"/>
          </w:r>
          <w:r>
            <w:t>4</w:t>
          </w:r>
          <w:r>
            <w:rPr>
              <w:rFonts w:hint="eastAsia"/>
            </w:rPr>
            <w:t>.</w:t>
          </w:r>
          <w:r>
            <w:rPr>
              <w:rFonts w:hint="eastAsia"/>
              <w:lang w:val="en-US"/>
            </w:rPr>
            <w:t>3</w:t>
          </w:r>
          <w:r>
            <w:t xml:space="preserve"> </w:t>
          </w:r>
          <w:r>
            <w:rPr>
              <w:rFonts w:hint="eastAsia"/>
            </w:rPr>
            <w:t>环保设施投资</w:t>
          </w:r>
          <w:r>
            <w:t>及“</w:t>
          </w:r>
          <w:r>
            <w:rPr>
              <w:rFonts w:hint="eastAsia"/>
            </w:rPr>
            <w:t>三同时</w:t>
          </w:r>
          <w:r>
            <w:t>”</w:t>
          </w:r>
          <w:r>
            <w:rPr>
              <w:rFonts w:hint="eastAsia"/>
            </w:rPr>
            <w:t>落实情况</w:t>
          </w:r>
          <w:r>
            <w:tab/>
          </w:r>
          <w:r>
            <w:fldChar w:fldCharType="begin"/>
          </w:r>
          <w:r>
            <w:instrText xml:space="preserve"> PAGEREF _Toc12460 \h </w:instrText>
          </w:r>
          <w:r>
            <w:fldChar w:fldCharType="separate"/>
          </w:r>
          <w:r>
            <w:t>26</w:t>
          </w:r>
          <w:r>
            <w:fldChar w:fldCharType="end"/>
          </w:r>
          <w:r>
            <w:fldChar w:fldCharType="end"/>
          </w:r>
        </w:p>
        <w:p>
          <w:pPr>
            <w:pStyle w:val="31"/>
            <w:tabs>
              <w:tab w:val="right" w:leader="dot" w:pos="8306"/>
            </w:tabs>
          </w:pPr>
          <w:r>
            <w:fldChar w:fldCharType="begin"/>
          </w:r>
          <w:r>
            <w:instrText xml:space="preserve"> HYPERLINK \l _Toc17407 </w:instrText>
          </w:r>
          <w:r>
            <w:fldChar w:fldCharType="separate"/>
          </w:r>
          <w:r>
            <w:rPr>
              <w:rFonts w:hint="eastAsia"/>
              <w:lang w:val="en-US"/>
            </w:rPr>
            <w:t>5</w:t>
          </w:r>
          <w:r>
            <w:rPr>
              <w:rFonts w:hint="eastAsia"/>
            </w:rPr>
            <w:t>环评结论及</w:t>
          </w:r>
          <w:r>
            <w:t>批复要求</w:t>
          </w:r>
          <w:r>
            <w:tab/>
          </w:r>
          <w:r>
            <w:fldChar w:fldCharType="begin"/>
          </w:r>
          <w:r>
            <w:instrText xml:space="preserve"> PAGEREF _Toc17407 \h </w:instrText>
          </w:r>
          <w:r>
            <w:fldChar w:fldCharType="separate"/>
          </w:r>
          <w:r>
            <w:t>30</w:t>
          </w:r>
          <w:r>
            <w:fldChar w:fldCharType="end"/>
          </w:r>
          <w:r>
            <w:fldChar w:fldCharType="end"/>
          </w:r>
        </w:p>
        <w:p>
          <w:pPr>
            <w:pStyle w:val="37"/>
            <w:tabs>
              <w:tab w:val="right" w:leader="dot" w:pos="8306"/>
            </w:tabs>
          </w:pPr>
          <w:r>
            <w:fldChar w:fldCharType="begin"/>
          </w:r>
          <w:r>
            <w:instrText xml:space="preserve"> HYPERLINK \l _Toc4670 </w:instrText>
          </w:r>
          <w:r>
            <w:fldChar w:fldCharType="separate"/>
          </w:r>
          <w:r>
            <w:t>5</w:t>
          </w:r>
          <w:r>
            <w:rPr>
              <w:rFonts w:hint="eastAsia"/>
            </w:rPr>
            <w:t>.1</w:t>
          </w:r>
          <w:r>
            <w:t xml:space="preserve"> </w:t>
          </w:r>
          <w:r>
            <w:rPr>
              <w:rFonts w:hint="eastAsia"/>
            </w:rPr>
            <w:t>环评要求</w:t>
          </w:r>
          <w:r>
            <w:t>及</w:t>
          </w:r>
          <w:r>
            <w:rPr>
              <w:rFonts w:hint="eastAsia"/>
            </w:rPr>
            <w:t>主要结论</w:t>
          </w:r>
          <w:r>
            <w:tab/>
          </w:r>
          <w:r>
            <w:fldChar w:fldCharType="begin"/>
          </w:r>
          <w:r>
            <w:instrText xml:space="preserve"> PAGEREF _Toc4670 \h </w:instrText>
          </w:r>
          <w:r>
            <w:fldChar w:fldCharType="separate"/>
          </w:r>
          <w:r>
            <w:t>30</w:t>
          </w:r>
          <w:r>
            <w:fldChar w:fldCharType="end"/>
          </w:r>
          <w:r>
            <w:fldChar w:fldCharType="end"/>
          </w:r>
        </w:p>
        <w:p>
          <w:pPr>
            <w:pStyle w:val="37"/>
            <w:tabs>
              <w:tab w:val="right" w:leader="dot" w:pos="8306"/>
            </w:tabs>
          </w:pPr>
          <w:r>
            <w:fldChar w:fldCharType="begin"/>
          </w:r>
          <w:r>
            <w:instrText xml:space="preserve"> HYPERLINK \l _Toc29705 </w:instrText>
          </w:r>
          <w:r>
            <w:fldChar w:fldCharType="separate"/>
          </w:r>
          <w:r>
            <w:t>5</w:t>
          </w:r>
          <w:r>
            <w:rPr>
              <w:rFonts w:hint="eastAsia"/>
            </w:rPr>
            <w:t>.</w:t>
          </w:r>
          <w:r>
            <w:t xml:space="preserve">2 </w:t>
          </w:r>
          <w:r>
            <w:rPr>
              <w:rFonts w:hint="eastAsia"/>
            </w:rPr>
            <w:t>审批部门审批</w:t>
          </w:r>
          <w:r>
            <w:t>决定</w:t>
          </w:r>
          <w:r>
            <w:tab/>
          </w:r>
          <w:r>
            <w:fldChar w:fldCharType="begin"/>
          </w:r>
          <w:r>
            <w:instrText xml:space="preserve"> PAGEREF _Toc29705 \h </w:instrText>
          </w:r>
          <w:r>
            <w:fldChar w:fldCharType="separate"/>
          </w:r>
          <w:r>
            <w:t>32</w:t>
          </w:r>
          <w:r>
            <w:fldChar w:fldCharType="end"/>
          </w:r>
          <w:r>
            <w:fldChar w:fldCharType="end"/>
          </w:r>
        </w:p>
        <w:p>
          <w:pPr>
            <w:pStyle w:val="37"/>
            <w:tabs>
              <w:tab w:val="right" w:leader="dot" w:pos="8306"/>
            </w:tabs>
          </w:pPr>
          <w:r>
            <w:fldChar w:fldCharType="begin"/>
          </w:r>
          <w:r>
            <w:instrText xml:space="preserve"> HYPERLINK \l _Toc31101 </w:instrText>
          </w:r>
          <w:r>
            <w:fldChar w:fldCharType="separate"/>
          </w:r>
          <w:r>
            <w:t>5</w:t>
          </w:r>
          <w:r>
            <w:rPr>
              <w:rFonts w:hint="eastAsia"/>
            </w:rPr>
            <w:t>.</w:t>
          </w:r>
          <w:r>
            <w:t xml:space="preserve">3 </w:t>
          </w:r>
          <w:r>
            <w:rPr>
              <w:rFonts w:hint="eastAsia"/>
            </w:rPr>
            <w:t>环评</w:t>
          </w:r>
          <w:r>
            <w:rPr>
              <w:rFonts w:hint="eastAsia"/>
              <w:lang w:val="en-US" w:eastAsia="zh-CN"/>
            </w:rPr>
            <w:t>批复</w:t>
          </w:r>
          <w:r>
            <w:t>落实情况</w:t>
          </w:r>
          <w:r>
            <w:tab/>
          </w:r>
          <w:r>
            <w:fldChar w:fldCharType="begin"/>
          </w:r>
          <w:r>
            <w:instrText xml:space="preserve"> PAGEREF _Toc31101 \h </w:instrText>
          </w:r>
          <w:r>
            <w:fldChar w:fldCharType="separate"/>
          </w:r>
          <w:r>
            <w:t>34</w:t>
          </w:r>
          <w:r>
            <w:fldChar w:fldCharType="end"/>
          </w:r>
          <w:r>
            <w:fldChar w:fldCharType="end"/>
          </w:r>
        </w:p>
        <w:p>
          <w:pPr>
            <w:pStyle w:val="31"/>
            <w:tabs>
              <w:tab w:val="right" w:leader="dot" w:pos="8306"/>
            </w:tabs>
          </w:pPr>
          <w:r>
            <w:fldChar w:fldCharType="begin"/>
          </w:r>
          <w:r>
            <w:instrText xml:space="preserve"> HYPERLINK \l _Toc30551 </w:instrText>
          </w:r>
          <w:r>
            <w:fldChar w:fldCharType="separate"/>
          </w:r>
          <w:r>
            <w:t>6</w:t>
          </w:r>
          <w:r>
            <w:rPr>
              <w:rFonts w:hint="eastAsia"/>
            </w:rPr>
            <w:t xml:space="preserve"> 验收执行标准</w:t>
          </w:r>
          <w:r>
            <w:tab/>
          </w:r>
          <w:r>
            <w:fldChar w:fldCharType="begin"/>
          </w:r>
          <w:r>
            <w:instrText xml:space="preserve"> PAGEREF _Toc30551 \h </w:instrText>
          </w:r>
          <w:r>
            <w:fldChar w:fldCharType="separate"/>
          </w:r>
          <w:r>
            <w:t>38</w:t>
          </w:r>
          <w:r>
            <w:fldChar w:fldCharType="end"/>
          </w:r>
          <w:r>
            <w:fldChar w:fldCharType="end"/>
          </w:r>
        </w:p>
        <w:p>
          <w:pPr>
            <w:pStyle w:val="37"/>
            <w:tabs>
              <w:tab w:val="right" w:leader="dot" w:pos="8306"/>
            </w:tabs>
          </w:pPr>
          <w:r>
            <w:fldChar w:fldCharType="begin"/>
          </w:r>
          <w:r>
            <w:instrText xml:space="preserve"> HYPERLINK \l _Toc26394 </w:instrText>
          </w:r>
          <w:r>
            <w:fldChar w:fldCharType="separate"/>
          </w:r>
          <w:r>
            <w:t>6</w:t>
          </w:r>
          <w:r>
            <w:rPr>
              <w:rFonts w:hint="eastAsia"/>
            </w:rPr>
            <w:t>.1</w:t>
          </w:r>
          <w:r>
            <w:t xml:space="preserve"> </w:t>
          </w:r>
          <w:r>
            <w:rPr>
              <w:rFonts w:hint="eastAsia"/>
            </w:rPr>
            <w:t>废气验收执行标准</w:t>
          </w:r>
          <w:r>
            <w:tab/>
          </w:r>
          <w:r>
            <w:fldChar w:fldCharType="begin"/>
          </w:r>
          <w:r>
            <w:instrText xml:space="preserve"> PAGEREF _Toc26394 \h </w:instrText>
          </w:r>
          <w:r>
            <w:fldChar w:fldCharType="separate"/>
          </w:r>
          <w:r>
            <w:t>38</w:t>
          </w:r>
          <w:r>
            <w:fldChar w:fldCharType="end"/>
          </w:r>
          <w:r>
            <w:fldChar w:fldCharType="end"/>
          </w:r>
        </w:p>
        <w:p>
          <w:pPr>
            <w:pStyle w:val="37"/>
            <w:tabs>
              <w:tab w:val="right" w:leader="dot" w:pos="8306"/>
            </w:tabs>
          </w:pPr>
          <w:r>
            <w:fldChar w:fldCharType="begin"/>
          </w:r>
          <w:r>
            <w:instrText xml:space="preserve"> HYPERLINK \l _Toc24583 </w:instrText>
          </w:r>
          <w:r>
            <w:fldChar w:fldCharType="separate"/>
          </w:r>
          <w:r>
            <w:rPr>
              <w:rFonts w:hint="eastAsia"/>
            </w:rPr>
            <w:t>6.2废水验收执行标准</w:t>
          </w:r>
          <w:r>
            <w:tab/>
          </w:r>
          <w:r>
            <w:fldChar w:fldCharType="begin"/>
          </w:r>
          <w:r>
            <w:instrText xml:space="preserve"> PAGEREF _Toc24583 \h </w:instrText>
          </w:r>
          <w:r>
            <w:fldChar w:fldCharType="separate"/>
          </w:r>
          <w:r>
            <w:t>38</w:t>
          </w:r>
          <w:r>
            <w:fldChar w:fldCharType="end"/>
          </w:r>
          <w:r>
            <w:fldChar w:fldCharType="end"/>
          </w:r>
        </w:p>
        <w:p>
          <w:pPr>
            <w:pStyle w:val="37"/>
            <w:tabs>
              <w:tab w:val="right" w:leader="dot" w:pos="8306"/>
            </w:tabs>
          </w:pPr>
          <w:r>
            <w:fldChar w:fldCharType="begin"/>
          </w:r>
          <w:r>
            <w:instrText xml:space="preserve"> HYPERLINK \l _Toc20494 </w:instrText>
          </w:r>
          <w:r>
            <w:fldChar w:fldCharType="separate"/>
          </w:r>
          <w:r>
            <w:t>6.</w:t>
          </w:r>
          <w:r>
            <w:rPr>
              <w:rFonts w:hint="eastAsia"/>
              <w:lang w:val="en-US"/>
            </w:rPr>
            <w:t>3</w:t>
          </w:r>
          <w:r>
            <w:rPr>
              <w:rFonts w:hint="eastAsia"/>
            </w:rPr>
            <w:t xml:space="preserve"> 噪声验收执行</w:t>
          </w:r>
          <w:r>
            <w:t>标准</w:t>
          </w:r>
          <w:r>
            <w:tab/>
          </w:r>
          <w:r>
            <w:fldChar w:fldCharType="begin"/>
          </w:r>
          <w:r>
            <w:instrText xml:space="preserve"> PAGEREF _Toc20494 \h </w:instrText>
          </w:r>
          <w:r>
            <w:fldChar w:fldCharType="separate"/>
          </w:r>
          <w:r>
            <w:t>39</w:t>
          </w:r>
          <w:r>
            <w:fldChar w:fldCharType="end"/>
          </w:r>
          <w:r>
            <w:fldChar w:fldCharType="end"/>
          </w:r>
        </w:p>
        <w:p>
          <w:pPr>
            <w:pStyle w:val="37"/>
            <w:tabs>
              <w:tab w:val="right" w:leader="dot" w:pos="8306"/>
            </w:tabs>
          </w:pPr>
          <w:r>
            <w:fldChar w:fldCharType="begin"/>
          </w:r>
          <w:r>
            <w:instrText xml:space="preserve"> HYPERLINK \l _Toc5442 </w:instrText>
          </w:r>
          <w:r>
            <w:fldChar w:fldCharType="separate"/>
          </w:r>
          <w:r>
            <w:t>6.</w:t>
          </w:r>
          <w:r>
            <w:rPr>
              <w:rFonts w:hint="eastAsia"/>
              <w:lang w:val="en-US"/>
            </w:rPr>
            <w:t>4</w:t>
          </w:r>
          <w:r>
            <w:rPr>
              <w:rFonts w:hint="eastAsia"/>
            </w:rPr>
            <w:t xml:space="preserve"> 固废验收执行</w:t>
          </w:r>
          <w:r>
            <w:t>标准</w:t>
          </w:r>
          <w:r>
            <w:tab/>
          </w:r>
          <w:r>
            <w:fldChar w:fldCharType="begin"/>
          </w:r>
          <w:r>
            <w:instrText xml:space="preserve"> PAGEREF _Toc5442 \h </w:instrText>
          </w:r>
          <w:r>
            <w:fldChar w:fldCharType="separate"/>
          </w:r>
          <w:r>
            <w:t>39</w:t>
          </w:r>
          <w:r>
            <w:fldChar w:fldCharType="end"/>
          </w:r>
          <w:r>
            <w:fldChar w:fldCharType="end"/>
          </w:r>
        </w:p>
        <w:p>
          <w:pPr>
            <w:pStyle w:val="31"/>
            <w:tabs>
              <w:tab w:val="right" w:leader="dot" w:pos="8306"/>
            </w:tabs>
          </w:pPr>
          <w:r>
            <w:fldChar w:fldCharType="begin"/>
          </w:r>
          <w:r>
            <w:instrText xml:space="preserve"> HYPERLINK \l _Toc21697 </w:instrText>
          </w:r>
          <w:r>
            <w:fldChar w:fldCharType="separate"/>
          </w:r>
          <w:r>
            <w:rPr>
              <w:rFonts w:hint="eastAsia"/>
            </w:rPr>
            <w:t>7 验收监测内容</w:t>
          </w:r>
          <w:r>
            <w:tab/>
          </w:r>
          <w:r>
            <w:fldChar w:fldCharType="begin"/>
          </w:r>
          <w:r>
            <w:instrText xml:space="preserve"> PAGEREF _Toc21697 \h </w:instrText>
          </w:r>
          <w:r>
            <w:fldChar w:fldCharType="separate"/>
          </w:r>
          <w:r>
            <w:t>40</w:t>
          </w:r>
          <w:r>
            <w:fldChar w:fldCharType="end"/>
          </w:r>
          <w:r>
            <w:fldChar w:fldCharType="end"/>
          </w:r>
        </w:p>
        <w:p>
          <w:pPr>
            <w:pStyle w:val="37"/>
            <w:tabs>
              <w:tab w:val="right" w:leader="dot" w:pos="8306"/>
            </w:tabs>
          </w:pPr>
          <w:r>
            <w:fldChar w:fldCharType="begin"/>
          </w:r>
          <w:r>
            <w:instrText xml:space="preserve"> HYPERLINK \l _Toc15395 </w:instrText>
          </w:r>
          <w:r>
            <w:fldChar w:fldCharType="separate"/>
          </w:r>
          <w:r>
            <w:rPr>
              <w:rFonts w:hint="eastAsia"/>
            </w:rPr>
            <w:t>7.1环境保护设施</w:t>
          </w:r>
          <w:r>
            <w:t>调试运行效果</w:t>
          </w:r>
          <w:r>
            <w:tab/>
          </w:r>
          <w:r>
            <w:fldChar w:fldCharType="begin"/>
          </w:r>
          <w:r>
            <w:instrText xml:space="preserve"> PAGEREF _Toc15395 \h </w:instrText>
          </w:r>
          <w:r>
            <w:fldChar w:fldCharType="separate"/>
          </w:r>
          <w:r>
            <w:t>40</w:t>
          </w:r>
          <w:r>
            <w:fldChar w:fldCharType="end"/>
          </w:r>
          <w:r>
            <w:fldChar w:fldCharType="end"/>
          </w:r>
        </w:p>
        <w:p>
          <w:pPr>
            <w:pStyle w:val="31"/>
            <w:tabs>
              <w:tab w:val="right" w:leader="dot" w:pos="8306"/>
            </w:tabs>
          </w:pPr>
          <w:r>
            <w:fldChar w:fldCharType="begin"/>
          </w:r>
          <w:r>
            <w:instrText xml:space="preserve"> HYPERLINK \l _Toc23247 </w:instrText>
          </w:r>
          <w:r>
            <w:fldChar w:fldCharType="separate"/>
          </w:r>
          <w:r>
            <w:rPr>
              <w:rFonts w:hint="eastAsia"/>
            </w:rPr>
            <w:t>8 质量保证和</w:t>
          </w:r>
          <w:r>
            <w:t>质量控制</w:t>
          </w:r>
          <w:r>
            <w:tab/>
          </w:r>
          <w:r>
            <w:fldChar w:fldCharType="begin"/>
          </w:r>
          <w:r>
            <w:instrText xml:space="preserve"> PAGEREF _Toc23247 \h </w:instrText>
          </w:r>
          <w:r>
            <w:fldChar w:fldCharType="separate"/>
          </w:r>
          <w:r>
            <w:t>42</w:t>
          </w:r>
          <w:r>
            <w:fldChar w:fldCharType="end"/>
          </w:r>
          <w:r>
            <w:fldChar w:fldCharType="end"/>
          </w:r>
        </w:p>
        <w:p>
          <w:pPr>
            <w:pStyle w:val="37"/>
            <w:tabs>
              <w:tab w:val="right" w:leader="dot" w:pos="8306"/>
            </w:tabs>
          </w:pPr>
          <w:r>
            <w:fldChar w:fldCharType="begin"/>
          </w:r>
          <w:r>
            <w:instrText xml:space="preserve"> HYPERLINK \l _Toc27904 </w:instrText>
          </w:r>
          <w:r>
            <w:fldChar w:fldCharType="separate"/>
          </w:r>
          <w:r>
            <w:t>8.1 监测分析方法</w:t>
          </w:r>
          <w:r>
            <w:tab/>
          </w:r>
          <w:r>
            <w:fldChar w:fldCharType="begin"/>
          </w:r>
          <w:r>
            <w:instrText xml:space="preserve"> PAGEREF _Toc27904 \h </w:instrText>
          </w:r>
          <w:r>
            <w:fldChar w:fldCharType="separate"/>
          </w:r>
          <w:r>
            <w:t>42</w:t>
          </w:r>
          <w:r>
            <w:fldChar w:fldCharType="end"/>
          </w:r>
          <w:r>
            <w:fldChar w:fldCharType="end"/>
          </w:r>
        </w:p>
        <w:p>
          <w:pPr>
            <w:pStyle w:val="37"/>
            <w:tabs>
              <w:tab w:val="right" w:leader="dot" w:pos="8306"/>
            </w:tabs>
          </w:pPr>
          <w:r>
            <w:fldChar w:fldCharType="begin"/>
          </w:r>
          <w:r>
            <w:instrText xml:space="preserve"> HYPERLINK \l _Toc26044 </w:instrText>
          </w:r>
          <w:r>
            <w:fldChar w:fldCharType="separate"/>
          </w:r>
          <w:r>
            <w:t>8.</w:t>
          </w:r>
          <w:r>
            <w:rPr>
              <w:rFonts w:hint="eastAsia"/>
              <w:lang w:val="en-US" w:eastAsia="zh-CN"/>
            </w:rPr>
            <w:t>2</w:t>
          </w:r>
          <w:r>
            <w:t xml:space="preserve"> 人员能力</w:t>
          </w:r>
          <w:r>
            <w:tab/>
          </w:r>
          <w:r>
            <w:fldChar w:fldCharType="begin"/>
          </w:r>
          <w:r>
            <w:instrText xml:space="preserve"> PAGEREF _Toc26044 \h </w:instrText>
          </w:r>
          <w:r>
            <w:fldChar w:fldCharType="separate"/>
          </w:r>
          <w:r>
            <w:t>43</w:t>
          </w:r>
          <w:r>
            <w:fldChar w:fldCharType="end"/>
          </w:r>
          <w:r>
            <w:fldChar w:fldCharType="end"/>
          </w:r>
        </w:p>
        <w:p>
          <w:pPr>
            <w:pStyle w:val="37"/>
            <w:tabs>
              <w:tab w:val="right" w:leader="dot" w:pos="8306"/>
            </w:tabs>
          </w:pPr>
          <w:r>
            <w:fldChar w:fldCharType="begin"/>
          </w:r>
          <w:r>
            <w:instrText xml:space="preserve"> HYPERLINK \l _Toc16333 </w:instrText>
          </w:r>
          <w:r>
            <w:fldChar w:fldCharType="separate"/>
          </w:r>
          <w:r>
            <w:t>8.</w:t>
          </w:r>
          <w:r>
            <w:rPr>
              <w:rFonts w:hint="eastAsia"/>
              <w:lang w:val="en-US" w:eastAsia="zh-CN"/>
            </w:rPr>
            <w:t>3</w:t>
          </w:r>
          <w:r>
            <w:t xml:space="preserve"> 水质监测分析过程中的质量保证和质量控制</w:t>
          </w:r>
          <w:r>
            <w:tab/>
          </w:r>
          <w:r>
            <w:fldChar w:fldCharType="begin"/>
          </w:r>
          <w:r>
            <w:instrText xml:space="preserve"> PAGEREF _Toc16333 \h </w:instrText>
          </w:r>
          <w:r>
            <w:fldChar w:fldCharType="separate"/>
          </w:r>
          <w:r>
            <w:t>44</w:t>
          </w:r>
          <w:r>
            <w:fldChar w:fldCharType="end"/>
          </w:r>
          <w:r>
            <w:fldChar w:fldCharType="end"/>
          </w:r>
        </w:p>
        <w:p>
          <w:pPr>
            <w:pStyle w:val="37"/>
            <w:tabs>
              <w:tab w:val="right" w:leader="dot" w:pos="8306"/>
            </w:tabs>
          </w:pPr>
          <w:r>
            <w:fldChar w:fldCharType="begin"/>
          </w:r>
          <w:r>
            <w:instrText xml:space="preserve"> HYPERLINK \l _Toc11840 </w:instrText>
          </w:r>
          <w:r>
            <w:fldChar w:fldCharType="separate"/>
          </w:r>
          <w:r>
            <w:t>8.</w:t>
          </w:r>
          <w:r>
            <w:rPr>
              <w:rFonts w:hint="eastAsia"/>
              <w:lang w:val="en-US" w:eastAsia="zh-CN"/>
            </w:rPr>
            <w:t>4</w:t>
          </w:r>
          <w:r>
            <w:t xml:space="preserve"> 气体监测分析过程中的质量保证和质量控制</w:t>
          </w:r>
          <w:r>
            <w:tab/>
          </w:r>
          <w:r>
            <w:fldChar w:fldCharType="begin"/>
          </w:r>
          <w:r>
            <w:instrText xml:space="preserve"> PAGEREF _Toc11840 \h </w:instrText>
          </w:r>
          <w:r>
            <w:fldChar w:fldCharType="separate"/>
          </w:r>
          <w:r>
            <w:t>45</w:t>
          </w:r>
          <w:r>
            <w:fldChar w:fldCharType="end"/>
          </w:r>
          <w:r>
            <w:fldChar w:fldCharType="end"/>
          </w:r>
        </w:p>
        <w:p>
          <w:pPr>
            <w:pStyle w:val="37"/>
            <w:tabs>
              <w:tab w:val="right" w:leader="dot" w:pos="8306"/>
            </w:tabs>
          </w:pPr>
          <w:r>
            <w:fldChar w:fldCharType="begin"/>
          </w:r>
          <w:r>
            <w:instrText xml:space="preserve"> HYPERLINK \l _Toc20647 </w:instrText>
          </w:r>
          <w:r>
            <w:fldChar w:fldCharType="separate"/>
          </w:r>
          <w:r>
            <w:t>8.</w:t>
          </w:r>
          <w:r>
            <w:rPr>
              <w:rFonts w:hint="eastAsia"/>
              <w:lang w:val="en-US" w:eastAsia="zh-CN"/>
            </w:rPr>
            <w:t>5</w:t>
          </w:r>
          <w:r>
            <w:t xml:space="preserve"> 噪声监测分析过程中的质量保证和质量控制</w:t>
          </w:r>
          <w:r>
            <w:tab/>
          </w:r>
          <w:r>
            <w:fldChar w:fldCharType="begin"/>
          </w:r>
          <w:r>
            <w:instrText xml:space="preserve"> PAGEREF _Toc20647 \h </w:instrText>
          </w:r>
          <w:r>
            <w:fldChar w:fldCharType="separate"/>
          </w:r>
          <w:r>
            <w:t>46</w:t>
          </w:r>
          <w:r>
            <w:fldChar w:fldCharType="end"/>
          </w:r>
          <w:r>
            <w:fldChar w:fldCharType="end"/>
          </w:r>
        </w:p>
        <w:p>
          <w:pPr>
            <w:pStyle w:val="31"/>
            <w:tabs>
              <w:tab w:val="right" w:leader="dot" w:pos="8306"/>
            </w:tabs>
          </w:pPr>
          <w:r>
            <w:fldChar w:fldCharType="begin"/>
          </w:r>
          <w:r>
            <w:instrText xml:space="preserve"> HYPERLINK \l _Toc13600 </w:instrText>
          </w:r>
          <w:r>
            <w:fldChar w:fldCharType="separate"/>
          </w:r>
          <w:r>
            <w:t>9</w:t>
          </w:r>
          <w:r>
            <w:rPr>
              <w:rFonts w:hint="eastAsia"/>
            </w:rPr>
            <w:t xml:space="preserve"> 验收监测结果及分析评价</w:t>
          </w:r>
          <w:r>
            <w:tab/>
          </w:r>
          <w:r>
            <w:fldChar w:fldCharType="begin"/>
          </w:r>
          <w:r>
            <w:instrText xml:space="preserve"> PAGEREF _Toc13600 \h </w:instrText>
          </w:r>
          <w:r>
            <w:fldChar w:fldCharType="separate"/>
          </w:r>
          <w:r>
            <w:t>47</w:t>
          </w:r>
          <w:r>
            <w:fldChar w:fldCharType="end"/>
          </w:r>
          <w:r>
            <w:fldChar w:fldCharType="end"/>
          </w:r>
        </w:p>
        <w:p>
          <w:pPr>
            <w:pStyle w:val="37"/>
            <w:tabs>
              <w:tab w:val="right" w:leader="dot" w:pos="8306"/>
            </w:tabs>
          </w:pPr>
          <w:r>
            <w:fldChar w:fldCharType="begin"/>
          </w:r>
          <w:r>
            <w:instrText xml:space="preserve"> HYPERLINK \l _Toc9689 </w:instrText>
          </w:r>
          <w:r>
            <w:fldChar w:fldCharType="separate"/>
          </w:r>
          <w:r>
            <w:t>9.1 验收监测期间工况</w:t>
          </w:r>
          <w:r>
            <w:tab/>
          </w:r>
          <w:r>
            <w:fldChar w:fldCharType="begin"/>
          </w:r>
          <w:r>
            <w:instrText xml:space="preserve"> PAGEREF _Toc9689 \h </w:instrText>
          </w:r>
          <w:r>
            <w:fldChar w:fldCharType="separate"/>
          </w:r>
          <w:r>
            <w:t>47</w:t>
          </w:r>
          <w:r>
            <w:fldChar w:fldCharType="end"/>
          </w:r>
          <w:r>
            <w:fldChar w:fldCharType="end"/>
          </w:r>
        </w:p>
        <w:p>
          <w:pPr>
            <w:pStyle w:val="37"/>
            <w:tabs>
              <w:tab w:val="right" w:leader="dot" w:pos="8306"/>
            </w:tabs>
          </w:pPr>
          <w:r>
            <w:fldChar w:fldCharType="begin"/>
          </w:r>
          <w:r>
            <w:instrText xml:space="preserve"> HYPERLINK \l _Toc13745 </w:instrText>
          </w:r>
          <w:r>
            <w:fldChar w:fldCharType="separate"/>
          </w:r>
          <w:r>
            <w:t>9.2废气监测结果及评价</w:t>
          </w:r>
          <w:r>
            <w:tab/>
          </w:r>
          <w:r>
            <w:fldChar w:fldCharType="begin"/>
          </w:r>
          <w:r>
            <w:instrText xml:space="preserve"> PAGEREF _Toc13745 \h </w:instrText>
          </w:r>
          <w:r>
            <w:fldChar w:fldCharType="separate"/>
          </w:r>
          <w:r>
            <w:t>47</w:t>
          </w:r>
          <w:r>
            <w:fldChar w:fldCharType="end"/>
          </w:r>
          <w:r>
            <w:fldChar w:fldCharType="end"/>
          </w:r>
        </w:p>
        <w:p>
          <w:pPr>
            <w:pStyle w:val="37"/>
            <w:tabs>
              <w:tab w:val="right" w:leader="dot" w:pos="8306"/>
            </w:tabs>
          </w:pPr>
          <w:r>
            <w:fldChar w:fldCharType="begin"/>
          </w:r>
          <w:r>
            <w:instrText xml:space="preserve"> HYPERLINK \l _Toc27344 </w:instrText>
          </w:r>
          <w:r>
            <w:fldChar w:fldCharType="separate"/>
          </w:r>
          <w:r>
            <w:t>9.3废水监测结果及评价</w:t>
          </w:r>
          <w:r>
            <w:tab/>
          </w:r>
          <w:r>
            <w:fldChar w:fldCharType="begin"/>
          </w:r>
          <w:r>
            <w:instrText xml:space="preserve"> PAGEREF _Toc27344 \h </w:instrText>
          </w:r>
          <w:r>
            <w:fldChar w:fldCharType="separate"/>
          </w:r>
          <w:r>
            <w:t>55</w:t>
          </w:r>
          <w:r>
            <w:fldChar w:fldCharType="end"/>
          </w:r>
          <w:r>
            <w:fldChar w:fldCharType="end"/>
          </w:r>
        </w:p>
        <w:p>
          <w:pPr>
            <w:pStyle w:val="37"/>
            <w:tabs>
              <w:tab w:val="right" w:leader="dot" w:pos="8306"/>
            </w:tabs>
          </w:pPr>
          <w:r>
            <w:fldChar w:fldCharType="begin"/>
          </w:r>
          <w:r>
            <w:instrText xml:space="preserve"> HYPERLINK \l _Toc15726 </w:instrText>
          </w:r>
          <w:r>
            <w:fldChar w:fldCharType="separate"/>
          </w:r>
          <w:r>
            <w:t>9.4噪声监测结果及评价</w:t>
          </w:r>
          <w:r>
            <w:tab/>
          </w:r>
          <w:r>
            <w:fldChar w:fldCharType="begin"/>
          </w:r>
          <w:r>
            <w:instrText xml:space="preserve"> PAGEREF _Toc15726 \h </w:instrText>
          </w:r>
          <w:r>
            <w:fldChar w:fldCharType="separate"/>
          </w:r>
          <w:r>
            <w:t>56</w:t>
          </w:r>
          <w:r>
            <w:fldChar w:fldCharType="end"/>
          </w:r>
          <w:r>
            <w:fldChar w:fldCharType="end"/>
          </w:r>
        </w:p>
        <w:p>
          <w:pPr>
            <w:pStyle w:val="37"/>
            <w:tabs>
              <w:tab w:val="right" w:leader="dot" w:pos="8306"/>
            </w:tabs>
          </w:pPr>
          <w:r>
            <w:fldChar w:fldCharType="begin"/>
          </w:r>
          <w:r>
            <w:instrText xml:space="preserve"> HYPERLINK \l _Toc20437 </w:instrText>
          </w:r>
          <w:r>
            <w:fldChar w:fldCharType="separate"/>
          </w:r>
          <w:r>
            <w:t>9.</w:t>
          </w:r>
          <w:r>
            <w:rPr>
              <w:rFonts w:hint="eastAsia"/>
              <w:lang w:val="en-US"/>
            </w:rPr>
            <w:t>5</w:t>
          </w:r>
          <w:r>
            <w:rPr>
              <w:rFonts w:hint="eastAsia"/>
            </w:rPr>
            <w:t>现场采样照片</w:t>
          </w:r>
          <w:r>
            <w:tab/>
          </w:r>
          <w:r>
            <w:fldChar w:fldCharType="begin"/>
          </w:r>
          <w:r>
            <w:instrText xml:space="preserve"> PAGEREF _Toc20437 \h </w:instrText>
          </w:r>
          <w:r>
            <w:fldChar w:fldCharType="separate"/>
          </w:r>
          <w:r>
            <w:t>56</w:t>
          </w:r>
          <w:r>
            <w:fldChar w:fldCharType="end"/>
          </w:r>
          <w:r>
            <w:fldChar w:fldCharType="end"/>
          </w:r>
        </w:p>
        <w:p>
          <w:pPr>
            <w:pStyle w:val="31"/>
            <w:tabs>
              <w:tab w:val="right" w:leader="dot" w:pos="8306"/>
            </w:tabs>
          </w:pPr>
          <w:r>
            <w:fldChar w:fldCharType="begin"/>
          </w:r>
          <w:r>
            <w:instrText xml:space="preserve"> HYPERLINK \l _Toc6476 </w:instrText>
          </w:r>
          <w:r>
            <w:fldChar w:fldCharType="separate"/>
          </w:r>
          <w:r>
            <w:rPr>
              <w:rFonts w:hint="eastAsia"/>
            </w:rPr>
            <w:t>10</w:t>
          </w:r>
          <w:r>
            <w:t xml:space="preserve"> </w:t>
          </w:r>
          <w:r>
            <w:rPr>
              <w:rFonts w:hint="eastAsia"/>
            </w:rPr>
            <w:t>验收监测结论</w:t>
          </w:r>
          <w:r>
            <w:tab/>
          </w:r>
          <w:r>
            <w:fldChar w:fldCharType="begin"/>
          </w:r>
          <w:r>
            <w:instrText xml:space="preserve"> PAGEREF _Toc6476 \h </w:instrText>
          </w:r>
          <w:r>
            <w:fldChar w:fldCharType="separate"/>
          </w:r>
          <w:r>
            <w:t>62</w:t>
          </w:r>
          <w:r>
            <w:fldChar w:fldCharType="end"/>
          </w:r>
          <w:r>
            <w:fldChar w:fldCharType="end"/>
          </w:r>
        </w:p>
        <w:p>
          <w:pPr>
            <w:pStyle w:val="37"/>
            <w:tabs>
              <w:tab w:val="right" w:leader="dot" w:pos="8306"/>
            </w:tabs>
          </w:pPr>
          <w:r>
            <w:fldChar w:fldCharType="begin"/>
          </w:r>
          <w:r>
            <w:instrText xml:space="preserve"> HYPERLINK \l _Toc7312 </w:instrText>
          </w:r>
          <w:r>
            <w:fldChar w:fldCharType="separate"/>
          </w:r>
          <w:r>
            <w:rPr>
              <w:rFonts w:hint="eastAsia"/>
            </w:rPr>
            <w:t>10.1环保设施调试运行效果</w:t>
          </w:r>
          <w:r>
            <w:tab/>
          </w:r>
          <w:r>
            <w:fldChar w:fldCharType="begin"/>
          </w:r>
          <w:r>
            <w:instrText xml:space="preserve"> PAGEREF _Toc7312 \h </w:instrText>
          </w:r>
          <w:r>
            <w:fldChar w:fldCharType="separate"/>
          </w:r>
          <w:r>
            <w:t>62</w:t>
          </w:r>
          <w:r>
            <w:fldChar w:fldCharType="end"/>
          </w:r>
          <w:r>
            <w:fldChar w:fldCharType="end"/>
          </w:r>
        </w:p>
        <w:p>
          <w:pPr>
            <w:pStyle w:val="37"/>
            <w:tabs>
              <w:tab w:val="right" w:leader="dot" w:pos="8306"/>
            </w:tabs>
          </w:pPr>
          <w:r>
            <w:fldChar w:fldCharType="begin"/>
          </w:r>
          <w:r>
            <w:instrText xml:space="preserve"> HYPERLINK \l _Toc3768 </w:instrText>
          </w:r>
          <w:r>
            <w:fldChar w:fldCharType="separate"/>
          </w:r>
          <w:r>
            <w:rPr>
              <w:rFonts w:hint="eastAsia"/>
            </w:rPr>
            <w:t>10.</w:t>
          </w:r>
          <w:r>
            <w:rPr>
              <w:rFonts w:hint="eastAsia"/>
              <w:lang w:val="en-US"/>
            </w:rPr>
            <w:t>2</w:t>
          </w:r>
          <w:r>
            <w:rPr>
              <w:rFonts w:hint="eastAsia"/>
            </w:rPr>
            <w:t xml:space="preserve"> 环境防护距离要求</w:t>
          </w:r>
          <w:r>
            <w:tab/>
          </w:r>
          <w:r>
            <w:fldChar w:fldCharType="begin"/>
          </w:r>
          <w:r>
            <w:instrText xml:space="preserve"> PAGEREF _Toc3768 \h </w:instrText>
          </w:r>
          <w:r>
            <w:fldChar w:fldCharType="separate"/>
          </w:r>
          <w:r>
            <w:t>64</w:t>
          </w:r>
          <w:r>
            <w:fldChar w:fldCharType="end"/>
          </w:r>
          <w:r>
            <w:fldChar w:fldCharType="end"/>
          </w:r>
        </w:p>
        <w:p>
          <w:pPr>
            <w:pStyle w:val="37"/>
            <w:tabs>
              <w:tab w:val="right" w:leader="dot" w:pos="8306"/>
            </w:tabs>
          </w:pPr>
          <w:r>
            <w:fldChar w:fldCharType="begin"/>
          </w:r>
          <w:r>
            <w:instrText xml:space="preserve"> HYPERLINK \l _Toc13210 </w:instrText>
          </w:r>
          <w:r>
            <w:fldChar w:fldCharType="separate"/>
          </w:r>
          <w:r>
            <w:rPr>
              <w:rFonts w:hint="eastAsia"/>
            </w:rPr>
            <w:t>10.</w:t>
          </w:r>
          <w:r>
            <w:rPr>
              <w:rFonts w:hint="eastAsia"/>
              <w:lang w:val="en-US"/>
            </w:rPr>
            <w:t>3</w:t>
          </w:r>
          <w:r>
            <w:rPr>
              <w:rFonts w:hint="eastAsia"/>
            </w:rPr>
            <w:t xml:space="preserve"> 结论</w:t>
          </w:r>
          <w:r>
            <w:tab/>
          </w:r>
          <w:r>
            <w:fldChar w:fldCharType="begin"/>
          </w:r>
          <w:r>
            <w:instrText xml:space="preserve"> PAGEREF _Toc13210 \h </w:instrText>
          </w:r>
          <w:r>
            <w:fldChar w:fldCharType="separate"/>
          </w:r>
          <w:r>
            <w:t>64</w:t>
          </w:r>
          <w:r>
            <w:fldChar w:fldCharType="end"/>
          </w:r>
          <w:r>
            <w:fldChar w:fldCharType="end"/>
          </w:r>
        </w:p>
        <w:p>
          <w:pPr>
            <w:ind w:firstLine="480"/>
          </w:pPr>
          <w:r>
            <w:fldChar w:fldCharType="end"/>
          </w:r>
        </w:p>
      </w:sdtContent>
    </w:sdt>
    <w:p>
      <w:pPr>
        <w:ind w:firstLine="480"/>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fmt="upperRoman" w:start="1"/>
          <w:cols w:space="425" w:num="1"/>
          <w:docGrid w:type="lines" w:linePitch="312" w:charSpace="0"/>
        </w:sectPr>
      </w:pPr>
    </w:p>
    <w:p>
      <w:pPr>
        <w:pStyle w:val="42"/>
        <w:rPr>
          <w:rFonts w:hint="default" w:ascii="Times New Roman" w:hAnsi="Times New Roman" w:eastAsia="宋体" w:cs="Times New Roman"/>
        </w:rPr>
      </w:pPr>
      <w:bookmarkStart w:id="1" w:name="_Toc9673"/>
      <w:r>
        <w:rPr>
          <w:rFonts w:hint="default" w:ascii="Times New Roman" w:hAnsi="Times New Roman" w:eastAsia="宋体" w:cs="Times New Roman"/>
        </w:rPr>
        <w:t>1 验收项目概况</w:t>
      </w:r>
      <w:bookmarkEnd w:id="1"/>
    </w:p>
    <w:p>
      <w:pPr>
        <w:ind w:firstLine="480"/>
        <w:rPr>
          <w:rFonts w:hint="default" w:ascii="Times New Roman" w:hAnsi="Times New Roman" w:eastAsia="宋体" w:cs="Times New Roman"/>
          <w:lang w:bidi="en-US"/>
        </w:rPr>
      </w:pPr>
      <w:bookmarkStart w:id="2" w:name="_Hlk8140211"/>
      <w:r>
        <w:rPr>
          <w:rFonts w:hint="default" w:ascii="Times New Roman" w:hAnsi="Times New Roman" w:eastAsia="宋体" w:cs="Times New Roman"/>
        </w:rPr>
        <w:t>安徽新邦机械制造有限公司成立于2023年2月28日，拟投资3000万元，在淮北市杜集区段园工业集中区311国道原夹河收费站西2500米，租赁安徽正民万基重钢科技有限公司1栋钢结构标准化厂房部分区域（3跨）建设年产10000吨机械加工生产项目。项目已取得淮北市杜集区发展和改革委员会备案（项目代码：2305-340602-04-02-878437），同时项目于2023年10月27日经淮北市杜集区生</w:t>
      </w:r>
      <w:r>
        <w:rPr>
          <w:rFonts w:hint="default" w:ascii="Times New Roman" w:hAnsi="Times New Roman" w:eastAsia="宋体" w:cs="Times New Roman"/>
          <w:lang w:bidi="en-US"/>
        </w:rPr>
        <w:t>态环境分局淮杜环行[2023]37号文批复。</w:t>
      </w:r>
    </w:p>
    <w:bookmarkEnd w:id="2"/>
    <w:p>
      <w:pPr>
        <w:ind w:firstLine="480"/>
        <w:rPr>
          <w:rFonts w:hint="default" w:ascii="Times New Roman" w:hAnsi="Times New Roman" w:eastAsia="宋体" w:cs="Times New Roman"/>
          <w:color w:val="FF0000"/>
          <w:lang w:bidi="en-US"/>
        </w:rPr>
      </w:pPr>
      <w:r>
        <w:rPr>
          <w:rFonts w:hint="default" w:ascii="Times New Roman" w:hAnsi="Times New Roman" w:eastAsia="宋体" w:cs="Times New Roman"/>
          <w:lang w:bidi="en-US"/>
        </w:rPr>
        <w:t>项目于2023年11月动工，2023年12月进行生产调试。</w:t>
      </w:r>
      <w:r>
        <w:rPr>
          <w:rFonts w:hint="default" w:ascii="Times New Roman" w:hAnsi="Times New Roman" w:eastAsia="宋体" w:cs="Times New Roman"/>
          <w:color w:val="FF0000"/>
          <w:lang w:bidi="en-US"/>
        </w:rPr>
        <w:t>项目目前</w:t>
      </w:r>
      <w:r>
        <w:rPr>
          <w:rFonts w:hint="eastAsia" w:ascii="Times New Roman" w:hAnsi="Times New Roman" w:eastAsia="宋体" w:cs="Times New Roman"/>
          <w:color w:val="FF0000"/>
          <w:lang w:val="en-US" w:eastAsia="zh-CN" w:bidi="en-US"/>
        </w:rPr>
        <w:t>主要建设内容为</w:t>
      </w:r>
      <w:r>
        <w:rPr>
          <w:rFonts w:hint="default" w:ascii="Times New Roman" w:hAnsi="Times New Roman" w:eastAsia="宋体" w:cs="Times New Roman"/>
          <w:color w:val="FF0000"/>
          <w:lang w:bidi="en-US"/>
        </w:rPr>
        <w:t>机加工和手动喷涂，自动喷涂未建设</w:t>
      </w:r>
      <w:r>
        <w:rPr>
          <w:rFonts w:hint="eastAsia" w:ascii="Times New Roman" w:hAnsi="Times New Roman" w:eastAsia="宋体" w:cs="Times New Roman"/>
          <w:color w:val="FF0000"/>
          <w:lang w:eastAsia="zh-CN" w:bidi="en-US"/>
        </w:rPr>
        <w:t>，</w:t>
      </w:r>
      <w:r>
        <w:rPr>
          <w:rFonts w:hint="eastAsia" w:ascii="Times New Roman" w:hAnsi="Times New Roman" w:cs="Times New Roman"/>
          <w:color w:val="FF0000"/>
        </w:rPr>
        <w:t>年产10000吨钢结构件和机械加工件</w:t>
      </w:r>
      <w:r>
        <w:rPr>
          <w:rFonts w:hint="eastAsia" w:ascii="Times New Roman" w:hAnsi="Times New Roman" w:cs="Times New Roman"/>
          <w:color w:val="FF0000"/>
          <w:lang w:eastAsia="zh-CN"/>
        </w:rPr>
        <w:t>。</w:t>
      </w:r>
      <w:r>
        <w:rPr>
          <w:rFonts w:hint="default" w:ascii="Times New Roman" w:hAnsi="Times New Roman" w:eastAsia="宋体" w:cs="Times New Roman"/>
          <w:color w:val="FF0000"/>
          <w:lang w:bidi="en-US"/>
        </w:rPr>
        <w:t>因此，本次</w:t>
      </w:r>
      <w:r>
        <w:rPr>
          <w:rFonts w:hint="eastAsia" w:ascii="Times New Roman" w:hAnsi="Times New Roman" w:eastAsia="宋体" w:cs="Times New Roman"/>
          <w:color w:val="FF0000"/>
          <w:lang w:val="en-US" w:eastAsia="zh-CN" w:bidi="en-US"/>
        </w:rPr>
        <w:t>拟对</w:t>
      </w:r>
      <w:r>
        <w:rPr>
          <w:rFonts w:hint="default" w:ascii="Times New Roman" w:hAnsi="Times New Roman" w:eastAsia="宋体" w:cs="Times New Roman"/>
          <w:color w:val="FF0000"/>
          <w:lang w:bidi="en-US"/>
        </w:rPr>
        <w:t>机加工</w:t>
      </w:r>
      <w:r>
        <w:rPr>
          <w:rFonts w:hint="eastAsia" w:ascii="Times New Roman" w:hAnsi="Times New Roman" w:eastAsia="宋体" w:cs="Times New Roman"/>
          <w:color w:val="FF0000"/>
          <w:lang w:eastAsia="zh-CN" w:bidi="en-US"/>
        </w:rPr>
        <w:t>、</w:t>
      </w:r>
      <w:r>
        <w:rPr>
          <w:rFonts w:hint="default" w:ascii="Times New Roman" w:hAnsi="Times New Roman" w:eastAsia="宋体" w:cs="Times New Roman"/>
          <w:color w:val="FF0000"/>
          <w:lang w:bidi="en-US"/>
        </w:rPr>
        <w:t>手动喷涂</w:t>
      </w:r>
      <w:r>
        <w:rPr>
          <w:rFonts w:hint="eastAsia" w:ascii="Times New Roman" w:hAnsi="Times New Roman" w:eastAsia="宋体" w:cs="Times New Roman"/>
          <w:color w:val="FF0000"/>
          <w:lang w:val="en-US" w:eastAsia="zh-CN" w:bidi="en-US"/>
        </w:rPr>
        <w:t>及配套建设</w:t>
      </w:r>
      <w:r>
        <w:rPr>
          <w:rFonts w:hint="default" w:ascii="Times New Roman" w:hAnsi="Times New Roman" w:eastAsia="宋体" w:cs="Times New Roman"/>
          <w:color w:val="FF0000"/>
          <w:kern w:val="0"/>
        </w:rPr>
        <w:t>环境保护设施</w:t>
      </w:r>
      <w:r>
        <w:rPr>
          <w:rFonts w:hint="default" w:ascii="Times New Roman" w:hAnsi="Times New Roman" w:eastAsia="宋体" w:cs="Times New Roman"/>
          <w:color w:val="FF0000"/>
          <w:lang w:bidi="en-US"/>
        </w:rPr>
        <w:t>进行阶段性竣工环境保护验收</w:t>
      </w:r>
      <w:r>
        <w:rPr>
          <w:rFonts w:hint="eastAsia" w:ascii="Times New Roman" w:hAnsi="Times New Roman" w:eastAsia="宋体" w:cs="Times New Roman"/>
          <w:color w:val="FF0000"/>
          <w:lang w:eastAsia="zh-CN" w:bidi="en-US"/>
        </w:rPr>
        <w:t>。</w:t>
      </w:r>
      <w:r>
        <w:rPr>
          <w:rFonts w:hint="default" w:ascii="Times New Roman" w:hAnsi="Times New Roman" w:eastAsia="宋体" w:cs="Times New Roman"/>
          <w:color w:val="FF0000"/>
          <w:lang w:bidi="en-US"/>
        </w:rPr>
        <w:t xml:space="preserve"> </w:t>
      </w:r>
    </w:p>
    <w:p>
      <w:pPr>
        <w:ind w:firstLine="480"/>
        <w:rPr>
          <w:rFonts w:hint="default" w:ascii="Times New Roman" w:hAnsi="Times New Roman" w:eastAsia="宋体" w:cs="Times New Roman"/>
          <w:kern w:val="0"/>
        </w:rPr>
        <w:sectPr>
          <w:headerReference r:id="rId11" w:type="default"/>
          <w:pgSz w:w="11906" w:h="16838"/>
          <w:pgMar w:top="1440" w:right="1800" w:bottom="1440" w:left="1800" w:header="851" w:footer="992" w:gutter="0"/>
          <w:pgNumType w:start="1"/>
          <w:cols w:space="425" w:num="1"/>
          <w:docGrid w:type="lines" w:linePitch="312" w:charSpace="0"/>
        </w:sectPr>
      </w:pPr>
      <w:r>
        <w:rPr>
          <w:rFonts w:hint="default" w:ascii="Times New Roman" w:hAnsi="Times New Roman" w:eastAsia="宋体" w:cs="Times New Roman"/>
          <w:kern w:val="0"/>
        </w:rPr>
        <w:t>为落实建设项目环境保护“三同时”制度，按照《建设项目环境保护管理条例》、《建设项目竣工环境保护验收暂行办法》等规定，建设项目竣工后，建设单位应按照国务院环境保护行政主管部门规定的标准和程序，对配套建设的环境保护设施进行验收，并编制竣工环境保护验收监测报告。为此，</w:t>
      </w:r>
      <w:r>
        <w:rPr>
          <w:rFonts w:hint="default" w:ascii="Times New Roman" w:hAnsi="Times New Roman" w:eastAsia="宋体" w:cs="Times New Roman"/>
        </w:rPr>
        <w:t>安徽新邦机械制造有限公司</w:t>
      </w:r>
      <w:r>
        <w:rPr>
          <w:rFonts w:hint="default" w:ascii="Times New Roman" w:hAnsi="Times New Roman" w:eastAsia="宋体" w:cs="Times New Roman"/>
          <w:kern w:val="0"/>
        </w:rPr>
        <w:t>委托安徽应天环保科技咨询有限公司进行该项目阶段性竣工环境保护验收报告的编制工作。在接受委托后，我公司通过现场踏勘调查、资料收集，对该工程“三同时”执行情况和执行效果进行了检查，并制定了验收工作方案。监测单位于2024年</w:t>
      </w:r>
      <w:r>
        <w:rPr>
          <w:rFonts w:hint="eastAsia" w:ascii="Times New Roman" w:hAnsi="Times New Roman" w:eastAsia="宋体" w:cs="Times New Roman"/>
          <w:kern w:val="0"/>
          <w:lang w:val="en-US" w:eastAsia="zh-CN"/>
        </w:rPr>
        <w:t>1</w:t>
      </w:r>
      <w:r>
        <w:rPr>
          <w:rFonts w:hint="default" w:ascii="Times New Roman" w:hAnsi="Times New Roman" w:eastAsia="宋体" w:cs="Times New Roman"/>
          <w:kern w:val="0"/>
        </w:rPr>
        <w:t>月入场监测，根据监测结果，并依据国家相关技术标准、环境标准的要求编制了项目阶段性竣工环境保护验收监测报告。</w:t>
      </w:r>
    </w:p>
    <w:p>
      <w:pPr>
        <w:pStyle w:val="42"/>
        <w:rPr>
          <w:rFonts w:hint="default" w:ascii="Times New Roman" w:hAnsi="Times New Roman" w:eastAsia="宋体" w:cs="Times New Roman"/>
        </w:rPr>
      </w:pPr>
      <w:bookmarkStart w:id="3" w:name="_Toc18884"/>
      <w:r>
        <w:rPr>
          <w:rFonts w:hint="default" w:ascii="Times New Roman" w:hAnsi="Times New Roman" w:eastAsia="宋体" w:cs="Times New Roman"/>
        </w:rPr>
        <w:t>2 验收依据</w:t>
      </w:r>
      <w:bookmarkEnd w:id="3"/>
    </w:p>
    <w:p>
      <w:pPr>
        <w:pStyle w:val="62"/>
        <w:ind w:left="0" w:leftChars="0" w:firstLine="0" w:firstLineChars="0"/>
        <w:rPr>
          <w:rFonts w:hint="default" w:ascii="Times New Roman" w:hAnsi="Times New Roman" w:eastAsia="宋体" w:cs="Times New Roman"/>
        </w:rPr>
      </w:pPr>
      <w:bookmarkStart w:id="4" w:name="_Toc26168"/>
      <w:r>
        <w:rPr>
          <w:rFonts w:hint="default" w:ascii="Times New Roman" w:hAnsi="Times New Roman" w:eastAsia="宋体" w:cs="Times New Roman"/>
        </w:rPr>
        <w:t>2.1 相关法律、法规和规章制度</w:t>
      </w:r>
      <w:bookmarkEnd w:id="4"/>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1、《中华人民共和国环境保护法》，2015年1月1日起实施；</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2、《中华人民共和国环境影响评价法》，2018年12月29日实施；</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3、《中华人民共和国大气污染防治法》，2018年10月26日实施；</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4、《中华人民共和国水污染防治法》，2018年1月1日实施；</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5、《中华人民共和国固体废物污染环境防治法》，2020年9月1日实施；</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6、《中华人民共和国噪声污染防治法》，2022年6月5日实施；</w:t>
      </w:r>
    </w:p>
    <w:p>
      <w:pPr>
        <w:ind w:firstLine="480"/>
        <w:rPr>
          <w:rFonts w:hint="eastAsia" w:ascii="Times New Roman" w:hAnsi="Times New Roman" w:eastAsia="宋体" w:cs="Times New Roman"/>
          <w:color w:val="FF0000"/>
          <w:kern w:val="0"/>
          <w:lang w:val="en-US" w:eastAsia="zh-CN"/>
        </w:rPr>
      </w:pPr>
      <w:r>
        <w:rPr>
          <w:rFonts w:hint="eastAsia" w:ascii="Times New Roman" w:hAnsi="Times New Roman" w:eastAsia="宋体" w:cs="Times New Roman"/>
          <w:color w:val="FF0000"/>
          <w:kern w:val="0"/>
          <w:lang w:val="en-US" w:eastAsia="zh-CN"/>
        </w:rPr>
        <w:t>7、《</w:t>
      </w:r>
      <w:r>
        <w:rPr>
          <w:rFonts w:hint="eastAsia" w:ascii="Times New Roman" w:hAnsi="Times New Roman" w:eastAsia="宋体" w:cs="Times New Roman"/>
          <w:color w:val="FF0000"/>
          <w:kern w:val="0"/>
        </w:rPr>
        <w:t>中华人民共和国土壤污染防治法</w:t>
      </w:r>
      <w:r>
        <w:rPr>
          <w:rFonts w:hint="eastAsia" w:ascii="Times New Roman" w:hAnsi="Times New Roman" w:eastAsia="宋体" w:cs="Times New Roman"/>
          <w:color w:val="FF0000"/>
          <w:kern w:val="0"/>
          <w:lang w:val="en-US" w:eastAsia="zh-CN"/>
        </w:rPr>
        <w:t>》，2019年1月1日实施；</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8</w:t>
      </w:r>
      <w:r>
        <w:rPr>
          <w:rFonts w:hint="default" w:ascii="Times New Roman" w:hAnsi="Times New Roman" w:eastAsia="宋体" w:cs="Times New Roman"/>
          <w:kern w:val="0"/>
        </w:rPr>
        <w:t>、《建设项目环境保护管理条例》（2017年修订），国务院令第 682 号， 2017年10月1日实施；</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9</w:t>
      </w:r>
      <w:r>
        <w:rPr>
          <w:rFonts w:hint="default" w:ascii="Times New Roman" w:hAnsi="Times New Roman" w:eastAsia="宋体" w:cs="Times New Roman"/>
          <w:kern w:val="0"/>
        </w:rPr>
        <w:t>、《建设项目环境保护事中事后监督管理办法》（环发[2015]163号），2015年12月10日；</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10</w:t>
      </w:r>
      <w:r>
        <w:rPr>
          <w:rFonts w:hint="default" w:ascii="Times New Roman" w:hAnsi="Times New Roman" w:eastAsia="宋体" w:cs="Times New Roman"/>
          <w:kern w:val="0"/>
        </w:rPr>
        <w:t>、《建设项目竣工环境保护验收暂行办法》，2017年11月20日实施；</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11</w:t>
      </w:r>
      <w:r>
        <w:rPr>
          <w:rFonts w:hint="default" w:ascii="Times New Roman" w:hAnsi="Times New Roman" w:eastAsia="宋体" w:cs="Times New Roman"/>
          <w:kern w:val="0"/>
        </w:rPr>
        <w:t>、关于印发《环境保护部建设项目“三同时”监督检查和竣工环保验收管理规程（试行）》的通知，原环境保护部，环发[2009]150号，2009年12月；</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12</w:t>
      </w:r>
      <w:r>
        <w:rPr>
          <w:rFonts w:hint="default" w:ascii="Times New Roman" w:hAnsi="Times New Roman" w:eastAsia="宋体" w:cs="Times New Roman"/>
          <w:kern w:val="0"/>
        </w:rPr>
        <w:t>、《关于建设项目配套建设的水、噪声、固体废物污染防治设施验收有关事项的公告》，安徽省环保厅，2017年12月27日。</w:t>
      </w:r>
    </w:p>
    <w:p>
      <w:pPr>
        <w:ind w:firstLine="480"/>
        <w:rPr>
          <w:rFonts w:hint="default" w:ascii="Times New Roman" w:hAnsi="Times New Roman" w:eastAsia="宋体" w:cs="Times New Roman"/>
          <w:kern w:val="0"/>
        </w:rPr>
      </w:pPr>
      <w:r>
        <w:rPr>
          <w:rFonts w:hint="eastAsia" w:ascii="Times New Roman" w:hAnsi="Times New Roman" w:eastAsia="宋体" w:cs="Times New Roman"/>
          <w:kern w:val="0"/>
          <w:lang w:val="en-US" w:eastAsia="zh-CN"/>
        </w:rPr>
        <w:t>13</w:t>
      </w:r>
      <w:r>
        <w:rPr>
          <w:rFonts w:hint="default" w:ascii="Times New Roman" w:hAnsi="Times New Roman" w:eastAsia="宋体" w:cs="Times New Roman"/>
          <w:kern w:val="0"/>
        </w:rPr>
        <w:t>、《关于印发制浆造纸等十四个行业建设项目重大变动清单的通知》，环境保护部办公厅，环办环评[2018]6号，2018年1月30日30。</w:t>
      </w:r>
    </w:p>
    <w:p>
      <w:pPr>
        <w:pStyle w:val="62"/>
        <w:ind w:left="0" w:leftChars="0" w:firstLine="0" w:firstLineChars="0"/>
        <w:rPr>
          <w:rFonts w:hint="default" w:ascii="Times New Roman" w:hAnsi="Times New Roman" w:eastAsia="宋体" w:cs="Times New Roman"/>
        </w:rPr>
      </w:pPr>
      <w:bookmarkStart w:id="5" w:name="_Toc2655"/>
      <w:r>
        <w:rPr>
          <w:rFonts w:hint="default" w:ascii="Times New Roman" w:hAnsi="Times New Roman" w:eastAsia="宋体" w:cs="Times New Roman"/>
        </w:rPr>
        <w:t>2.2 建设项目竣工环境保护技术规范</w:t>
      </w:r>
      <w:bookmarkEnd w:id="5"/>
    </w:p>
    <w:p>
      <w:pPr>
        <w:ind w:firstLine="480"/>
        <w:rPr>
          <w:rFonts w:hint="default" w:ascii="Times New Roman" w:hAnsi="Times New Roman" w:eastAsia="宋体" w:cs="Times New Roman"/>
          <w:kern w:val="0"/>
          <w:lang w:val="zh-CN"/>
        </w:rPr>
      </w:pPr>
      <w:r>
        <w:rPr>
          <w:rFonts w:hint="default" w:ascii="Times New Roman" w:hAnsi="Times New Roman" w:eastAsia="宋体" w:cs="Times New Roman"/>
          <w:kern w:val="0"/>
          <w:lang w:val="zh-CN"/>
        </w:rPr>
        <w:t>1、《建设项目竣工环境保护验收技术指南 污染影响类》</w:t>
      </w:r>
    </w:p>
    <w:p>
      <w:pPr>
        <w:pStyle w:val="62"/>
        <w:ind w:left="0" w:leftChars="0" w:firstLine="0" w:firstLineChars="0"/>
        <w:rPr>
          <w:rFonts w:hint="default" w:ascii="Times New Roman" w:hAnsi="Times New Roman" w:eastAsia="宋体" w:cs="Times New Roman"/>
        </w:rPr>
      </w:pPr>
      <w:bookmarkStart w:id="6" w:name="_Toc14679"/>
      <w:r>
        <w:rPr>
          <w:rFonts w:hint="default" w:ascii="Times New Roman" w:hAnsi="Times New Roman" w:eastAsia="宋体" w:cs="Times New Roman"/>
        </w:rPr>
        <w:t>2.3 建设项目环境影响报告书及其审批部门审批决定</w:t>
      </w:r>
      <w:bookmarkEnd w:id="6"/>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1</w:t>
      </w:r>
      <w:r>
        <w:rPr>
          <w:rFonts w:hint="default" w:ascii="Times New Roman" w:hAnsi="Times New Roman" w:eastAsia="宋体" w:cs="Times New Roman"/>
          <w:lang w:bidi="en-US"/>
        </w:rPr>
        <w:t>、《安徽新邦机械制造有限公司年产10000吨机械加工生产项目</w:t>
      </w:r>
      <w:r>
        <w:rPr>
          <w:rFonts w:hint="default" w:ascii="Times New Roman" w:hAnsi="Times New Roman" w:eastAsia="宋体" w:cs="Times New Roman"/>
          <w:bCs/>
        </w:rPr>
        <w:t>环境影响报告书》，2023年10月；</w:t>
      </w:r>
    </w:p>
    <w:p>
      <w:pPr>
        <w:ind w:firstLine="480"/>
        <w:rPr>
          <w:rFonts w:hint="default" w:ascii="Times New Roman" w:hAnsi="Times New Roman" w:eastAsia="宋体" w:cs="Times New Roman"/>
          <w:kern w:val="0"/>
        </w:rPr>
      </w:pPr>
      <w:r>
        <w:rPr>
          <w:rFonts w:hint="default" w:ascii="Times New Roman" w:hAnsi="Times New Roman" w:eastAsia="宋体" w:cs="Times New Roman"/>
          <w:kern w:val="0"/>
        </w:rPr>
        <w:t>2、《关于</w:t>
      </w:r>
      <w:r>
        <w:rPr>
          <w:rFonts w:hint="default" w:ascii="Times New Roman" w:hAnsi="Times New Roman" w:eastAsia="宋体" w:cs="Times New Roman"/>
          <w:lang w:bidi="en-US"/>
        </w:rPr>
        <w:t>安徽新邦机械制造有限公司年产10000吨机械加工生产项目</w:t>
      </w:r>
      <w:r>
        <w:rPr>
          <w:rFonts w:hint="default" w:ascii="Times New Roman" w:hAnsi="Times New Roman" w:eastAsia="宋体" w:cs="Times New Roman"/>
          <w:kern w:val="0"/>
        </w:rPr>
        <w:t>环境影响报告书的批复》，</w:t>
      </w:r>
      <w:r>
        <w:rPr>
          <w:rFonts w:hint="default" w:ascii="Times New Roman" w:hAnsi="Times New Roman" w:eastAsia="宋体" w:cs="Times New Roman"/>
          <w:lang w:bidi="en-US"/>
        </w:rPr>
        <w:t>淮北市杜集区生态环境分局，淮杜环行[2023]37号文，</w:t>
      </w:r>
      <w:r>
        <w:rPr>
          <w:rFonts w:hint="default" w:ascii="Times New Roman" w:hAnsi="Times New Roman" w:eastAsia="宋体" w:cs="Times New Roman"/>
          <w:kern w:val="0"/>
        </w:rPr>
        <w:t>2023年10月27日。</w:t>
      </w:r>
      <w:bookmarkStart w:id="7" w:name="_Toc600"/>
    </w:p>
    <w:p>
      <w:pPr>
        <w:pStyle w:val="62"/>
        <w:ind w:left="0" w:leftChars="0" w:firstLine="0" w:firstLineChars="0"/>
        <w:rPr>
          <w:rFonts w:hint="default" w:ascii="Times New Roman" w:hAnsi="Times New Roman" w:eastAsia="宋体" w:cs="Times New Roman"/>
        </w:rPr>
      </w:pPr>
      <w:r>
        <w:rPr>
          <w:rFonts w:hint="default" w:ascii="Times New Roman" w:hAnsi="Times New Roman" w:eastAsia="宋体" w:cs="Times New Roman"/>
        </w:rPr>
        <w:t>2.4 其他相关文件</w:t>
      </w:r>
      <w:bookmarkEnd w:id="7"/>
    </w:p>
    <w:p>
      <w:pPr>
        <w:ind w:firstLine="480"/>
        <w:rPr>
          <w:rFonts w:hint="default" w:ascii="Times New Roman" w:hAnsi="Times New Roman" w:eastAsia="宋体" w:cs="Times New Roman"/>
          <w:kern w:val="0"/>
        </w:rPr>
        <w:sectPr>
          <w:pgSz w:w="11906" w:h="16838"/>
          <w:pgMar w:top="1440" w:right="1800" w:bottom="1440" w:left="1800" w:header="851" w:footer="992" w:gutter="0"/>
          <w:cols w:space="425" w:num="1"/>
          <w:docGrid w:type="lines" w:linePitch="312" w:charSpace="0"/>
        </w:sectPr>
      </w:pPr>
      <w:r>
        <w:rPr>
          <w:rFonts w:hint="default" w:ascii="Times New Roman" w:hAnsi="Times New Roman" w:eastAsia="宋体" w:cs="Times New Roman"/>
          <w:kern w:val="0"/>
        </w:rPr>
        <w:t>1、</w:t>
      </w:r>
      <w:r>
        <w:rPr>
          <w:rFonts w:hint="default" w:ascii="Times New Roman" w:hAnsi="Times New Roman" w:eastAsia="宋体" w:cs="Times New Roman"/>
          <w:lang w:bidi="en-US"/>
        </w:rPr>
        <w:t>安徽新邦机械制造有限公司</w:t>
      </w:r>
      <w:r>
        <w:rPr>
          <w:rFonts w:hint="default" w:ascii="Times New Roman" w:hAnsi="Times New Roman" w:eastAsia="宋体" w:cs="Times New Roman"/>
          <w:kern w:val="0"/>
        </w:rPr>
        <w:t>提供的有关技术资料及文件</w:t>
      </w:r>
    </w:p>
    <w:p>
      <w:pPr>
        <w:pStyle w:val="42"/>
      </w:pPr>
      <w:bookmarkStart w:id="8" w:name="_Toc27909"/>
      <w:r>
        <w:rPr>
          <w:rFonts w:hint="eastAsia"/>
        </w:rPr>
        <w:t>3 项目</w:t>
      </w:r>
      <w:r>
        <w:t>建设情况</w:t>
      </w:r>
      <w:bookmarkEnd w:id="8"/>
    </w:p>
    <w:p>
      <w:pPr>
        <w:pStyle w:val="62"/>
        <w:ind w:left="0" w:leftChars="0" w:firstLine="0" w:firstLineChars="0"/>
        <w:rPr>
          <w:rFonts w:hint="default" w:ascii="Times New Roman" w:hAnsi="Times New Roman" w:eastAsia="宋体" w:cs="Times New Roman"/>
        </w:rPr>
      </w:pPr>
      <w:bookmarkStart w:id="9" w:name="_Toc17825"/>
      <w:r>
        <w:rPr>
          <w:rFonts w:hint="default" w:ascii="Times New Roman" w:hAnsi="Times New Roman" w:eastAsia="宋体" w:cs="Times New Roman"/>
        </w:rPr>
        <w:t>3.1 地理位置及平面布置</w:t>
      </w:r>
      <w:bookmarkEnd w:id="9"/>
    </w:p>
    <w:p>
      <w:pPr>
        <w:ind w:firstLine="480"/>
        <w:rPr>
          <w:rFonts w:hint="default" w:ascii="Times New Roman" w:hAnsi="Times New Roman" w:eastAsia="宋体" w:cs="Times New Roman"/>
        </w:rPr>
      </w:pPr>
      <w:r>
        <w:rPr>
          <w:rFonts w:hint="default" w:ascii="Times New Roman" w:hAnsi="Times New Roman" w:eastAsia="宋体" w:cs="Times New Roman"/>
          <w:lang w:bidi="en-US"/>
        </w:rPr>
        <w:t>安徽新邦机械制造有限公司年产10000吨机械加工生产项目位于</w:t>
      </w:r>
      <w:r>
        <w:rPr>
          <w:rFonts w:hint="default" w:ascii="Times New Roman" w:hAnsi="Times New Roman" w:eastAsia="宋体" w:cs="Times New Roman"/>
        </w:rPr>
        <w:t>淮北市杜集区段园工业集中区311国道原夹河收费站西2500米安徽正民万基重钢科技有限公司厂区</w:t>
      </w:r>
      <w:r>
        <w:rPr>
          <w:rFonts w:hint="default" w:ascii="Times New Roman" w:hAnsi="Times New Roman" w:eastAsia="宋体" w:cs="Times New Roman"/>
          <w:lang w:bidi="en-US"/>
        </w:rPr>
        <w:t>内</w:t>
      </w:r>
      <w:r>
        <w:rPr>
          <w:rFonts w:hint="default" w:ascii="Times New Roman" w:hAnsi="Times New Roman" w:eastAsia="宋体" w:cs="Times New Roman"/>
          <w:kern w:val="0"/>
        </w:rPr>
        <w:t>。</w:t>
      </w:r>
      <w:r>
        <w:rPr>
          <w:rFonts w:hint="default" w:ascii="Times New Roman" w:hAnsi="Times New Roman" w:eastAsia="宋体" w:cs="Times New Roman"/>
        </w:rPr>
        <w:t>安徽正民万基重钢科技有限公司厂区总占地基本呈长方形，南北最长约470m，东西最宽约265m，主要建筑物为3座标准化生产厂房和1栋办公楼，其中西北侧办公楼为安徽正民重工科技有限公司租赁，西南厂房由安徽衡正金属结构有限公司租赁，东北侧厂房分别由安徽艾倍特玻璃科技有限公司和安徽超宇磁电科技有限公司租赁。东南侧厂房北部区域由安徽正民重工科技有限公司租赁，东南侧厂房南部区域</w:t>
      </w:r>
      <w:r>
        <w:rPr>
          <w:rFonts w:hint="eastAsia" w:ascii="Times New Roman" w:hAnsi="Times New Roman" w:eastAsia="宋体" w:cs="Times New Roman"/>
          <w:lang w:val="en-US" w:eastAsia="zh-CN"/>
        </w:rPr>
        <w:t>即为本项目区域（3跨）。</w:t>
      </w:r>
      <w:r>
        <w:rPr>
          <w:rFonts w:hint="default" w:ascii="Times New Roman" w:hAnsi="Times New Roman" w:eastAsia="宋体" w:cs="Times New Roman"/>
        </w:rPr>
        <w:t>项目地理位置图见附图一，厂区总平面布置见附图二。</w:t>
      </w:r>
    </w:p>
    <w:p>
      <w:pPr>
        <w:pStyle w:val="62"/>
        <w:ind w:left="0" w:leftChars="0" w:firstLine="0" w:firstLineChars="0"/>
        <w:rPr>
          <w:rFonts w:hint="default" w:ascii="Times New Roman" w:hAnsi="Times New Roman" w:eastAsia="宋体" w:cs="Times New Roman"/>
        </w:rPr>
      </w:pPr>
      <w:bookmarkStart w:id="10" w:name="_Toc29906"/>
      <w:r>
        <w:rPr>
          <w:rFonts w:hint="default" w:ascii="Times New Roman" w:hAnsi="Times New Roman" w:eastAsia="宋体" w:cs="Times New Roman"/>
        </w:rPr>
        <w:t>3.2 项目概况</w:t>
      </w:r>
      <w:bookmarkEnd w:id="10"/>
    </w:p>
    <w:p>
      <w:pPr>
        <w:pStyle w:val="67"/>
        <w:ind w:left="0" w:leftChars="0" w:firstLine="0" w:firstLineChars="0"/>
        <w:rPr>
          <w:rFonts w:hint="default" w:ascii="Times New Roman" w:hAnsi="Times New Roman" w:eastAsia="宋体" w:cs="Times New Roman"/>
        </w:rPr>
      </w:pPr>
      <w:bookmarkStart w:id="11" w:name="_Toc512410248"/>
      <w:r>
        <w:rPr>
          <w:rFonts w:hint="default" w:ascii="Times New Roman" w:hAnsi="Times New Roman" w:eastAsia="宋体" w:cs="Times New Roman"/>
        </w:rPr>
        <w:t>3.2.1 建设项目基本情况</w:t>
      </w:r>
      <w:bookmarkEnd w:id="11"/>
    </w:p>
    <w:p>
      <w:pPr>
        <w:ind w:firstLine="480"/>
        <w:rPr>
          <w:rFonts w:hint="default" w:ascii="Times New Roman" w:hAnsi="Times New Roman" w:eastAsia="宋体" w:cs="Times New Roman"/>
        </w:rPr>
      </w:pPr>
      <w:r>
        <w:rPr>
          <w:rFonts w:hint="default" w:ascii="Times New Roman" w:hAnsi="Times New Roman" w:eastAsia="宋体" w:cs="Times New Roman"/>
        </w:rPr>
        <w:t>1、项目名称：年产10000吨机械加工生产项目</w:t>
      </w:r>
    </w:p>
    <w:p>
      <w:pPr>
        <w:ind w:firstLine="480"/>
        <w:rPr>
          <w:rFonts w:hint="default" w:ascii="Times New Roman" w:hAnsi="Times New Roman" w:eastAsia="宋体" w:cs="Times New Roman"/>
        </w:rPr>
      </w:pPr>
      <w:r>
        <w:rPr>
          <w:rFonts w:hint="default" w:ascii="Times New Roman" w:hAnsi="Times New Roman" w:eastAsia="宋体" w:cs="Times New Roman"/>
        </w:rPr>
        <w:t>2、</w:t>
      </w:r>
      <w:r>
        <w:rPr>
          <w:rFonts w:hint="default" w:ascii="Times New Roman" w:hAnsi="Times New Roman" w:eastAsia="宋体" w:cs="Times New Roman"/>
          <w:kern w:val="0"/>
        </w:rPr>
        <w:t>项目</w:t>
      </w:r>
      <w:r>
        <w:rPr>
          <w:rFonts w:hint="default" w:ascii="Times New Roman" w:hAnsi="Times New Roman" w:eastAsia="宋体" w:cs="Times New Roman"/>
        </w:rPr>
        <w:t>性质：新建</w:t>
      </w:r>
    </w:p>
    <w:p>
      <w:pPr>
        <w:ind w:firstLine="480"/>
        <w:rPr>
          <w:rFonts w:hint="default" w:ascii="Times New Roman" w:hAnsi="Times New Roman" w:eastAsia="宋体" w:cs="Times New Roman"/>
        </w:rPr>
      </w:pPr>
      <w:r>
        <w:rPr>
          <w:rFonts w:hint="default" w:ascii="Times New Roman" w:hAnsi="Times New Roman" w:eastAsia="宋体" w:cs="Times New Roman"/>
        </w:rPr>
        <w:t>3、</w:t>
      </w:r>
      <w:r>
        <w:rPr>
          <w:rFonts w:hint="default" w:ascii="Times New Roman" w:hAnsi="Times New Roman" w:eastAsia="宋体" w:cs="Times New Roman"/>
          <w:kern w:val="0"/>
        </w:rPr>
        <w:t>建设单位</w:t>
      </w:r>
      <w:r>
        <w:rPr>
          <w:rFonts w:hint="default" w:ascii="Times New Roman" w:hAnsi="Times New Roman" w:eastAsia="宋体" w:cs="Times New Roman"/>
        </w:rPr>
        <w:t>：安徽新邦机械制造有限公司</w:t>
      </w:r>
    </w:p>
    <w:p>
      <w:pPr>
        <w:ind w:firstLine="480"/>
        <w:rPr>
          <w:rFonts w:hint="default" w:ascii="Times New Roman" w:hAnsi="Times New Roman" w:eastAsia="宋体" w:cs="Times New Roman"/>
        </w:rPr>
      </w:pPr>
      <w:r>
        <w:rPr>
          <w:rFonts w:hint="default" w:ascii="Times New Roman" w:hAnsi="Times New Roman" w:eastAsia="宋体" w:cs="Times New Roman"/>
        </w:rPr>
        <w:t>4、建设地点：淮北市杜集区段园工业集中区311国道原夹河收费站西2500米安徽正民万基重钢科技有限公司厂区</w:t>
      </w:r>
      <w:r>
        <w:rPr>
          <w:rFonts w:hint="default" w:ascii="Times New Roman" w:hAnsi="Times New Roman" w:eastAsia="宋体" w:cs="Times New Roman"/>
          <w:lang w:bidi="en-US"/>
        </w:rPr>
        <w:t>内</w:t>
      </w:r>
    </w:p>
    <w:p>
      <w:pPr>
        <w:ind w:firstLine="480"/>
        <w:rPr>
          <w:rFonts w:hint="default" w:ascii="Times New Roman" w:hAnsi="Times New Roman" w:eastAsia="宋体" w:cs="Times New Roman"/>
        </w:rPr>
      </w:pPr>
      <w:r>
        <w:rPr>
          <w:rFonts w:hint="default" w:ascii="Times New Roman" w:hAnsi="Times New Roman" w:eastAsia="宋体" w:cs="Times New Roman"/>
        </w:rPr>
        <w:t>5、占地面积：</w:t>
      </w:r>
      <w:r>
        <w:rPr>
          <w:rFonts w:hint="default" w:ascii="Times New Roman" w:hAnsi="Times New Roman" w:eastAsia="宋体" w:cs="Times New Roman"/>
          <w:kern w:val="0"/>
        </w:rPr>
        <w:t>15000</w:t>
      </w:r>
      <w:r>
        <w:rPr>
          <w:rFonts w:hint="default" w:ascii="Times New Roman" w:hAnsi="Times New Roman" w:eastAsia="宋体" w:cs="Times New Roman"/>
          <w:kern w:val="0"/>
          <w:lang w:val="ru-RU"/>
        </w:rPr>
        <w:t>m</w:t>
      </w:r>
      <w:r>
        <w:rPr>
          <w:rFonts w:hint="default" w:ascii="Times New Roman" w:hAnsi="Times New Roman" w:eastAsia="宋体" w:cs="Times New Roman"/>
          <w:kern w:val="0"/>
          <w:vertAlign w:val="superscript"/>
          <w:lang w:val="ru-RU"/>
        </w:rPr>
        <w:t>2</w:t>
      </w:r>
    </w:p>
    <w:p>
      <w:pPr>
        <w:ind w:firstLine="480"/>
        <w:rPr>
          <w:rFonts w:hint="default" w:ascii="Times New Roman" w:hAnsi="Times New Roman" w:eastAsia="宋体" w:cs="Times New Roman"/>
        </w:rPr>
      </w:pPr>
      <w:r>
        <w:rPr>
          <w:rFonts w:hint="default" w:ascii="Times New Roman" w:hAnsi="Times New Roman" w:eastAsia="宋体" w:cs="Times New Roman"/>
        </w:rPr>
        <w:t>6、</w:t>
      </w:r>
      <w:r>
        <w:rPr>
          <w:rFonts w:hint="default" w:ascii="Times New Roman" w:hAnsi="Times New Roman" w:eastAsia="宋体" w:cs="Times New Roman"/>
          <w:kern w:val="0"/>
        </w:rPr>
        <w:t>建设规模</w:t>
      </w:r>
      <w:r>
        <w:rPr>
          <w:rFonts w:hint="default" w:ascii="Times New Roman" w:hAnsi="Times New Roman" w:eastAsia="宋体" w:cs="Times New Roman"/>
        </w:rPr>
        <w:t>：项目租赁安徽正民万基重钢科技有限公司1栋钢结构标准化厂房部分区域（3跨）建设年产10000吨机械加工生产项目。项目建成后，可年产10000吨钢结构件、机械加工件。</w:t>
      </w:r>
    </w:p>
    <w:p>
      <w:pPr>
        <w:ind w:firstLine="480"/>
        <w:rPr>
          <w:rFonts w:hint="default" w:ascii="Times New Roman" w:hAnsi="Times New Roman" w:eastAsia="宋体" w:cs="Times New Roman"/>
        </w:rPr>
      </w:pPr>
      <w:r>
        <w:rPr>
          <w:rFonts w:hint="default" w:ascii="Times New Roman" w:hAnsi="Times New Roman" w:eastAsia="宋体" w:cs="Times New Roman"/>
        </w:rPr>
        <w:t>7、工程投资：项目计划总投资3000</w:t>
      </w:r>
      <w:r>
        <w:rPr>
          <w:rFonts w:hint="default" w:ascii="Times New Roman" w:hAnsi="Times New Roman" w:eastAsia="宋体" w:cs="Times New Roman"/>
          <w:kern w:val="0"/>
          <w:shd w:val="clear" w:color="auto" w:fill="FFFFFF"/>
        </w:rPr>
        <w:t>万元</w:t>
      </w:r>
      <w:r>
        <w:rPr>
          <w:rFonts w:hint="default" w:ascii="Times New Roman" w:hAnsi="Times New Roman" w:eastAsia="宋体" w:cs="Times New Roman"/>
        </w:rPr>
        <w:t>，实际总投资2800万元，计划环保投资198万元，实际环保投资140万元，占实际总投资的5%。</w:t>
      </w:r>
    </w:p>
    <w:p>
      <w:pPr>
        <w:ind w:firstLine="480"/>
        <w:rPr>
          <w:rFonts w:hint="default" w:ascii="Times New Roman" w:hAnsi="Times New Roman" w:eastAsia="宋体" w:cs="Times New Roman"/>
          <w:kern w:val="0"/>
          <w:lang w:val="ru-RU"/>
        </w:rPr>
      </w:pPr>
      <w:r>
        <w:rPr>
          <w:rFonts w:hint="default" w:ascii="Times New Roman" w:hAnsi="Times New Roman" w:eastAsia="宋体" w:cs="Times New Roman"/>
        </w:rPr>
        <w:t>8、劳动</w:t>
      </w:r>
      <w:r>
        <w:rPr>
          <w:rFonts w:hint="default" w:ascii="Times New Roman" w:hAnsi="Times New Roman" w:eastAsia="宋体" w:cs="Times New Roman"/>
          <w:kern w:val="0"/>
        </w:rPr>
        <w:t>动员</w:t>
      </w:r>
      <w:r>
        <w:rPr>
          <w:rFonts w:hint="default" w:ascii="Times New Roman" w:hAnsi="Times New Roman" w:eastAsia="宋体" w:cs="Times New Roman"/>
        </w:rPr>
        <w:t>：</w:t>
      </w:r>
      <w:r>
        <w:rPr>
          <w:rFonts w:hint="default" w:ascii="Times New Roman" w:hAnsi="Times New Roman" w:eastAsia="宋体" w:cs="Times New Roman"/>
          <w:lang w:val="ru-RU"/>
        </w:rPr>
        <w:t>项目劳动定员</w:t>
      </w:r>
      <w:r>
        <w:rPr>
          <w:rFonts w:hint="default" w:ascii="Times New Roman" w:hAnsi="Times New Roman" w:eastAsia="宋体" w:cs="Times New Roman"/>
        </w:rPr>
        <w:t>100</w:t>
      </w:r>
      <w:r>
        <w:rPr>
          <w:rFonts w:hint="default" w:ascii="Times New Roman" w:hAnsi="Times New Roman" w:eastAsia="宋体" w:cs="Times New Roman"/>
          <w:lang w:val="ru-RU"/>
        </w:rPr>
        <w:t>人，年工作日天数</w:t>
      </w:r>
      <w:r>
        <w:rPr>
          <w:rFonts w:hint="default" w:ascii="Times New Roman" w:hAnsi="Times New Roman" w:eastAsia="宋体" w:cs="Times New Roman"/>
        </w:rPr>
        <w:t>300</w:t>
      </w:r>
      <w:r>
        <w:rPr>
          <w:rFonts w:hint="default" w:ascii="Times New Roman" w:hAnsi="Times New Roman" w:eastAsia="宋体" w:cs="Times New Roman"/>
          <w:lang w:val="ru-RU"/>
        </w:rPr>
        <w:t>天。</w:t>
      </w:r>
    </w:p>
    <w:p>
      <w:pPr>
        <w:pStyle w:val="67"/>
        <w:ind w:left="0" w:leftChars="0" w:firstLine="0" w:firstLineChars="0"/>
        <w:rPr>
          <w:rFonts w:hint="default" w:ascii="Times New Roman" w:hAnsi="Times New Roman" w:eastAsia="宋体" w:cs="Times New Roman"/>
        </w:rPr>
      </w:pPr>
      <w:bookmarkStart w:id="12" w:name="_Toc512410249"/>
      <w:r>
        <w:rPr>
          <w:rFonts w:hint="default" w:ascii="Times New Roman" w:hAnsi="Times New Roman" w:eastAsia="宋体" w:cs="Times New Roman"/>
        </w:rPr>
        <w:t>3.2.2 项目组成及建设内容</w:t>
      </w:r>
      <w:bookmarkEnd w:id="12"/>
    </w:p>
    <w:p>
      <w:pPr>
        <w:ind w:firstLine="480"/>
        <w:rPr>
          <w:rFonts w:hint="default" w:ascii="Times New Roman" w:hAnsi="Times New Roman" w:eastAsia="宋体" w:cs="Times New Roman"/>
        </w:rPr>
        <w:sectPr>
          <w:headerReference r:id="rId12" w:type="default"/>
          <w:pgSz w:w="11906" w:h="16838"/>
          <w:pgMar w:top="1440" w:right="1800" w:bottom="1440" w:left="1800" w:header="851" w:footer="992" w:gutter="0"/>
          <w:cols w:space="425" w:num="1"/>
          <w:docGrid w:type="lines" w:linePitch="312" w:charSpace="0"/>
        </w:sectPr>
      </w:pPr>
    </w:p>
    <w:p>
      <w:pPr>
        <w:ind w:firstLine="480"/>
        <w:rPr>
          <w:rFonts w:hint="eastAsia" w:eastAsiaTheme="minorEastAsia"/>
          <w:lang w:eastAsia="zh-CN"/>
        </w:rPr>
      </w:pPr>
      <w:r>
        <w:rPr>
          <w:rFonts w:hint="eastAsia"/>
          <w:color w:val="auto"/>
          <w:sz w:val="24"/>
        </w:rPr>
        <w:t>环评</w:t>
      </w:r>
      <w:r>
        <w:rPr>
          <w:color w:val="auto"/>
          <w:sz w:val="24"/>
        </w:rPr>
        <w:t>及批复建设内容与项目实际建设内容见下表</w:t>
      </w:r>
      <w:r>
        <w:rPr>
          <w:rFonts w:hint="eastAsia"/>
          <w:color w:val="auto"/>
          <w:sz w:val="24"/>
          <w:lang w:eastAsia="zh-CN"/>
        </w:rPr>
        <w:t>。</w:t>
      </w:r>
    </w:p>
    <w:p>
      <w:pPr>
        <w:ind w:firstLine="480"/>
        <w:jc w:val="center"/>
        <w:rPr>
          <w:b/>
          <w:bCs/>
        </w:rPr>
      </w:pPr>
      <w:r>
        <w:rPr>
          <w:b/>
          <w:bCs/>
        </w:rPr>
        <w:t>表3.2-</w:t>
      </w:r>
      <w:r>
        <w:rPr>
          <w:rFonts w:hint="eastAsia"/>
          <w:b/>
          <w:bCs/>
        </w:rPr>
        <w:t>1</w:t>
      </w:r>
      <w:r>
        <w:rPr>
          <w:b/>
          <w:bCs/>
        </w:rPr>
        <w:t xml:space="preserve"> 项目</w:t>
      </w:r>
      <w:r>
        <w:rPr>
          <w:rFonts w:hint="eastAsia"/>
          <w:b/>
          <w:bCs/>
        </w:rPr>
        <w:t>主要建设内容</w:t>
      </w:r>
      <w:r>
        <w:rPr>
          <w:b/>
          <w:bCs/>
        </w:rPr>
        <w:t>一览表</w:t>
      </w:r>
    </w:p>
    <w:tbl>
      <w:tblPr>
        <w:tblStyle w:val="43"/>
        <w:tblW w:w="5000" w:type="pct"/>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
        <w:gridCol w:w="867"/>
        <w:gridCol w:w="906"/>
        <w:gridCol w:w="1539"/>
        <w:gridCol w:w="5139"/>
        <w:gridCol w:w="3222"/>
        <w:gridCol w:w="197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blHeader/>
          <w:jc w:val="center"/>
        </w:trPr>
        <w:tc>
          <w:tcPr>
            <w:tcW w:w="491" w:type="pct"/>
            <w:gridSpan w:val="2"/>
            <w:vAlign w:val="center"/>
          </w:tcPr>
          <w:p>
            <w:pPr>
              <w:spacing w:line="240" w:lineRule="auto"/>
              <w:ind w:left="0" w:leftChars="0" w:firstLine="0" w:firstLineChars="0"/>
              <w:jc w:val="center"/>
              <w:rPr>
                <w:sz w:val="21"/>
                <w:szCs w:val="21"/>
              </w:rPr>
            </w:pPr>
            <w:r>
              <w:rPr>
                <w:sz w:val="21"/>
                <w:szCs w:val="21"/>
              </w:rPr>
              <w:t>工程名称</w:t>
            </w:r>
          </w:p>
        </w:tc>
        <w:tc>
          <w:tcPr>
            <w:tcW w:w="862" w:type="pct"/>
            <w:gridSpan w:val="2"/>
            <w:vAlign w:val="center"/>
          </w:tcPr>
          <w:p>
            <w:pPr>
              <w:spacing w:line="240" w:lineRule="auto"/>
              <w:ind w:firstLine="480"/>
              <w:jc w:val="center"/>
              <w:rPr>
                <w:sz w:val="21"/>
                <w:szCs w:val="21"/>
              </w:rPr>
            </w:pPr>
            <w:r>
              <w:rPr>
                <w:sz w:val="21"/>
                <w:szCs w:val="21"/>
              </w:rPr>
              <w:t>单项工程内容</w:t>
            </w:r>
          </w:p>
        </w:tc>
        <w:tc>
          <w:tcPr>
            <w:tcW w:w="1812" w:type="pct"/>
            <w:vAlign w:val="center"/>
          </w:tcPr>
          <w:p>
            <w:pPr>
              <w:spacing w:line="240" w:lineRule="auto"/>
              <w:ind w:firstLine="480"/>
              <w:jc w:val="center"/>
              <w:rPr>
                <w:sz w:val="21"/>
                <w:szCs w:val="21"/>
              </w:rPr>
            </w:pPr>
            <w:r>
              <w:rPr>
                <w:sz w:val="21"/>
                <w:szCs w:val="21"/>
              </w:rPr>
              <w:t>环评报告</w:t>
            </w:r>
            <w:r>
              <w:rPr>
                <w:rFonts w:hint="eastAsia"/>
                <w:sz w:val="21"/>
                <w:szCs w:val="21"/>
              </w:rPr>
              <w:t>建设内容及</w:t>
            </w:r>
            <w:r>
              <w:rPr>
                <w:sz w:val="21"/>
                <w:szCs w:val="21"/>
              </w:rPr>
              <w:t>规模</w:t>
            </w:r>
          </w:p>
        </w:tc>
        <w:tc>
          <w:tcPr>
            <w:tcW w:w="1136" w:type="pct"/>
            <w:vAlign w:val="center"/>
          </w:tcPr>
          <w:p>
            <w:pPr>
              <w:spacing w:line="240" w:lineRule="auto"/>
              <w:ind w:firstLine="480"/>
              <w:jc w:val="center"/>
              <w:rPr>
                <w:sz w:val="21"/>
                <w:szCs w:val="21"/>
              </w:rPr>
            </w:pPr>
            <w:r>
              <w:rPr>
                <w:sz w:val="21"/>
                <w:szCs w:val="21"/>
              </w:rPr>
              <w:t>实际建设内容及规模</w:t>
            </w:r>
          </w:p>
        </w:tc>
        <w:tc>
          <w:tcPr>
            <w:tcW w:w="697" w:type="pct"/>
            <w:vAlign w:val="center"/>
          </w:tcPr>
          <w:p>
            <w:pPr>
              <w:spacing w:line="240" w:lineRule="auto"/>
              <w:ind w:firstLine="480"/>
              <w:jc w:val="center"/>
              <w:rPr>
                <w:sz w:val="21"/>
                <w:szCs w:val="21"/>
              </w:rPr>
            </w:pPr>
            <w:r>
              <w:rPr>
                <w:sz w:val="21"/>
                <w:szCs w:val="21"/>
              </w:rPr>
              <w:t>备注</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491" w:type="pct"/>
            <w:gridSpan w:val="2"/>
            <w:vAlign w:val="center"/>
          </w:tcPr>
          <w:p>
            <w:pPr>
              <w:spacing w:line="240" w:lineRule="auto"/>
              <w:ind w:left="0" w:leftChars="0" w:firstLine="210" w:firstLineChars="100"/>
              <w:jc w:val="both"/>
              <w:rPr>
                <w:sz w:val="21"/>
                <w:szCs w:val="21"/>
              </w:rPr>
            </w:pPr>
            <w:r>
              <w:rPr>
                <w:sz w:val="21"/>
                <w:szCs w:val="21"/>
              </w:rPr>
              <w:t>主体工程</w:t>
            </w:r>
          </w:p>
        </w:tc>
        <w:tc>
          <w:tcPr>
            <w:tcW w:w="862" w:type="pct"/>
            <w:gridSpan w:val="2"/>
            <w:vAlign w:val="center"/>
          </w:tcPr>
          <w:p>
            <w:pPr>
              <w:spacing w:line="240" w:lineRule="auto"/>
              <w:ind w:firstLine="480"/>
              <w:jc w:val="center"/>
              <w:rPr>
                <w:sz w:val="21"/>
                <w:szCs w:val="21"/>
              </w:rPr>
            </w:pPr>
            <w:r>
              <w:rPr>
                <w:sz w:val="21"/>
                <w:szCs w:val="21"/>
              </w:rPr>
              <w:t>机加工和</w:t>
            </w:r>
            <w:r>
              <w:rPr>
                <w:rFonts w:hint="eastAsia"/>
                <w:sz w:val="21"/>
                <w:szCs w:val="21"/>
              </w:rPr>
              <w:t>喷涂</w:t>
            </w:r>
          </w:p>
          <w:p>
            <w:pPr>
              <w:spacing w:line="240" w:lineRule="auto"/>
              <w:ind w:firstLine="480"/>
              <w:jc w:val="center"/>
              <w:rPr>
                <w:sz w:val="21"/>
                <w:szCs w:val="21"/>
              </w:rPr>
            </w:pPr>
          </w:p>
        </w:tc>
        <w:tc>
          <w:tcPr>
            <w:tcW w:w="1812" w:type="pct"/>
            <w:vAlign w:val="center"/>
          </w:tcPr>
          <w:p>
            <w:pPr>
              <w:spacing w:line="240" w:lineRule="auto"/>
              <w:ind w:left="0" w:leftChars="0" w:firstLine="0" w:firstLineChars="0"/>
              <w:jc w:val="both"/>
              <w:rPr>
                <w:sz w:val="21"/>
                <w:szCs w:val="21"/>
              </w:rPr>
            </w:pPr>
            <w:r>
              <w:rPr>
                <w:rFonts w:hint="eastAsia"/>
                <w:sz w:val="21"/>
                <w:szCs w:val="21"/>
              </w:rPr>
              <w:t>改造1栋钢结构标准化厂房部分区域（3跨），面积约15000m</w:t>
            </w:r>
            <w:r>
              <w:rPr>
                <w:rFonts w:hint="eastAsia"/>
                <w:sz w:val="21"/>
                <w:szCs w:val="21"/>
                <w:vertAlign w:val="superscript"/>
              </w:rPr>
              <w:t>2</w:t>
            </w:r>
            <w:r>
              <w:rPr>
                <w:rFonts w:hint="eastAsia"/>
                <w:sz w:val="21"/>
                <w:szCs w:val="21"/>
              </w:rPr>
              <w:t>，1F，框架结构，位于安徽正民万基重钢科技有限公司东南角；机加工区主要设备包括激光切割机、焊机、抛丸机等设备；喷涂封闭区位于厂房东南侧，包括喷漆室、晾干室、喷漆自动化区（喷漆-流平-烘干一体自动线区），成品库年产10000吨机械加工件和钢结构件</w:t>
            </w:r>
          </w:p>
        </w:tc>
        <w:tc>
          <w:tcPr>
            <w:tcW w:w="1136" w:type="pct"/>
            <w:vAlign w:val="center"/>
          </w:tcPr>
          <w:p>
            <w:pPr>
              <w:spacing w:line="240" w:lineRule="auto"/>
              <w:ind w:firstLine="480"/>
              <w:jc w:val="center"/>
              <w:rPr>
                <w:sz w:val="21"/>
                <w:szCs w:val="21"/>
              </w:rPr>
            </w:pPr>
          </w:p>
          <w:p>
            <w:pPr>
              <w:spacing w:line="240" w:lineRule="auto"/>
              <w:ind w:firstLine="0" w:firstLineChars="0"/>
              <w:jc w:val="both"/>
              <w:rPr>
                <w:rFonts w:hint="eastAsia"/>
                <w:sz w:val="21"/>
                <w:szCs w:val="21"/>
              </w:rPr>
            </w:pPr>
            <w:r>
              <w:rPr>
                <w:rFonts w:hint="eastAsia"/>
                <w:sz w:val="21"/>
                <w:szCs w:val="21"/>
              </w:rPr>
              <w:t>喷漆自动化区（喷漆-流平-烘干一体自动线区）未建设，其他与环评报告一致</w:t>
            </w:r>
          </w:p>
          <w:p>
            <w:pPr>
              <w:spacing w:line="240" w:lineRule="auto"/>
              <w:ind w:firstLine="480"/>
              <w:jc w:val="center"/>
              <w:rPr>
                <w:sz w:val="21"/>
                <w:szCs w:val="21"/>
              </w:rPr>
            </w:pPr>
          </w:p>
        </w:tc>
        <w:tc>
          <w:tcPr>
            <w:tcW w:w="697" w:type="pct"/>
            <w:vAlign w:val="center"/>
          </w:tcPr>
          <w:p>
            <w:pPr>
              <w:spacing w:line="240" w:lineRule="auto"/>
              <w:ind w:left="0" w:leftChars="0" w:firstLine="0" w:firstLineChars="0"/>
              <w:jc w:val="both"/>
              <w:rPr>
                <w:sz w:val="21"/>
                <w:szCs w:val="21"/>
              </w:rPr>
            </w:pPr>
            <w:r>
              <w:rPr>
                <w:rFonts w:hint="eastAsia"/>
                <w:sz w:val="21"/>
                <w:szCs w:val="21"/>
              </w:rPr>
              <w:t>喷漆自动化区（喷漆-流平-烘干一体自动线区）未建设，</w:t>
            </w:r>
            <w:r>
              <w:rPr>
                <w:rFonts w:hint="eastAsia"/>
                <w:bCs/>
                <w:sz w:val="21"/>
                <w:szCs w:val="21"/>
              </w:rPr>
              <w:t>不在本次竣工环保验收范围内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85" w:type="pct"/>
            <w:vMerge w:val="restart"/>
            <w:vAlign w:val="center"/>
          </w:tcPr>
          <w:p>
            <w:pPr>
              <w:spacing w:line="240" w:lineRule="auto"/>
              <w:ind w:left="0" w:leftChars="0" w:firstLine="0" w:firstLineChars="0"/>
              <w:jc w:val="center"/>
              <w:rPr>
                <w:sz w:val="21"/>
                <w:szCs w:val="21"/>
              </w:rPr>
            </w:pPr>
            <w:r>
              <w:rPr>
                <w:sz w:val="21"/>
                <w:szCs w:val="21"/>
              </w:rPr>
              <w:t>公用</w:t>
            </w:r>
          </w:p>
          <w:p>
            <w:pPr>
              <w:spacing w:line="240" w:lineRule="auto"/>
              <w:ind w:left="0" w:leftChars="0" w:firstLine="0" w:firstLineChars="0"/>
              <w:jc w:val="center"/>
              <w:rPr>
                <w:sz w:val="21"/>
                <w:szCs w:val="21"/>
              </w:rPr>
            </w:pPr>
            <w:r>
              <w:rPr>
                <w:sz w:val="21"/>
                <w:szCs w:val="21"/>
              </w:rPr>
              <w:t>工程</w:t>
            </w:r>
          </w:p>
        </w:tc>
        <w:tc>
          <w:tcPr>
            <w:tcW w:w="305" w:type="pct"/>
            <w:vAlign w:val="center"/>
          </w:tcPr>
          <w:p>
            <w:pPr>
              <w:spacing w:line="240" w:lineRule="auto"/>
              <w:ind w:firstLine="0" w:firstLineChars="0"/>
              <w:jc w:val="center"/>
              <w:rPr>
                <w:sz w:val="21"/>
                <w:szCs w:val="21"/>
              </w:rPr>
            </w:pPr>
            <w:r>
              <w:rPr>
                <w:sz w:val="21"/>
                <w:szCs w:val="21"/>
              </w:rPr>
              <w:t>给水</w:t>
            </w:r>
          </w:p>
        </w:tc>
        <w:tc>
          <w:tcPr>
            <w:tcW w:w="862" w:type="pct"/>
            <w:gridSpan w:val="2"/>
            <w:vAlign w:val="center"/>
          </w:tcPr>
          <w:p>
            <w:pPr>
              <w:spacing w:line="240" w:lineRule="auto"/>
              <w:ind w:firstLine="480"/>
              <w:jc w:val="center"/>
              <w:rPr>
                <w:sz w:val="21"/>
                <w:szCs w:val="21"/>
              </w:rPr>
            </w:pPr>
            <w:r>
              <w:rPr>
                <w:sz w:val="21"/>
                <w:szCs w:val="21"/>
              </w:rPr>
              <w:t>新鲜水</w:t>
            </w:r>
          </w:p>
        </w:tc>
        <w:tc>
          <w:tcPr>
            <w:tcW w:w="1812" w:type="pct"/>
            <w:vAlign w:val="center"/>
          </w:tcPr>
          <w:p>
            <w:pPr>
              <w:spacing w:line="240" w:lineRule="auto"/>
              <w:ind w:firstLine="0" w:firstLineChars="0"/>
              <w:jc w:val="center"/>
              <w:rPr>
                <w:sz w:val="21"/>
                <w:szCs w:val="21"/>
              </w:rPr>
            </w:pPr>
            <w:r>
              <w:rPr>
                <w:sz w:val="21"/>
                <w:szCs w:val="21"/>
              </w:rPr>
              <w:t>由园区供水管网集中供水</w:t>
            </w:r>
            <w:r>
              <w:rPr>
                <w:rFonts w:hint="eastAsia"/>
                <w:sz w:val="21"/>
                <w:szCs w:val="21"/>
              </w:rPr>
              <w:t>，用水量1507.5</w:t>
            </w:r>
            <w:r>
              <w:rPr>
                <w:sz w:val="21"/>
                <w:szCs w:val="21"/>
              </w:rPr>
              <w:t>m</w:t>
            </w:r>
            <w:r>
              <w:rPr>
                <w:sz w:val="21"/>
                <w:szCs w:val="21"/>
                <w:vertAlign w:val="superscript"/>
              </w:rPr>
              <w:t>3</w:t>
            </w:r>
            <w:r>
              <w:rPr>
                <w:sz w:val="21"/>
                <w:szCs w:val="21"/>
              </w:rPr>
              <w:t>/a</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85" w:type="pct"/>
            <w:vMerge w:val="continue"/>
            <w:vAlign w:val="center"/>
          </w:tcPr>
          <w:p>
            <w:pPr>
              <w:spacing w:line="240" w:lineRule="auto"/>
              <w:ind w:firstLine="480"/>
              <w:jc w:val="center"/>
              <w:rPr>
                <w:sz w:val="21"/>
                <w:szCs w:val="21"/>
              </w:rPr>
            </w:pPr>
          </w:p>
        </w:tc>
        <w:tc>
          <w:tcPr>
            <w:tcW w:w="305" w:type="pct"/>
            <w:vMerge w:val="restart"/>
            <w:vAlign w:val="center"/>
          </w:tcPr>
          <w:p>
            <w:pPr>
              <w:spacing w:line="240" w:lineRule="auto"/>
              <w:ind w:firstLine="0" w:firstLineChars="0"/>
              <w:jc w:val="center"/>
              <w:rPr>
                <w:sz w:val="21"/>
                <w:szCs w:val="21"/>
              </w:rPr>
            </w:pPr>
            <w:r>
              <w:rPr>
                <w:sz w:val="21"/>
                <w:szCs w:val="21"/>
              </w:rPr>
              <w:t>排水</w:t>
            </w:r>
          </w:p>
        </w:tc>
        <w:tc>
          <w:tcPr>
            <w:tcW w:w="862" w:type="pct"/>
            <w:gridSpan w:val="2"/>
            <w:vAlign w:val="center"/>
          </w:tcPr>
          <w:p>
            <w:pPr>
              <w:spacing w:line="240" w:lineRule="auto"/>
              <w:ind w:firstLine="480"/>
              <w:jc w:val="center"/>
              <w:rPr>
                <w:sz w:val="21"/>
                <w:szCs w:val="21"/>
              </w:rPr>
            </w:pPr>
            <w:r>
              <w:rPr>
                <w:sz w:val="21"/>
                <w:szCs w:val="21"/>
              </w:rPr>
              <w:t>生活污水</w:t>
            </w:r>
          </w:p>
        </w:tc>
        <w:tc>
          <w:tcPr>
            <w:tcW w:w="1812" w:type="pct"/>
            <w:vAlign w:val="center"/>
          </w:tcPr>
          <w:p>
            <w:pPr>
              <w:spacing w:line="240" w:lineRule="auto"/>
              <w:ind w:firstLine="0" w:firstLineChars="0"/>
              <w:jc w:val="center"/>
              <w:rPr>
                <w:sz w:val="21"/>
                <w:szCs w:val="21"/>
              </w:rPr>
            </w:pPr>
            <w:r>
              <w:rPr>
                <w:sz w:val="21"/>
                <w:szCs w:val="21"/>
              </w:rPr>
              <w:t>经园区化粪池处理后接管至</w:t>
            </w:r>
            <w:r>
              <w:rPr>
                <w:rFonts w:hint="eastAsia"/>
                <w:sz w:val="21"/>
                <w:szCs w:val="21"/>
              </w:rPr>
              <w:t>段园镇污水处理厂（袁庄矿污水处理厂）接管限值</w:t>
            </w:r>
            <w:r>
              <w:rPr>
                <w:sz w:val="21"/>
                <w:szCs w:val="21"/>
              </w:rPr>
              <w:t>进一步处理</w:t>
            </w:r>
            <w:r>
              <w:rPr>
                <w:rFonts w:hint="eastAsia"/>
                <w:sz w:val="21"/>
                <w:szCs w:val="21"/>
              </w:rPr>
              <w:t>，排水量1200</w:t>
            </w:r>
            <w:r>
              <w:rPr>
                <w:sz w:val="21"/>
                <w:szCs w:val="21"/>
              </w:rPr>
              <w:t>m</w:t>
            </w:r>
            <w:r>
              <w:rPr>
                <w:sz w:val="21"/>
                <w:szCs w:val="21"/>
                <w:vertAlign w:val="superscript"/>
              </w:rPr>
              <w:t>3</w:t>
            </w:r>
            <w:r>
              <w:rPr>
                <w:sz w:val="21"/>
                <w:szCs w:val="21"/>
              </w:rPr>
              <w:t>/</w:t>
            </w:r>
            <w:r>
              <w:rPr>
                <w:rFonts w:hint="eastAsia"/>
                <w:sz w:val="21"/>
                <w:szCs w:val="21"/>
              </w:rPr>
              <w:t>a</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雨水</w:t>
            </w:r>
          </w:p>
        </w:tc>
        <w:tc>
          <w:tcPr>
            <w:tcW w:w="1812" w:type="pct"/>
            <w:vAlign w:val="center"/>
          </w:tcPr>
          <w:p>
            <w:pPr>
              <w:spacing w:line="240" w:lineRule="auto"/>
              <w:ind w:left="0" w:leftChars="0" w:firstLine="0" w:firstLineChars="0"/>
              <w:jc w:val="center"/>
              <w:rPr>
                <w:sz w:val="21"/>
                <w:szCs w:val="21"/>
              </w:rPr>
            </w:pPr>
            <w:r>
              <w:rPr>
                <w:sz w:val="21"/>
                <w:szCs w:val="21"/>
              </w:rPr>
              <w:t>厂区采用雨污分流制</w:t>
            </w:r>
            <w:r>
              <w:rPr>
                <w:rFonts w:hint="eastAsia"/>
                <w:sz w:val="21"/>
                <w:szCs w:val="21"/>
              </w:rPr>
              <w:t>；</w:t>
            </w:r>
            <w:r>
              <w:rPr>
                <w:sz w:val="21"/>
                <w:szCs w:val="21"/>
              </w:rPr>
              <w:t>雨水经园区雨水管网收集后由雨水排放口排放</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185" w:type="pct"/>
            <w:vMerge w:val="continue"/>
            <w:vAlign w:val="center"/>
          </w:tcPr>
          <w:p>
            <w:pPr>
              <w:spacing w:line="240" w:lineRule="auto"/>
              <w:ind w:firstLine="480"/>
              <w:jc w:val="center"/>
              <w:rPr>
                <w:sz w:val="21"/>
                <w:szCs w:val="21"/>
              </w:rPr>
            </w:pPr>
          </w:p>
        </w:tc>
        <w:tc>
          <w:tcPr>
            <w:tcW w:w="305" w:type="pct"/>
            <w:vAlign w:val="center"/>
          </w:tcPr>
          <w:p>
            <w:pPr>
              <w:spacing w:line="240" w:lineRule="auto"/>
              <w:ind w:firstLine="0" w:firstLineChars="0"/>
              <w:jc w:val="center"/>
              <w:rPr>
                <w:sz w:val="21"/>
                <w:szCs w:val="21"/>
              </w:rPr>
            </w:pPr>
            <w:r>
              <w:rPr>
                <w:sz w:val="21"/>
                <w:szCs w:val="21"/>
              </w:rPr>
              <w:t>供气</w:t>
            </w:r>
          </w:p>
        </w:tc>
        <w:tc>
          <w:tcPr>
            <w:tcW w:w="862" w:type="pct"/>
            <w:gridSpan w:val="2"/>
            <w:vAlign w:val="center"/>
          </w:tcPr>
          <w:p>
            <w:pPr>
              <w:spacing w:line="240" w:lineRule="auto"/>
              <w:ind w:firstLine="480"/>
              <w:jc w:val="center"/>
              <w:rPr>
                <w:sz w:val="21"/>
                <w:szCs w:val="21"/>
              </w:rPr>
            </w:pPr>
            <w:r>
              <w:rPr>
                <w:sz w:val="21"/>
                <w:szCs w:val="21"/>
              </w:rPr>
              <w:t>天然气</w:t>
            </w:r>
          </w:p>
        </w:tc>
        <w:tc>
          <w:tcPr>
            <w:tcW w:w="1812" w:type="pct"/>
            <w:vAlign w:val="center"/>
          </w:tcPr>
          <w:p>
            <w:pPr>
              <w:spacing w:line="240" w:lineRule="auto"/>
              <w:jc w:val="center"/>
              <w:rPr>
                <w:rFonts w:hint="eastAsia"/>
                <w:sz w:val="21"/>
                <w:szCs w:val="21"/>
              </w:rPr>
            </w:pPr>
            <w:r>
              <w:rPr>
                <w:sz w:val="21"/>
                <w:szCs w:val="21"/>
              </w:rPr>
              <w:t>燃气管道经园区减压站进入项目区用气单元</w:t>
            </w:r>
            <w:r>
              <w:rPr>
                <w:rFonts w:hint="eastAsia"/>
                <w:sz w:val="21"/>
                <w:szCs w:val="21"/>
              </w:rPr>
              <w:t>，</w:t>
            </w:r>
          </w:p>
          <w:p>
            <w:pPr>
              <w:spacing w:line="240" w:lineRule="auto"/>
              <w:ind w:firstLine="480"/>
              <w:jc w:val="center"/>
              <w:rPr>
                <w:sz w:val="21"/>
                <w:szCs w:val="21"/>
              </w:rPr>
            </w:pPr>
            <w:r>
              <w:rPr>
                <w:rFonts w:hint="eastAsia"/>
                <w:sz w:val="21"/>
                <w:szCs w:val="21"/>
              </w:rPr>
              <w:t>燃气用量5</w:t>
            </w:r>
            <w:r>
              <w:rPr>
                <w:sz w:val="21"/>
                <w:szCs w:val="21"/>
              </w:rPr>
              <w:t>万m</w:t>
            </w:r>
            <w:r>
              <w:rPr>
                <w:sz w:val="21"/>
                <w:szCs w:val="21"/>
                <w:vertAlign w:val="superscript"/>
              </w:rPr>
              <w:t>3</w:t>
            </w:r>
            <w:r>
              <w:rPr>
                <w:sz w:val="21"/>
                <w:szCs w:val="21"/>
              </w:rPr>
              <w:t>/a</w:t>
            </w:r>
          </w:p>
        </w:tc>
        <w:tc>
          <w:tcPr>
            <w:tcW w:w="1136" w:type="pct"/>
            <w:vAlign w:val="center"/>
          </w:tcPr>
          <w:p>
            <w:pPr>
              <w:spacing w:line="240" w:lineRule="auto"/>
              <w:ind w:firstLine="840" w:firstLineChars="400"/>
              <w:jc w:val="center"/>
              <w:rPr>
                <w:sz w:val="21"/>
                <w:szCs w:val="21"/>
              </w:rPr>
            </w:pPr>
            <w:r>
              <w:rPr>
                <w:rFonts w:hint="eastAsia"/>
                <w:sz w:val="21"/>
                <w:szCs w:val="21"/>
              </w:rPr>
              <w:t>燃气用量为0</w:t>
            </w:r>
          </w:p>
        </w:tc>
        <w:tc>
          <w:tcPr>
            <w:tcW w:w="697" w:type="pct"/>
            <w:vAlign w:val="center"/>
          </w:tcPr>
          <w:p>
            <w:pPr>
              <w:spacing w:line="240" w:lineRule="auto"/>
              <w:ind w:left="0" w:leftChars="0" w:firstLine="0" w:firstLineChars="0"/>
              <w:jc w:val="both"/>
              <w:rPr>
                <w:sz w:val="21"/>
                <w:szCs w:val="21"/>
              </w:rPr>
            </w:pPr>
            <w:r>
              <w:rPr>
                <w:rFonts w:hint="eastAsia"/>
                <w:sz w:val="21"/>
                <w:szCs w:val="21"/>
              </w:rPr>
              <w:t>喷漆自动化区（喷漆-流平-烘干一体自动线区）未建设，不在本次竣工环保验收范围内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85" w:type="pct"/>
            <w:vMerge w:val="continue"/>
            <w:vAlign w:val="center"/>
          </w:tcPr>
          <w:p>
            <w:pPr>
              <w:spacing w:line="240" w:lineRule="auto"/>
              <w:ind w:firstLine="480"/>
              <w:jc w:val="center"/>
              <w:rPr>
                <w:sz w:val="21"/>
                <w:szCs w:val="21"/>
              </w:rPr>
            </w:pPr>
          </w:p>
        </w:tc>
        <w:tc>
          <w:tcPr>
            <w:tcW w:w="1167" w:type="pct"/>
            <w:gridSpan w:val="3"/>
            <w:vAlign w:val="center"/>
          </w:tcPr>
          <w:p>
            <w:pPr>
              <w:spacing w:line="240" w:lineRule="auto"/>
              <w:ind w:firstLine="480"/>
              <w:jc w:val="center"/>
              <w:rPr>
                <w:sz w:val="21"/>
                <w:szCs w:val="21"/>
              </w:rPr>
            </w:pPr>
            <w:r>
              <w:rPr>
                <w:sz w:val="21"/>
                <w:szCs w:val="21"/>
              </w:rPr>
              <w:t>供电工程</w:t>
            </w:r>
          </w:p>
        </w:tc>
        <w:tc>
          <w:tcPr>
            <w:tcW w:w="1812" w:type="pct"/>
            <w:vAlign w:val="center"/>
          </w:tcPr>
          <w:p>
            <w:pPr>
              <w:spacing w:line="240" w:lineRule="auto"/>
              <w:ind w:firstLine="480"/>
              <w:jc w:val="center"/>
              <w:rPr>
                <w:sz w:val="21"/>
                <w:szCs w:val="21"/>
              </w:rPr>
            </w:pPr>
            <w:r>
              <w:rPr>
                <w:sz w:val="21"/>
                <w:szCs w:val="21"/>
              </w:rPr>
              <w:t>项目供电由园区供电系统供给</w:t>
            </w:r>
            <w:r>
              <w:rPr>
                <w:rFonts w:hint="eastAsia"/>
                <w:sz w:val="21"/>
                <w:szCs w:val="21"/>
              </w:rPr>
              <w:t>，用电量20</w:t>
            </w:r>
            <w:r>
              <w:rPr>
                <w:sz w:val="21"/>
                <w:szCs w:val="21"/>
              </w:rPr>
              <w:t>万kW·h/a</w:t>
            </w:r>
          </w:p>
        </w:tc>
        <w:tc>
          <w:tcPr>
            <w:tcW w:w="1136" w:type="pct"/>
            <w:vAlign w:val="center"/>
          </w:tcPr>
          <w:p>
            <w:pPr>
              <w:spacing w:line="240" w:lineRule="auto"/>
              <w:jc w:val="center"/>
              <w:rPr>
                <w:sz w:val="21"/>
                <w:szCs w:val="21"/>
              </w:rPr>
            </w:pPr>
            <w:r>
              <w:rPr>
                <w:sz w:val="21"/>
                <w:szCs w:val="21"/>
              </w:rPr>
              <w:t>项目供电由园区供电系统供给</w:t>
            </w:r>
            <w:r>
              <w:rPr>
                <w:rFonts w:hint="eastAsia"/>
                <w:sz w:val="21"/>
                <w:szCs w:val="21"/>
              </w:rPr>
              <w:t>，用电量17</w:t>
            </w:r>
            <w:r>
              <w:rPr>
                <w:sz w:val="21"/>
                <w:szCs w:val="21"/>
              </w:rPr>
              <w:t>万kW·h/a</w:t>
            </w:r>
          </w:p>
        </w:tc>
        <w:tc>
          <w:tcPr>
            <w:tcW w:w="697" w:type="pct"/>
            <w:vAlign w:val="center"/>
          </w:tcPr>
          <w:p>
            <w:pPr>
              <w:spacing w:line="240" w:lineRule="auto"/>
              <w:ind w:left="0" w:leftChars="0" w:firstLine="0" w:firstLineChars="0"/>
              <w:jc w:val="both"/>
              <w:rPr>
                <w:rFonts w:ascii="Times New Roman" w:hAnsi="Times New Roman" w:cs="Times New Roman"/>
                <w:sz w:val="21"/>
                <w:szCs w:val="21"/>
              </w:rPr>
            </w:pPr>
            <w:r>
              <w:rPr>
                <w:rFonts w:hint="eastAsia"/>
                <w:sz w:val="21"/>
                <w:szCs w:val="21"/>
              </w:rPr>
              <w:t>喷漆自动化区（喷漆-流平-烘干一体自动线区）未建设，用电量减少</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jc w:val="center"/>
        </w:trPr>
        <w:tc>
          <w:tcPr>
            <w:tcW w:w="185" w:type="pct"/>
            <w:vMerge w:val="continue"/>
            <w:vAlign w:val="center"/>
          </w:tcPr>
          <w:p>
            <w:pPr>
              <w:spacing w:line="240" w:lineRule="auto"/>
              <w:ind w:firstLine="480"/>
              <w:jc w:val="center"/>
              <w:rPr>
                <w:sz w:val="21"/>
                <w:szCs w:val="21"/>
              </w:rPr>
            </w:pPr>
          </w:p>
        </w:tc>
        <w:tc>
          <w:tcPr>
            <w:tcW w:w="1167" w:type="pct"/>
            <w:gridSpan w:val="3"/>
            <w:vAlign w:val="center"/>
          </w:tcPr>
          <w:p>
            <w:pPr>
              <w:spacing w:line="240" w:lineRule="auto"/>
              <w:ind w:firstLine="480"/>
              <w:jc w:val="center"/>
              <w:rPr>
                <w:sz w:val="21"/>
                <w:szCs w:val="21"/>
              </w:rPr>
            </w:pPr>
            <w:r>
              <w:rPr>
                <w:sz w:val="21"/>
                <w:szCs w:val="21"/>
              </w:rPr>
              <w:t>消防系统</w:t>
            </w:r>
          </w:p>
        </w:tc>
        <w:tc>
          <w:tcPr>
            <w:tcW w:w="1812" w:type="pct"/>
            <w:vAlign w:val="center"/>
          </w:tcPr>
          <w:p>
            <w:pPr>
              <w:spacing w:line="240" w:lineRule="auto"/>
              <w:ind w:firstLine="480"/>
              <w:jc w:val="center"/>
              <w:rPr>
                <w:sz w:val="21"/>
                <w:szCs w:val="21"/>
              </w:rPr>
            </w:pPr>
            <w:r>
              <w:rPr>
                <w:sz w:val="21"/>
                <w:szCs w:val="21"/>
              </w:rPr>
              <w:t>包括消防栓、灭火器等</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jc w:val="center"/>
        </w:trPr>
        <w:tc>
          <w:tcPr>
            <w:tcW w:w="185" w:type="pct"/>
            <w:vMerge w:val="continue"/>
            <w:vAlign w:val="center"/>
          </w:tcPr>
          <w:p>
            <w:pPr>
              <w:spacing w:line="240" w:lineRule="auto"/>
              <w:ind w:firstLine="480"/>
              <w:jc w:val="center"/>
              <w:rPr>
                <w:sz w:val="21"/>
                <w:szCs w:val="21"/>
              </w:rPr>
            </w:pPr>
          </w:p>
        </w:tc>
        <w:tc>
          <w:tcPr>
            <w:tcW w:w="1167" w:type="pct"/>
            <w:gridSpan w:val="3"/>
            <w:vAlign w:val="center"/>
          </w:tcPr>
          <w:p>
            <w:pPr>
              <w:spacing w:line="240" w:lineRule="auto"/>
              <w:ind w:firstLine="480"/>
              <w:jc w:val="center"/>
              <w:rPr>
                <w:sz w:val="21"/>
                <w:szCs w:val="21"/>
              </w:rPr>
            </w:pPr>
            <w:r>
              <w:rPr>
                <w:sz w:val="21"/>
                <w:szCs w:val="21"/>
              </w:rPr>
              <w:t>空压系统</w:t>
            </w:r>
          </w:p>
        </w:tc>
        <w:tc>
          <w:tcPr>
            <w:tcW w:w="1812" w:type="pct"/>
            <w:vAlign w:val="center"/>
          </w:tcPr>
          <w:p>
            <w:pPr>
              <w:spacing w:line="240" w:lineRule="auto"/>
              <w:ind w:firstLine="0" w:firstLineChars="0"/>
              <w:jc w:val="center"/>
              <w:rPr>
                <w:sz w:val="21"/>
                <w:szCs w:val="21"/>
              </w:rPr>
            </w:pPr>
            <w:r>
              <w:rPr>
                <w:sz w:val="21"/>
                <w:szCs w:val="21"/>
              </w:rPr>
              <w:t>位于</w:t>
            </w:r>
            <w:r>
              <w:rPr>
                <w:rFonts w:hint="eastAsia"/>
                <w:sz w:val="21"/>
                <w:szCs w:val="21"/>
              </w:rPr>
              <w:t>厂房</w:t>
            </w:r>
            <w:r>
              <w:rPr>
                <w:sz w:val="21"/>
                <w:szCs w:val="21"/>
              </w:rPr>
              <w:t>南侧区域，布置</w:t>
            </w:r>
            <w:r>
              <w:rPr>
                <w:rFonts w:hint="eastAsia"/>
                <w:sz w:val="21"/>
                <w:szCs w:val="21"/>
              </w:rPr>
              <w:t>2</w:t>
            </w:r>
            <w:r>
              <w:rPr>
                <w:sz w:val="21"/>
                <w:szCs w:val="21"/>
              </w:rPr>
              <w:t>台空压机</w:t>
            </w:r>
            <w:r>
              <w:rPr>
                <w:rFonts w:hint="eastAsia"/>
                <w:sz w:val="21"/>
                <w:szCs w:val="21"/>
              </w:rPr>
              <w:t>，4.2</w:t>
            </w:r>
            <w:r>
              <w:rPr>
                <w:sz w:val="21"/>
                <w:szCs w:val="21"/>
              </w:rPr>
              <w:t>m³/h·台</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jc w:val="center"/>
        </w:trPr>
        <w:tc>
          <w:tcPr>
            <w:tcW w:w="185" w:type="pct"/>
            <w:vMerge w:val="continue"/>
            <w:vAlign w:val="center"/>
          </w:tcPr>
          <w:p>
            <w:pPr>
              <w:spacing w:line="240" w:lineRule="auto"/>
              <w:ind w:firstLine="480"/>
              <w:jc w:val="center"/>
              <w:rPr>
                <w:sz w:val="21"/>
                <w:szCs w:val="21"/>
              </w:rPr>
            </w:pPr>
          </w:p>
        </w:tc>
        <w:tc>
          <w:tcPr>
            <w:tcW w:w="1167" w:type="pct"/>
            <w:gridSpan w:val="3"/>
            <w:vAlign w:val="center"/>
          </w:tcPr>
          <w:p>
            <w:pPr>
              <w:spacing w:line="240" w:lineRule="auto"/>
              <w:ind w:firstLine="480"/>
              <w:jc w:val="center"/>
              <w:rPr>
                <w:sz w:val="21"/>
                <w:szCs w:val="21"/>
              </w:rPr>
            </w:pPr>
            <w:r>
              <w:rPr>
                <w:rFonts w:hint="eastAsia"/>
                <w:sz w:val="21"/>
                <w:szCs w:val="21"/>
              </w:rPr>
              <w:t>供热系统</w:t>
            </w:r>
          </w:p>
        </w:tc>
        <w:tc>
          <w:tcPr>
            <w:tcW w:w="1812" w:type="pct"/>
            <w:vAlign w:val="center"/>
          </w:tcPr>
          <w:p>
            <w:pPr>
              <w:spacing w:line="240" w:lineRule="auto"/>
              <w:ind w:firstLine="480"/>
              <w:jc w:val="center"/>
              <w:rPr>
                <w:sz w:val="21"/>
                <w:szCs w:val="21"/>
              </w:rPr>
            </w:pPr>
            <w:r>
              <w:rPr>
                <w:rFonts w:hint="eastAsia"/>
                <w:sz w:val="21"/>
                <w:szCs w:val="21"/>
              </w:rPr>
              <w:t>喷漆自动线烘干采用1台热风炉间接加热，燃气用量5</w:t>
            </w:r>
            <w:r>
              <w:rPr>
                <w:sz w:val="21"/>
                <w:szCs w:val="21"/>
              </w:rPr>
              <w:t>万</w:t>
            </w:r>
            <w:r>
              <w:rPr>
                <w:rFonts w:hint="eastAsia"/>
                <w:sz w:val="21"/>
                <w:szCs w:val="21"/>
              </w:rPr>
              <w:t>m³/a</w:t>
            </w:r>
          </w:p>
        </w:tc>
        <w:tc>
          <w:tcPr>
            <w:tcW w:w="1136" w:type="pct"/>
            <w:vAlign w:val="center"/>
          </w:tcPr>
          <w:p>
            <w:pPr>
              <w:spacing w:line="240" w:lineRule="auto"/>
              <w:ind w:firstLine="480"/>
              <w:jc w:val="center"/>
              <w:rPr>
                <w:sz w:val="21"/>
                <w:szCs w:val="21"/>
              </w:rPr>
            </w:pPr>
            <w:r>
              <w:rPr>
                <w:rFonts w:hint="eastAsia"/>
                <w:sz w:val="21"/>
                <w:szCs w:val="21"/>
              </w:rPr>
              <w:t>燃气用量为0</w:t>
            </w:r>
          </w:p>
        </w:tc>
        <w:tc>
          <w:tcPr>
            <w:tcW w:w="697" w:type="pct"/>
            <w:vAlign w:val="center"/>
          </w:tcPr>
          <w:p>
            <w:pPr>
              <w:spacing w:line="240" w:lineRule="auto"/>
              <w:ind w:left="0" w:leftChars="0" w:firstLine="0" w:firstLineChars="0"/>
              <w:jc w:val="both"/>
              <w:rPr>
                <w:sz w:val="21"/>
                <w:szCs w:val="21"/>
              </w:rPr>
            </w:pPr>
            <w:r>
              <w:rPr>
                <w:rFonts w:hint="eastAsia"/>
                <w:sz w:val="21"/>
                <w:szCs w:val="21"/>
              </w:rPr>
              <w:t>喷漆自动化区（喷漆-流平-烘干一体自动线区）未建设，不在本次竣工环保验收范围内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85" w:type="pct"/>
            <w:vMerge w:val="restart"/>
            <w:vAlign w:val="center"/>
          </w:tcPr>
          <w:p>
            <w:pPr>
              <w:spacing w:line="240" w:lineRule="auto"/>
              <w:ind w:left="0" w:leftChars="0" w:firstLine="0" w:firstLineChars="0"/>
              <w:jc w:val="center"/>
              <w:rPr>
                <w:sz w:val="21"/>
                <w:szCs w:val="21"/>
              </w:rPr>
            </w:pPr>
            <w:r>
              <w:rPr>
                <w:sz w:val="21"/>
                <w:szCs w:val="21"/>
              </w:rPr>
              <w:t>贮运</w:t>
            </w:r>
          </w:p>
          <w:p>
            <w:pPr>
              <w:spacing w:line="240" w:lineRule="auto"/>
              <w:ind w:left="0" w:leftChars="0" w:firstLine="0" w:firstLineChars="0"/>
              <w:jc w:val="center"/>
              <w:rPr>
                <w:sz w:val="21"/>
                <w:szCs w:val="21"/>
              </w:rPr>
            </w:pPr>
            <w:r>
              <w:rPr>
                <w:sz w:val="21"/>
                <w:szCs w:val="21"/>
              </w:rPr>
              <w:t>工程</w:t>
            </w:r>
          </w:p>
        </w:tc>
        <w:tc>
          <w:tcPr>
            <w:tcW w:w="305" w:type="pct"/>
            <w:vMerge w:val="restart"/>
            <w:vAlign w:val="center"/>
          </w:tcPr>
          <w:p>
            <w:pPr>
              <w:spacing w:line="240" w:lineRule="auto"/>
              <w:ind w:left="0" w:leftChars="0" w:firstLine="0" w:firstLineChars="0"/>
              <w:jc w:val="center"/>
              <w:rPr>
                <w:sz w:val="21"/>
                <w:szCs w:val="21"/>
              </w:rPr>
            </w:pPr>
            <w:r>
              <w:rPr>
                <w:sz w:val="21"/>
                <w:szCs w:val="21"/>
              </w:rPr>
              <w:t>运输</w:t>
            </w:r>
          </w:p>
        </w:tc>
        <w:tc>
          <w:tcPr>
            <w:tcW w:w="862" w:type="pct"/>
            <w:gridSpan w:val="2"/>
            <w:vAlign w:val="center"/>
          </w:tcPr>
          <w:p>
            <w:pPr>
              <w:spacing w:line="240" w:lineRule="auto"/>
              <w:ind w:firstLine="480"/>
              <w:jc w:val="center"/>
              <w:rPr>
                <w:sz w:val="21"/>
                <w:szCs w:val="21"/>
              </w:rPr>
            </w:pPr>
            <w:r>
              <w:rPr>
                <w:sz w:val="21"/>
                <w:szCs w:val="21"/>
              </w:rPr>
              <w:t>原料供应</w:t>
            </w:r>
          </w:p>
        </w:tc>
        <w:tc>
          <w:tcPr>
            <w:tcW w:w="1812" w:type="pct"/>
            <w:vAlign w:val="center"/>
          </w:tcPr>
          <w:p>
            <w:pPr>
              <w:spacing w:line="240" w:lineRule="auto"/>
              <w:ind w:firstLine="480"/>
              <w:jc w:val="center"/>
              <w:rPr>
                <w:sz w:val="21"/>
                <w:szCs w:val="21"/>
              </w:rPr>
            </w:pPr>
            <w:r>
              <w:rPr>
                <w:sz w:val="21"/>
                <w:szCs w:val="21"/>
              </w:rPr>
              <w:t>全部委托社会车辆承担运输</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产品、固废</w:t>
            </w:r>
          </w:p>
        </w:tc>
        <w:tc>
          <w:tcPr>
            <w:tcW w:w="1812" w:type="pct"/>
            <w:vAlign w:val="center"/>
          </w:tcPr>
          <w:p>
            <w:pPr>
              <w:spacing w:line="240" w:lineRule="auto"/>
              <w:ind w:firstLine="480"/>
              <w:jc w:val="center"/>
              <w:rPr>
                <w:sz w:val="21"/>
                <w:szCs w:val="21"/>
              </w:rPr>
            </w:pPr>
            <w:r>
              <w:rPr>
                <w:sz w:val="21"/>
                <w:szCs w:val="21"/>
              </w:rPr>
              <w:t>全部委托社会车辆承担运输</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5" w:type="pct"/>
            <w:vMerge w:val="continue"/>
            <w:vAlign w:val="center"/>
          </w:tcPr>
          <w:p>
            <w:pPr>
              <w:spacing w:line="240" w:lineRule="auto"/>
              <w:ind w:firstLine="480"/>
              <w:jc w:val="center"/>
              <w:rPr>
                <w:sz w:val="21"/>
                <w:szCs w:val="21"/>
              </w:rPr>
            </w:pPr>
          </w:p>
        </w:tc>
        <w:tc>
          <w:tcPr>
            <w:tcW w:w="305" w:type="pct"/>
            <w:vMerge w:val="restart"/>
            <w:vAlign w:val="center"/>
          </w:tcPr>
          <w:p>
            <w:pPr>
              <w:spacing w:line="240" w:lineRule="auto"/>
              <w:ind w:left="0" w:leftChars="0" w:firstLine="0" w:firstLineChars="0"/>
              <w:jc w:val="center"/>
              <w:rPr>
                <w:sz w:val="21"/>
                <w:szCs w:val="21"/>
              </w:rPr>
            </w:pPr>
            <w:r>
              <w:rPr>
                <w:sz w:val="21"/>
                <w:szCs w:val="21"/>
              </w:rPr>
              <w:t>贮存</w:t>
            </w:r>
          </w:p>
        </w:tc>
        <w:tc>
          <w:tcPr>
            <w:tcW w:w="862" w:type="pct"/>
            <w:gridSpan w:val="2"/>
            <w:vAlign w:val="center"/>
          </w:tcPr>
          <w:p>
            <w:pPr>
              <w:spacing w:line="240" w:lineRule="auto"/>
              <w:ind w:firstLine="480"/>
              <w:jc w:val="center"/>
              <w:rPr>
                <w:sz w:val="21"/>
                <w:szCs w:val="21"/>
              </w:rPr>
            </w:pPr>
            <w:r>
              <w:rPr>
                <w:sz w:val="21"/>
                <w:szCs w:val="21"/>
              </w:rPr>
              <w:t>原料区</w:t>
            </w:r>
          </w:p>
        </w:tc>
        <w:tc>
          <w:tcPr>
            <w:tcW w:w="1812" w:type="pct"/>
            <w:vAlign w:val="center"/>
          </w:tcPr>
          <w:p>
            <w:pPr>
              <w:spacing w:line="240" w:lineRule="auto"/>
              <w:ind w:left="0" w:leftChars="0" w:firstLine="0" w:firstLineChars="0"/>
              <w:jc w:val="both"/>
              <w:rPr>
                <w:sz w:val="21"/>
                <w:szCs w:val="21"/>
              </w:rPr>
            </w:pPr>
            <w:r>
              <w:rPr>
                <w:sz w:val="21"/>
                <w:szCs w:val="21"/>
              </w:rPr>
              <w:t>位于厂房内中间，主要贮存焊材、钢丸、液压油、切削液等，其中液压油、切削液等液体化学原料单独存放；</w:t>
            </w:r>
            <w:r>
              <w:rPr>
                <w:rFonts w:hint="eastAsia"/>
                <w:sz w:val="21"/>
                <w:szCs w:val="21"/>
              </w:rPr>
              <w:t>面积1754</w:t>
            </w:r>
            <w:r>
              <w:rPr>
                <w:sz w:val="21"/>
                <w:szCs w:val="21"/>
              </w:rPr>
              <w:t>m</w:t>
            </w:r>
            <w:r>
              <w:rPr>
                <w:sz w:val="21"/>
                <w:szCs w:val="21"/>
                <w:vertAlign w:val="superscript"/>
              </w:rPr>
              <w:t>2</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成品存放区</w:t>
            </w:r>
          </w:p>
        </w:tc>
        <w:tc>
          <w:tcPr>
            <w:tcW w:w="1812" w:type="pct"/>
            <w:vAlign w:val="center"/>
          </w:tcPr>
          <w:p>
            <w:pPr>
              <w:spacing w:line="240" w:lineRule="auto"/>
              <w:ind w:left="0" w:leftChars="0" w:firstLine="0" w:firstLineChars="0"/>
              <w:jc w:val="both"/>
              <w:rPr>
                <w:sz w:val="21"/>
                <w:szCs w:val="21"/>
              </w:rPr>
            </w:pPr>
            <w:r>
              <w:rPr>
                <w:sz w:val="21"/>
                <w:szCs w:val="21"/>
              </w:rPr>
              <w:t>位于厂房内</w:t>
            </w:r>
            <w:r>
              <w:rPr>
                <w:rFonts w:hint="eastAsia"/>
                <w:sz w:val="21"/>
                <w:szCs w:val="21"/>
              </w:rPr>
              <w:t>喷涂封闭区，</w:t>
            </w:r>
            <w:r>
              <w:rPr>
                <w:sz w:val="21"/>
                <w:szCs w:val="21"/>
              </w:rPr>
              <w:t>主要临时贮存</w:t>
            </w:r>
            <w:r>
              <w:rPr>
                <w:rFonts w:hint="eastAsia"/>
                <w:sz w:val="21"/>
                <w:szCs w:val="21"/>
              </w:rPr>
              <w:t>钢结构件、机械加工件</w:t>
            </w:r>
            <w:r>
              <w:rPr>
                <w:sz w:val="21"/>
                <w:szCs w:val="21"/>
              </w:rPr>
              <w:t>等</w:t>
            </w:r>
            <w:r>
              <w:rPr>
                <w:rFonts w:hint="eastAsia"/>
                <w:sz w:val="21"/>
                <w:szCs w:val="21"/>
              </w:rPr>
              <w:t>，面积约800</w:t>
            </w:r>
            <w:r>
              <w:rPr>
                <w:sz w:val="21"/>
                <w:szCs w:val="21"/>
              </w:rPr>
              <w:t>m</w:t>
            </w:r>
            <w:r>
              <w:rPr>
                <w:sz w:val="21"/>
                <w:szCs w:val="21"/>
                <w:vertAlign w:val="superscript"/>
              </w:rPr>
              <w:t>2</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半成品存放区</w:t>
            </w:r>
          </w:p>
        </w:tc>
        <w:tc>
          <w:tcPr>
            <w:tcW w:w="1812" w:type="pct"/>
            <w:vAlign w:val="center"/>
          </w:tcPr>
          <w:p>
            <w:pPr>
              <w:spacing w:line="240" w:lineRule="auto"/>
              <w:ind w:firstLine="480"/>
              <w:jc w:val="center"/>
              <w:rPr>
                <w:sz w:val="21"/>
                <w:szCs w:val="21"/>
              </w:rPr>
            </w:pPr>
            <w:r>
              <w:rPr>
                <w:sz w:val="21"/>
                <w:szCs w:val="21"/>
              </w:rPr>
              <w:t>位于厂房内中间</w:t>
            </w:r>
            <w:r>
              <w:rPr>
                <w:rFonts w:hint="eastAsia"/>
                <w:sz w:val="21"/>
                <w:szCs w:val="21"/>
              </w:rPr>
              <w:t>区域面积约1000</w:t>
            </w:r>
            <w:r>
              <w:rPr>
                <w:sz w:val="21"/>
                <w:szCs w:val="21"/>
              </w:rPr>
              <w:t>m</w:t>
            </w:r>
            <w:r>
              <w:rPr>
                <w:sz w:val="21"/>
                <w:szCs w:val="21"/>
                <w:vertAlign w:val="superscript"/>
              </w:rPr>
              <w:t>2</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油漆库</w:t>
            </w:r>
          </w:p>
        </w:tc>
        <w:tc>
          <w:tcPr>
            <w:tcW w:w="1812" w:type="pct"/>
            <w:vAlign w:val="center"/>
          </w:tcPr>
          <w:p>
            <w:pPr>
              <w:spacing w:line="240" w:lineRule="auto"/>
              <w:ind w:left="0" w:leftChars="0" w:firstLine="0" w:firstLineChars="0"/>
              <w:jc w:val="both"/>
              <w:rPr>
                <w:sz w:val="21"/>
                <w:szCs w:val="21"/>
              </w:rPr>
            </w:pPr>
            <w:r>
              <w:rPr>
                <w:sz w:val="21"/>
                <w:szCs w:val="21"/>
              </w:rPr>
              <w:t>位于厂房</w:t>
            </w:r>
            <w:r>
              <w:rPr>
                <w:rFonts w:hint="eastAsia"/>
                <w:sz w:val="21"/>
                <w:szCs w:val="21"/>
              </w:rPr>
              <w:t>外东南侧，主要贮存油性漆、稀释剂、水性漆，面积约20</w:t>
            </w:r>
            <w:r>
              <w:rPr>
                <w:sz w:val="21"/>
                <w:szCs w:val="21"/>
              </w:rPr>
              <w:t>m</w:t>
            </w:r>
            <w:r>
              <w:rPr>
                <w:sz w:val="21"/>
                <w:szCs w:val="21"/>
                <w:vertAlign w:val="superscript"/>
              </w:rPr>
              <w:t>2</w:t>
            </w:r>
          </w:p>
        </w:tc>
        <w:tc>
          <w:tcPr>
            <w:tcW w:w="1136" w:type="pct"/>
            <w:vAlign w:val="center"/>
          </w:tcPr>
          <w:p>
            <w:pPr>
              <w:spacing w:line="240" w:lineRule="auto"/>
              <w:ind w:firstLine="420" w:firstLineChars="20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85" w:type="pct"/>
            <w:vMerge w:val="restart"/>
            <w:vAlign w:val="center"/>
          </w:tcPr>
          <w:p>
            <w:pPr>
              <w:spacing w:line="240" w:lineRule="auto"/>
              <w:ind w:left="0" w:leftChars="0" w:firstLine="0" w:firstLineChars="0"/>
              <w:jc w:val="center"/>
              <w:rPr>
                <w:sz w:val="21"/>
                <w:szCs w:val="21"/>
              </w:rPr>
            </w:pPr>
            <w:r>
              <w:rPr>
                <w:sz w:val="21"/>
                <w:szCs w:val="21"/>
              </w:rPr>
              <w:t>环保工程</w:t>
            </w:r>
          </w:p>
        </w:tc>
        <w:tc>
          <w:tcPr>
            <w:tcW w:w="305" w:type="pct"/>
            <w:vMerge w:val="restart"/>
            <w:vAlign w:val="center"/>
          </w:tcPr>
          <w:p>
            <w:pPr>
              <w:spacing w:line="240" w:lineRule="auto"/>
              <w:ind w:left="0" w:leftChars="0" w:firstLine="0" w:firstLineChars="0"/>
              <w:jc w:val="center"/>
              <w:rPr>
                <w:sz w:val="21"/>
                <w:szCs w:val="21"/>
              </w:rPr>
            </w:pPr>
            <w:r>
              <w:rPr>
                <w:sz w:val="21"/>
                <w:szCs w:val="21"/>
              </w:rPr>
              <w:t>废气</w:t>
            </w:r>
          </w:p>
          <w:p>
            <w:pPr>
              <w:spacing w:line="240" w:lineRule="auto"/>
              <w:ind w:left="0" w:leftChars="0" w:firstLine="0" w:firstLineChars="0"/>
              <w:jc w:val="center"/>
              <w:rPr>
                <w:sz w:val="21"/>
                <w:szCs w:val="21"/>
              </w:rPr>
            </w:pPr>
            <w:r>
              <w:rPr>
                <w:rFonts w:hint="eastAsia"/>
                <w:sz w:val="21"/>
                <w:szCs w:val="21"/>
              </w:rPr>
              <w:t>治理</w:t>
            </w:r>
          </w:p>
        </w:tc>
        <w:tc>
          <w:tcPr>
            <w:tcW w:w="319" w:type="pct"/>
            <w:vMerge w:val="restart"/>
            <w:vAlign w:val="center"/>
          </w:tcPr>
          <w:p>
            <w:pPr>
              <w:spacing w:line="240" w:lineRule="auto"/>
              <w:ind w:firstLine="480"/>
              <w:jc w:val="center"/>
              <w:rPr>
                <w:sz w:val="21"/>
                <w:szCs w:val="21"/>
              </w:rPr>
            </w:pPr>
            <w:r>
              <w:rPr>
                <w:sz w:val="21"/>
                <w:szCs w:val="21"/>
              </w:rPr>
              <w:t>有组织</w:t>
            </w:r>
          </w:p>
        </w:tc>
        <w:tc>
          <w:tcPr>
            <w:tcW w:w="542" w:type="pct"/>
            <w:vAlign w:val="center"/>
          </w:tcPr>
          <w:p>
            <w:pPr>
              <w:spacing w:line="240" w:lineRule="auto"/>
              <w:ind w:firstLine="0" w:firstLineChars="0"/>
              <w:jc w:val="center"/>
              <w:rPr>
                <w:sz w:val="21"/>
                <w:szCs w:val="21"/>
              </w:rPr>
            </w:pPr>
            <w:r>
              <w:rPr>
                <w:rFonts w:hint="eastAsia"/>
                <w:sz w:val="21"/>
                <w:szCs w:val="21"/>
              </w:rPr>
              <w:t>等离子</w:t>
            </w:r>
            <w:r>
              <w:rPr>
                <w:sz w:val="21"/>
                <w:szCs w:val="21"/>
              </w:rPr>
              <w:t>下料切割</w:t>
            </w:r>
            <w:r>
              <w:rPr>
                <w:rFonts w:hint="eastAsia"/>
                <w:sz w:val="21"/>
                <w:szCs w:val="21"/>
              </w:rPr>
              <w:t>工序、自动焊接区、气保焊一区及焊接平台区焊接工序、钢结构网架抛丸工序等产生的烟尘</w:t>
            </w:r>
          </w:p>
        </w:tc>
        <w:tc>
          <w:tcPr>
            <w:tcW w:w="1812" w:type="pct"/>
            <w:vAlign w:val="center"/>
          </w:tcPr>
          <w:p>
            <w:pPr>
              <w:spacing w:line="240" w:lineRule="auto"/>
              <w:ind w:left="0" w:leftChars="0" w:firstLine="0" w:firstLineChars="0"/>
              <w:jc w:val="both"/>
              <w:rPr>
                <w:sz w:val="21"/>
                <w:szCs w:val="21"/>
              </w:rPr>
            </w:pPr>
            <w:r>
              <w:rPr>
                <w:rFonts w:hint="eastAsia"/>
                <w:sz w:val="21"/>
                <w:szCs w:val="21"/>
              </w:rPr>
              <w:t>等离子下料切割产生的烟尘经集气罩收集（收集率按80%计），收集后</w:t>
            </w:r>
            <w:r>
              <w:rPr>
                <w:sz w:val="21"/>
                <w:szCs w:val="21"/>
              </w:rPr>
              <w:t>引入</w:t>
            </w:r>
            <w:r>
              <w:rPr>
                <w:rFonts w:hint="eastAsia"/>
                <w:sz w:val="21"/>
                <w:szCs w:val="21"/>
              </w:rPr>
              <w:t>3套滤筒</w:t>
            </w:r>
            <w:r>
              <w:rPr>
                <w:sz w:val="21"/>
                <w:szCs w:val="21"/>
              </w:rPr>
              <w:t>除尘器</w:t>
            </w:r>
            <w:r>
              <w:rPr>
                <w:rFonts w:hint="eastAsia"/>
                <w:sz w:val="21"/>
                <w:szCs w:val="21"/>
              </w:rPr>
              <w:t>（TA001、TA002、TA003）</w:t>
            </w:r>
            <w:r>
              <w:rPr>
                <w:sz w:val="21"/>
                <w:szCs w:val="21"/>
              </w:rPr>
              <w:t>处理</w:t>
            </w:r>
            <w:r>
              <w:rPr>
                <w:rFonts w:hint="eastAsia"/>
                <w:sz w:val="21"/>
                <w:szCs w:val="21"/>
              </w:rPr>
              <w:t>；</w:t>
            </w:r>
            <w:r>
              <w:rPr>
                <w:sz w:val="21"/>
                <w:szCs w:val="21"/>
              </w:rPr>
              <w:t>自动焊接区、气保焊一区产生的焊接烟尘经集气罩收集</w:t>
            </w:r>
            <w:r>
              <w:rPr>
                <w:rFonts w:hint="eastAsia"/>
                <w:sz w:val="21"/>
                <w:szCs w:val="21"/>
              </w:rPr>
              <w:t>（</w:t>
            </w:r>
            <w:r>
              <w:rPr>
                <w:sz w:val="21"/>
                <w:szCs w:val="21"/>
              </w:rPr>
              <w:t>收集率按</w:t>
            </w:r>
            <w:r>
              <w:rPr>
                <w:rFonts w:hint="eastAsia"/>
                <w:sz w:val="21"/>
                <w:szCs w:val="21"/>
              </w:rPr>
              <w:t>8</w:t>
            </w:r>
            <w:r>
              <w:rPr>
                <w:sz w:val="21"/>
                <w:szCs w:val="21"/>
              </w:rPr>
              <w:t>0%计</w:t>
            </w:r>
            <w:r>
              <w:rPr>
                <w:rFonts w:hint="eastAsia"/>
                <w:sz w:val="21"/>
                <w:szCs w:val="21"/>
              </w:rPr>
              <w:t>）</w:t>
            </w:r>
            <w:r>
              <w:rPr>
                <w:sz w:val="21"/>
                <w:szCs w:val="21"/>
              </w:rPr>
              <w:t>，收集</w:t>
            </w:r>
            <w:r>
              <w:rPr>
                <w:rFonts w:hint="eastAsia"/>
                <w:sz w:val="21"/>
                <w:szCs w:val="21"/>
              </w:rPr>
              <w:t>后引入2</w:t>
            </w:r>
            <w:r>
              <w:rPr>
                <w:sz w:val="21"/>
                <w:szCs w:val="21"/>
              </w:rPr>
              <w:t>套滤筒除尘器（TA005、TA006）处理；</w:t>
            </w:r>
            <w:r>
              <w:rPr>
                <w:rFonts w:hint="eastAsia"/>
                <w:sz w:val="21"/>
                <w:szCs w:val="21"/>
              </w:rPr>
              <w:t>焊接平台全密闭，微负压收集（收集率</w:t>
            </w:r>
            <w:r>
              <w:rPr>
                <w:sz w:val="21"/>
                <w:szCs w:val="21"/>
              </w:rPr>
              <w:t>按</w:t>
            </w:r>
            <w:r>
              <w:rPr>
                <w:rFonts w:hint="eastAsia"/>
                <w:sz w:val="21"/>
                <w:szCs w:val="21"/>
              </w:rPr>
              <w:t>90</w:t>
            </w:r>
            <w:r>
              <w:rPr>
                <w:sz w:val="21"/>
                <w:szCs w:val="21"/>
              </w:rPr>
              <w:t>%计</w:t>
            </w:r>
            <w:r>
              <w:rPr>
                <w:rFonts w:hint="eastAsia"/>
                <w:sz w:val="21"/>
                <w:szCs w:val="21"/>
              </w:rPr>
              <w:t>）</w:t>
            </w:r>
            <w:r>
              <w:rPr>
                <w:sz w:val="21"/>
                <w:szCs w:val="21"/>
              </w:rPr>
              <w:t>，</w:t>
            </w:r>
            <w:r>
              <w:rPr>
                <w:rFonts w:hint="eastAsia"/>
                <w:sz w:val="21"/>
                <w:szCs w:val="21"/>
              </w:rPr>
              <w:t>收集后</w:t>
            </w:r>
            <w:r>
              <w:rPr>
                <w:sz w:val="21"/>
                <w:szCs w:val="21"/>
              </w:rPr>
              <w:t>引入1套滤筒除尘器（TA00</w:t>
            </w:r>
            <w:r>
              <w:rPr>
                <w:rFonts w:hint="eastAsia"/>
                <w:sz w:val="21"/>
                <w:szCs w:val="21"/>
              </w:rPr>
              <w:t>7</w:t>
            </w:r>
            <w:r>
              <w:rPr>
                <w:sz w:val="21"/>
                <w:szCs w:val="21"/>
              </w:rPr>
              <w:t>）处理</w:t>
            </w:r>
            <w:r>
              <w:rPr>
                <w:rFonts w:hint="eastAsia"/>
                <w:sz w:val="21"/>
                <w:szCs w:val="21"/>
              </w:rPr>
              <w:t>；钢结构网架抛丸粉尘经自带</w:t>
            </w:r>
            <w:r>
              <w:rPr>
                <w:sz w:val="21"/>
                <w:szCs w:val="21"/>
              </w:rPr>
              <w:t>滤筒</w:t>
            </w:r>
            <w:r>
              <w:rPr>
                <w:rFonts w:hint="eastAsia"/>
                <w:sz w:val="21"/>
                <w:szCs w:val="21"/>
              </w:rPr>
              <w:t>除</w:t>
            </w:r>
            <w:r>
              <w:rPr>
                <w:sz w:val="21"/>
                <w:szCs w:val="21"/>
              </w:rPr>
              <w:t>尘器</w:t>
            </w:r>
            <w:r>
              <w:rPr>
                <w:rFonts w:hint="eastAsia"/>
                <w:sz w:val="21"/>
                <w:szCs w:val="21"/>
              </w:rPr>
              <w:t>（TA011）处理，总风量89200</w:t>
            </w:r>
            <w:r>
              <w:rPr>
                <w:sz w:val="21"/>
                <w:szCs w:val="21"/>
              </w:rPr>
              <w:t>m</w:t>
            </w:r>
            <w:r>
              <w:rPr>
                <w:sz w:val="21"/>
                <w:szCs w:val="21"/>
                <w:vertAlign w:val="superscript"/>
              </w:rPr>
              <w:t>3</w:t>
            </w:r>
            <w:r>
              <w:rPr>
                <w:sz w:val="21"/>
                <w:szCs w:val="21"/>
              </w:rPr>
              <w:t>/h</w:t>
            </w:r>
            <w:r>
              <w:rPr>
                <w:rFonts w:hint="eastAsia"/>
                <w:sz w:val="21"/>
                <w:szCs w:val="21"/>
              </w:rPr>
              <w:t>，</w:t>
            </w:r>
            <w:r>
              <w:rPr>
                <w:sz w:val="21"/>
                <w:szCs w:val="21"/>
              </w:rPr>
              <w:t>处理后</w:t>
            </w:r>
            <w:r>
              <w:rPr>
                <w:rFonts w:hint="eastAsia"/>
                <w:sz w:val="21"/>
                <w:szCs w:val="21"/>
              </w:rPr>
              <w:t>集中</w:t>
            </w:r>
            <w:r>
              <w:rPr>
                <w:sz w:val="21"/>
                <w:szCs w:val="21"/>
              </w:rPr>
              <w:t>由1根排气筒排放（DA00</w:t>
            </w:r>
            <w:r>
              <w:rPr>
                <w:rFonts w:hint="eastAsia"/>
                <w:sz w:val="21"/>
                <w:szCs w:val="21"/>
              </w:rPr>
              <w:t>1</w:t>
            </w:r>
            <w:r>
              <w:rPr>
                <w:sz w:val="21"/>
                <w:szCs w:val="21"/>
              </w:rPr>
              <w:t>）</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319" w:type="pct"/>
            <w:vMerge w:val="continue"/>
            <w:vAlign w:val="center"/>
          </w:tcPr>
          <w:p>
            <w:pPr>
              <w:spacing w:line="240" w:lineRule="auto"/>
              <w:ind w:firstLine="480"/>
              <w:jc w:val="center"/>
              <w:rPr>
                <w:sz w:val="21"/>
                <w:szCs w:val="21"/>
              </w:rPr>
            </w:pPr>
          </w:p>
        </w:tc>
        <w:tc>
          <w:tcPr>
            <w:tcW w:w="542" w:type="pct"/>
            <w:vAlign w:val="center"/>
          </w:tcPr>
          <w:p>
            <w:pPr>
              <w:spacing w:line="240" w:lineRule="auto"/>
              <w:ind w:firstLine="0" w:firstLineChars="0"/>
              <w:jc w:val="center"/>
              <w:rPr>
                <w:rFonts w:eastAsia="宋体"/>
                <w:sz w:val="21"/>
                <w:szCs w:val="21"/>
              </w:rPr>
            </w:pPr>
            <w:r>
              <w:rPr>
                <w:rFonts w:hint="eastAsia"/>
                <w:sz w:val="21"/>
                <w:szCs w:val="21"/>
              </w:rPr>
              <w:t>相贯线下料切割工序、气保焊二区焊接工序、其钢结构和机械加工件抛丸工序等产生的烟尘</w:t>
            </w:r>
          </w:p>
        </w:tc>
        <w:tc>
          <w:tcPr>
            <w:tcW w:w="1812" w:type="pct"/>
            <w:vAlign w:val="center"/>
          </w:tcPr>
          <w:p>
            <w:pPr>
              <w:spacing w:line="240" w:lineRule="auto"/>
              <w:ind w:left="0" w:leftChars="0" w:firstLine="0" w:firstLineChars="0"/>
              <w:jc w:val="both"/>
              <w:rPr>
                <w:sz w:val="21"/>
                <w:szCs w:val="21"/>
              </w:rPr>
            </w:pPr>
            <w:r>
              <w:rPr>
                <w:rFonts w:hint="eastAsia"/>
                <w:sz w:val="21"/>
                <w:szCs w:val="21"/>
              </w:rPr>
              <w:t>数控管相贯下料切割产生的烟尘经集气罩收集（收集率按80%计），收集后引入1套滤筒除尘器（TA004）处理；气保焊二区</w:t>
            </w:r>
            <w:r>
              <w:rPr>
                <w:sz w:val="21"/>
                <w:szCs w:val="21"/>
              </w:rPr>
              <w:t>产生的焊接烟尘经集气罩收集</w:t>
            </w:r>
            <w:r>
              <w:rPr>
                <w:rFonts w:hint="eastAsia"/>
                <w:sz w:val="21"/>
                <w:szCs w:val="21"/>
              </w:rPr>
              <w:t>（收集率按80%计）</w:t>
            </w:r>
            <w:r>
              <w:rPr>
                <w:sz w:val="21"/>
                <w:szCs w:val="21"/>
              </w:rPr>
              <w:t>，收集</w:t>
            </w:r>
            <w:r>
              <w:rPr>
                <w:rFonts w:hint="eastAsia"/>
                <w:sz w:val="21"/>
                <w:szCs w:val="21"/>
              </w:rPr>
              <w:t>后</w:t>
            </w:r>
            <w:r>
              <w:rPr>
                <w:sz w:val="21"/>
                <w:szCs w:val="21"/>
              </w:rPr>
              <w:t>引入</w:t>
            </w:r>
            <w:r>
              <w:rPr>
                <w:rFonts w:hint="eastAsia"/>
                <w:sz w:val="21"/>
                <w:szCs w:val="21"/>
              </w:rPr>
              <w:t>1</w:t>
            </w:r>
            <w:r>
              <w:rPr>
                <w:sz w:val="21"/>
                <w:szCs w:val="21"/>
              </w:rPr>
              <w:t>套滤筒除尘器（TA00</w:t>
            </w:r>
            <w:r>
              <w:rPr>
                <w:rFonts w:hint="eastAsia"/>
                <w:sz w:val="21"/>
                <w:szCs w:val="21"/>
              </w:rPr>
              <w:t>8</w:t>
            </w:r>
            <w:r>
              <w:rPr>
                <w:sz w:val="21"/>
                <w:szCs w:val="21"/>
              </w:rPr>
              <w:t>）处理</w:t>
            </w:r>
            <w:r>
              <w:rPr>
                <w:rFonts w:hint="eastAsia"/>
                <w:sz w:val="21"/>
                <w:szCs w:val="21"/>
              </w:rPr>
              <w:t>；其他钢结构和机械加工件抛丸粉尘经自带滤筒除尘器（TA009、TA010）处理，总风量为71800</w:t>
            </w:r>
            <w:r>
              <w:rPr>
                <w:sz w:val="21"/>
                <w:szCs w:val="21"/>
              </w:rPr>
              <w:t>m</w:t>
            </w:r>
            <w:r>
              <w:rPr>
                <w:sz w:val="21"/>
                <w:szCs w:val="21"/>
                <w:vertAlign w:val="superscript"/>
              </w:rPr>
              <w:t>3</w:t>
            </w:r>
            <w:r>
              <w:rPr>
                <w:sz w:val="21"/>
                <w:szCs w:val="21"/>
              </w:rPr>
              <w:t>/h</w:t>
            </w:r>
            <w:r>
              <w:rPr>
                <w:rFonts w:hint="eastAsia"/>
                <w:sz w:val="21"/>
                <w:szCs w:val="21"/>
              </w:rPr>
              <w:t>，处理后集中由1根排气筒排放（DA002）</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319" w:type="pct"/>
            <w:vMerge w:val="continue"/>
            <w:vAlign w:val="center"/>
          </w:tcPr>
          <w:p>
            <w:pPr>
              <w:spacing w:line="240" w:lineRule="auto"/>
              <w:ind w:firstLine="480"/>
              <w:jc w:val="center"/>
              <w:rPr>
                <w:sz w:val="21"/>
                <w:szCs w:val="21"/>
              </w:rPr>
            </w:pPr>
          </w:p>
        </w:tc>
        <w:tc>
          <w:tcPr>
            <w:tcW w:w="542" w:type="pct"/>
            <w:vAlign w:val="center"/>
          </w:tcPr>
          <w:p>
            <w:pPr>
              <w:spacing w:line="240" w:lineRule="auto"/>
              <w:ind w:firstLine="0" w:firstLineChars="0"/>
              <w:jc w:val="center"/>
              <w:rPr>
                <w:sz w:val="21"/>
                <w:szCs w:val="21"/>
              </w:rPr>
            </w:pPr>
            <w:r>
              <w:rPr>
                <w:sz w:val="21"/>
                <w:szCs w:val="21"/>
              </w:rPr>
              <w:t>调漆、喷漆</w:t>
            </w:r>
            <w:r>
              <w:rPr>
                <w:rFonts w:hint="eastAsia"/>
                <w:sz w:val="21"/>
                <w:szCs w:val="21"/>
              </w:rPr>
              <w:t>、晾干/流平-晾干</w:t>
            </w:r>
            <w:r>
              <w:rPr>
                <w:sz w:val="21"/>
                <w:szCs w:val="21"/>
              </w:rPr>
              <w:t>废气（颗粒物、NMHC、二甲苯）</w:t>
            </w:r>
          </w:p>
        </w:tc>
        <w:tc>
          <w:tcPr>
            <w:tcW w:w="1812" w:type="pct"/>
            <w:vAlign w:val="center"/>
          </w:tcPr>
          <w:p>
            <w:pPr>
              <w:spacing w:line="240" w:lineRule="auto"/>
              <w:ind w:left="0" w:leftChars="0" w:firstLine="0" w:firstLineChars="0"/>
              <w:jc w:val="both"/>
              <w:rPr>
                <w:sz w:val="21"/>
                <w:szCs w:val="21"/>
              </w:rPr>
            </w:pPr>
            <w:r>
              <w:rPr>
                <w:rFonts w:hint="eastAsia"/>
                <w:sz w:val="21"/>
                <w:szCs w:val="21"/>
              </w:rPr>
              <w:t>喷漆室、晾干室、一体化自动线区全密闭，</w:t>
            </w:r>
            <w:r>
              <w:rPr>
                <w:sz w:val="21"/>
                <w:szCs w:val="21"/>
              </w:rPr>
              <w:t>负压收集并连接管道输送至</w:t>
            </w:r>
            <w:r>
              <w:rPr>
                <w:rFonts w:hint="eastAsia"/>
                <w:sz w:val="21"/>
                <w:szCs w:val="21"/>
              </w:rPr>
              <w:t>1套“</w:t>
            </w:r>
            <w:r>
              <w:rPr>
                <w:sz w:val="21"/>
                <w:szCs w:val="21"/>
              </w:rPr>
              <w:t>干式过滤+活性炭吸附/脱附+催化燃烧</w:t>
            </w:r>
            <w:r>
              <w:rPr>
                <w:rFonts w:hint="eastAsia"/>
                <w:sz w:val="21"/>
                <w:szCs w:val="21"/>
              </w:rPr>
              <w:t>（TA011）”处理，总风量为40000</w:t>
            </w:r>
            <w:r>
              <w:rPr>
                <w:sz w:val="21"/>
                <w:szCs w:val="21"/>
              </w:rPr>
              <w:t>m</w:t>
            </w:r>
            <w:r>
              <w:rPr>
                <w:sz w:val="21"/>
                <w:szCs w:val="21"/>
                <w:vertAlign w:val="superscript"/>
              </w:rPr>
              <w:t>3</w:t>
            </w:r>
            <w:r>
              <w:rPr>
                <w:sz w:val="21"/>
                <w:szCs w:val="21"/>
              </w:rPr>
              <w:t>/h</w:t>
            </w:r>
            <w:r>
              <w:rPr>
                <w:rFonts w:hint="eastAsia"/>
                <w:sz w:val="21"/>
                <w:szCs w:val="21"/>
              </w:rPr>
              <w:t>，处理后</w:t>
            </w:r>
            <w:r>
              <w:rPr>
                <w:sz w:val="21"/>
                <w:szCs w:val="21"/>
              </w:rPr>
              <w:t>通过15米高排气筒</w:t>
            </w:r>
            <w:r>
              <w:rPr>
                <w:rFonts w:hint="eastAsia"/>
                <w:sz w:val="21"/>
                <w:szCs w:val="21"/>
              </w:rPr>
              <w:t>排放</w:t>
            </w:r>
            <w:r>
              <w:rPr>
                <w:sz w:val="21"/>
                <w:szCs w:val="21"/>
              </w:rPr>
              <w:t>（DA00</w:t>
            </w:r>
            <w:r>
              <w:rPr>
                <w:rFonts w:hint="eastAsia"/>
                <w:sz w:val="21"/>
                <w:szCs w:val="21"/>
              </w:rPr>
              <w:t>3</w:t>
            </w:r>
            <w:r>
              <w:rPr>
                <w:sz w:val="21"/>
                <w:szCs w:val="21"/>
              </w:rPr>
              <w:t>）</w:t>
            </w:r>
          </w:p>
        </w:tc>
        <w:tc>
          <w:tcPr>
            <w:tcW w:w="1136" w:type="pct"/>
            <w:vAlign w:val="center"/>
          </w:tcPr>
          <w:p>
            <w:pPr>
              <w:spacing w:line="240" w:lineRule="auto"/>
              <w:ind w:left="0" w:leftChars="0" w:firstLine="0" w:firstLineChars="0"/>
              <w:jc w:val="both"/>
              <w:rPr>
                <w:sz w:val="21"/>
                <w:szCs w:val="21"/>
              </w:rPr>
            </w:pPr>
            <w:r>
              <w:rPr>
                <w:rFonts w:hint="eastAsia"/>
                <w:sz w:val="21"/>
                <w:szCs w:val="21"/>
              </w:rPr>
              <w:t>喷漆室、晾干室全密闭，</w:t>
            </w:r>
            <w:r>
              <w:rPr>
                <w:sz w:val="21"/>
                <w:szCs w:val="21"/>
              </w:rPr>
              <w:t>负压收集并连接管道输送至</w:t>
            </w:r>
            <w:r>
              <w:rPr>
                <w:rFonts w:hint="eastAsia"/>
                <w:sz w:val="21"/>
                <w:szCs w:val="21"/>
              </w:rPr>
              <w:t>1套“</w:t>
            </w:r>
            <w:r>
              <w:rPr>
                <w:sz w:val="21"/>
                <w:szCs w:val="21"/>
              </w:rPr>
              <w:t>干式过滤+活性炭吸附/脱附+催化燃烧</w:t>
            </w:r>
            <w:r>
              <w:rPr>
                <w:rFonts w:hint="eastAsia"/>
                <w:sz w:val="21"/>
                <w:szCs w:val="21"/>
              </w:rPr>
              <w:t>（TA011）”处理，总风量为40000</w:t>
            </w:r>
            <w:r>
              <w:rPr>
                <w:sz w:val="21"/>
                <w:szCs w:val="21"/>
              </w:rPr>
              <w:t>m</w:t>
            </w:r>
            <w:r>
              <w:rPr>
                <w:sz w:val="21"/>
                <w:szCs w:val="21"/>
                <w:vertAlign w:val="superscript"/>
              </w:rPr>
              <w:t>3</w:t>
            </w:r>
            <w:r>
              <w:rPr>
                <w:sz w:val="21"/>
                <w:szCs w:val="21"/>
              </w:rPr>
              <w:t>/h</w:t>
            </w:r>
            <w:r>
              <w:rPr>
                <w:rFonts w:hint="eastAsia"/>
                <w:sz w:val="21"/>
                <w:szCs w:val="21"/>
              </w:rPr>
              <w:t>，处理后</w:t>
            </w:r>
            <w:r>
              <w:rPr>
                <w:sz w:val="21"/>
                <w:szCs w:val="21"/>
              </w:rPr>
              <w:t>通过15米高排气筒</w:t>
            </w:r>
            <w:r>
              <w:rPr>
                <w:rFonts w:hint="eastAsia"/>
                <w:sz w:val="21"/>
                <w:szCs w:val="21"/>
              </w:rPr>
              <w:t>排放</w:t>
            </w:r>
            <w:r>
              <w:rPr>
                <w:sz w:val="21"/>
                <w:szCs w:val="21"/>
              </w:rPr>
              <w:t>（DA00</w:t>
            </w:r>
            <w:r>
              <w:rPr>
                <w:rFonts w:hint="eastAsia"/>
                <w:sz w:val="21"/>
                <w:szCs w:val="21"/>
              </w:rPr>
              <w:t>3</w:t>
            </w:r>
            <w:r>
              <w:rPr>
                <w:sz w:val="21"/>
                <w:szCs w:val="21"/>
              </w:rPr>
              <w:t>）</w:t>
            </w:r>
          </w:p>
        </w:tc>
        <w:tc>
          <w:tcPr>
            <w:tcW w:w="697" w:type="pct"/>
            <w:vAlign w:val="center"/>
          </w:tcPr>
          <w:p>
            <w:pPr>
              <w:spacing w:line="240" w:lineRule="auto"/>
              <w:ind w:left="0" w:leftChars="0" w:firstLine="0" w:firstLineChars="0"/>
              <w:jc w:val="center"/>
              <w:rPr>
                <w:sz w:val="21"/>
                <w:szCs w:val="21"/>
              </w:rPr>
            </w:pPr>
            <w:r>
              <w:rPr>
                <w:rFonts w:hint="eastAsia"/>
                <w:sz w:val="21"/>
                <w:szCs w:val="21"/>
              </w:rPr>
              <w:t>喷漆自动化区（喷漆-流平-烘干一体自动线区）未建设，不在本次竣工环保验收范围内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319" w:type="pct"/>
            <w:vMerge w:val="continue"/>
            <w:vAlign w:val="center"/>
          </w:tcPr>
          <w:p>
            <w:pPr>
              <w:spacing w:line="240" w:lineRule="auto"/>
              <w:ind w:firstLine="480"/>
              <w:jc w:val="center"/>
              <w:rPr>
                <w:sz w:val="21"/>
                <w:szCs w:val="21"/>
              </w:rPr>
            </w:pPr>
          </w:p>
        </w:tc>
        <w:tc>
          <w:tcPr>
            <w:tcW w:w="542" w:type="pct"/>
            <w:vAlign w:val="center"/>
          </w:tcPr>
          <w:p>
            <w:pPr>
              <w:spacing w:line="240" w:lineRule="auto"/>
              <w:ind w:firstLine="0" w:firstLineChars="0"/>
              <w:jc w:val="center"/>
              <w:rPr>
                <w:sz w:val="21"/>
                <w:szCs w:val="21"/>
              </w:rPr>
            </w:pPr>
            <w:r>
              <w:rPr>
                <w:sz w:val="21"/>
                <w:szCs w:val="21"/>
              </w:rPr>
              <w:t>危废</w:t>
            </w:r>
            <w:r>
              <w:rPr>
                <w:rFonts w:hint="eastAsia"/>
                <w:sz w:val="21"/>
                <w:szCs w:val="21"/>
              </w:rPr>
              <w:t>暂存</w:t>
            </w:r>
            <w:r>
              <w:rPr>
                <w:sz w:val="21"/>
                <w:szCs w:val="21"/>
              </w:rPr>
              <w:t>间废气（NMHC）</w:t>
            </w:r>
          </w:p>
        </w:tc>
        <w:tc>
          <w:tcPr>
            <w:tcW w:w="1812" w:type="pct"/>
            <w:vAlign w:val="center"/>
          </w:tcPr>
          <w:p>
            <w:pPr>
              <w:spacing w:line="240" w:lineRule="auto"/>
              <w:ind w:left="0" w:leftChars="0" w:firstLine="0" w:firstLineChars="0"/>
              <w:jc w:val="both"/>
              <w:rPr>
                <w:sz w:val="21"/>
                <w:szCs w:val="21"/>
              </w:rPr>
            </w:pPr>
            <w:r>
              <w:rPr>
                <w:rFonts w:hint="eastAsia"/>
                <w:sz w:val="21"/>
                <w:szCs w:val="21"/>
              </w:rPr>
              <w:t>危废暂存间</w:t>
            </w:r>
            <w:r>
              <w:rPr>
                <w:sz w:val="21"/>
                <w:szCs w:val="21"/>
              </w:rPr>
              <w:t>密闭，负压收集并连接管道</w:t>
            </w:r>
            <w:r>
              <w:rPr>
                <w:rFonts w:hint="eastAsia"/>
                <w:sz w:val="21"/>
                <w:szCs w:val="21"/>
              </w:rPr>
              <w:t>依托“</w:t>
            </w:r>
            <w:r>
              <w:rPr>
                <w:sz w:val="21"/>
                <w:szCs w:val="21"/>
              </w:rPr>
              <w:t>干式过滤+活性炭吸附/脱附+催化燃烧</w:t>
            </w:r>
            <w:r>
              <w:rPr>
                <w:rFonts w:hint="eastAsia"/>
                <w:sz w:val="21"/>
                <w:szCs w:val="21"/>
              </w:rPr>
              <w:t>（TA011）”处理，风量为500</w:t>
            </w:r>
            <w:r>
              <w:rPr>
                <w:sz w:val="21"/>
                <w:szCs w:val="21"/>
              </w:rPr>
              <w:t>m</w:t>
            </w:r>
            <w:r>
              <w:rPr>
                <w:sz w:val="21"/>
                <w:szCs w:val="21"/>
                <w:vertAlign w:val="superscript"/>
              </w:rPr>
              <w:t>3</w:t>
            </w:r>
            <w:r>
              <w:rPr>
                <w:sz w:val="21"/>
                <w:szCs w:val="21"/>
              </w:rPr>
              <w:t>/h</w:t>
            </w:r>
            <w:r>
              <w:rPr>
                <w:rFonts w:hint="eastAsia"/>
                <w:sz w:val="21"/>
                <w:szCs w:val="21"/>
              </w:rPr>
              <w:t>，处理后</w:t>
            </w:r>
            <w:r>
              <w:rPr>
                <w:sz w:val="21"/>
                <w:szCs w:val="21"/>
              </w:rPr>
              <w:t>通过15米高排气筒</w:t>
            </w:r>
            <w:r>
              <w:rPr>
                <w:rFonts w:hint="eastAsia"/>
                <w:sz w:val="21"/>
                <w:szCs w:val="21"/>
              </w:rPr>
              <w:t>排放</w:t>
            </w:r>
            <w:r>
              <w:rPr>
                <w:sz w:val="21"/>
                <w:szCs w:val="21"/>
              </w:rPr>
              <w:t>（DA00</w:t>
            </w:r>
            <w:r>
              <w:rPr>
                <w:rFonts w:hint="eastAsia"/>
                <w:sz w:val="21"/>
                <w:szCs w:val="21"/>
              </w:rPr>
              <w:t>3</w:t>
            </w:r>
            <w:r>
              <w:rPr>
                <w:sz w:val="21"/>
                <w:szCs w:val="21"/>
              </w:rPr>
              <w:t>）</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319" w:type="pct"/>
            <w:vMerge w:val="continue"/>
            <w:vAlign w:val="center"/>
          </w:tcPr>
          <w:p>
            <w:pPr>
              <w:spacing w:line="240" w:lineRule="auto"/>
              <w:ind w:firstLine="480"/>
              <w:jc w:val="center"/>
              <w:rPr>
                <w:sz w:val="21"/>
                <w:szCs w:val="21"/>
              </w:rPr>
            </w:pPr>
          </w:p>
        </w:tc>
        <w:tc>
          <w:tcPr>
            <w:tcW w:w="542" w:type="pct"/>
            <w:vAlign w:val="center"/>
          </w:tcPr>
          <w:p>
            <w:pPr>
              <w:spacing w:line="240" w:lineRule="auto"/>
              <w:ind w:firstLine="0" w:firstLineChars="0"/>
              <w:jc w:val="center"/>
              <w:rPr>
                <w:sz w:val="21"/>
                <w:szCs w:val="21"/>
              </w:rPr>
            </w:pPr>
            <w:r>
              <w:rPr>
                <w:rFonts w:hint="eastAsia"/>
                <w:sz w:val="21"/>
                <w:szCs w:val="21"/>
              </w:rPr>
              <w:t>热风炉废气</w:t>
            </w:r>
          </w:p>
          <w:p>
            <w:pPr>
              <w:spacing w:line="240" w:lineRule="auto"/>
              <w:ind w:firstLine="0" w:firstLineChars="0"/>
              <w:jc w:val="center"/>
              <w:rPr>
                <w:sz w:val="21"/>
                <w:szCs w:val="21"/>
              </w:rPr>
            </w:pPr>
            <w:r>
              <w:rPr>
                <w:rFonts w:hint="eastAsia"/>
                <w:sz w:val="21"/>
                <w:szCs w:val="21"/>
              </w:rPr>
              <w:t>（烟尘、SO</w:t>
            </w:r>
            <w:r>
              <w:rPr>
                <w:rFonts w:hint="eastAsia"/>
                <w:sz w:val="21"/>
                <w:szCs w:val="21"/>
                <w:vertAlign w:val="subscript"/>
              </w:rPr>
              <w:t>2</w:t>
            </w:r>
            <w:r>
              <w:rPr>
                <w:rFonts w:hint="eastAsia"/>
                <w:sz w:val="21"/>
                <w:szCs w:val="21"/>
              </w:rPr>
              <w:t>、NOx）</w:t>
            </w:r>
          </w:p>
        </w:tc>
        <w:tc>
          <w:tcPr>
            <w:tcW w:w="1812" w:type="pct"/>
            <w:vAlign w:val="center"/>
          </w:tcPr>
          <w:p>
            <w:pPr>
              <w:spacing w:line="240" w:lineRule="auto"/>
              <w:ind w:firstLine="480"/>
              <w:jc w:val="center"/>
              <w:rPr>
                <w:sz w:val="21"/>
                <w:szCs w:val="21"/>
              </w:rPr>
            </w:pPr>
            <w:r>
              <w:rPr>
                <w:rFonts w:hint="eastAsia"/>
                <w:sz w:val="21"/>
                <w:szCs w:val="21"/>
              </w:rPr>
              <w:t>经1根15m高排气筒（DA004）</w:t>
            </w:r>
          </w:p>
        </w:tc>
        <w:tc>
          <w:tcPr>
            <w:tcW w:w="1136" w:type="pct"/>
            <w:vAlign w:val="center"/>
          </w:tcPr>
          <w:p>
            <w:pPr>
              <w:spacing w:line="240" w:lineRule="auto"/>
              <w:ind w:firstLine="480"/>
              <w:jc w:val="center"/>
              <w:rPr>
                <w:sz w:val="21"/>
                <w:szCs w:val="21"/>
              </w:rPr>
            </w:pPr>
            <w:r>
              <w:rPr>
                <w:sz w:val="21"/>
                <w:szCs w:val="21"/>
              </w:rPr>
              <w:t>未建设</w:t>
            </w:r>
          </w:p>
        </w:tc>
        <w:tc>
          <w:tcPr>
            <w:tcW w:w="697" w:type="pct"/>
            <w:vAlign w:val="center"/>
          </w:tcPr>
          <w:p>
            <w:pPr>
              <w:spacing w:line="240" w:lineRule="auto"/>
              <w:ind w:left="0" w:leftChars="0" w:firstLine="0" w:firstLineChars="0"/>
              <w:jc w:val="center"/>
              <w:rPr>
                <w:sz w:val="21"/>
                <w:szCs w:val="21"/>
              </w:rPr>
            </w:pPr>
            <w:r>
              <w:rPr>
                <w:sz w:val="21"/>
                <w:szCs w:val="21"/>
              </w:rPr>
              <w:t>不在本次</w:t>
            </w:r>
          </w:p>
          <w:p>
            <w:pPr>
              <w:spacing w:line="240" w:lineRule="auto"/>
              <w:ind w:left="0" w:leftChars="0" w:firstLine="0" w:firstLineChars="0"/>
              <w:jc w:val="center"/>
              <w:rPr>
                <w:sz w:val="21"/>
                <w:szCs w:val="21"/>
              </w:rPr>
            </w:pPr>
            <w:r>
              <w:rPr>
                <w:sz w:val="21"/>
                <w:szCs w:val="21"/>
              </w:rPr>
              <w:t>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319" w:type="pct"/>
            <w:vAlign w:val="center"/>
          </w:tcPr>
          <w:p>
            <w:pPr>
              <w:spacing w:line="240" w:lineRule="auto"/>
              <w:ind w:firstLine="0" w:firstLineChars="0"/>
              <w:jc w:val="center"/>
              <w:rPr>
                <w:sz w:val="21"/>
                <w:szCs w:val="21"/>
              </w:rPr>
            </w:pPr>
            <w:r>
              <w:rPr>
                <w:sz w:val="21"/>
                <w:szCs w:val="21"/>
              </w:rPr>
              <w:t>无组织废气</w:t>
            </w:r>
          </w:p>
        </w:tc>
        <w:tc>
          <w:tcPr>
            <w:tcW w:w="542" w:type="pct"/>
            <w:vAlign w:val="center"/>
          </w:tcPr>
          <w:p>
            <w:pPr>
              <w:spacing w:line="240" w:lineRule="auto"/>
              <w:ind w:firstLine="0" w:firstLineChars="0"/>
              <w:jc w:val="center"/>
              <w:rPr>
                <w:sz w:val="21"/>
                <w:szCs w:val="21"/>
              </w:rPr>
            </w:pPr>
            <w:r>
              <w:rPr>
                <w:sz w:val="21"/>
                <w:szCs w:val="21"/>
              </w:rPr>
              <w:t>下料切割、焊接、抛丸</w:t>
            </w:r>
            <w:r>
              <w:rPr>
                <w:rFonts w:hint="eastAsia"/>
                <w:sz w:val="21"/>
                <w:szCs w:val="21"/>
              </w:rPr>
              <w:t>、喷涂等</w:t>
            </w:r>
            <w:r>
              <w:rPr>
                <w:sz w:val="21"/>
                <w:szCs w:val="21"/>
              </w:rPr>
              <w:t>工序</w:t>
            </w:r>
          </w:p>
        </w:tc>
        <w:tc>
          <w:tcPr>
            <w:tcW w:w="1812" w:type="pct"/>
            <w:vAlign w:val="center"/>
          </w:tcPr>
          <w:p>
            <w:pPr>
              <w:spacing w:line="240" w:lineRule="auto"/>
              <w:ind w:firstLine="480"/>
              <w:jc w:val="center"/>
              <w:rPr>
                <w:sz w:val="21"/>
                <w:szCs w:val="21"/>
              </w:rPr>
            </w:pPr>
            <w:r>
              <w:rPr>
                <w:sz w:val="21"/>
                <w:szCs w:val="21"/>
              </w:rPr>
              <w:t>确保废气有组织收集效率、加强车间机械通风</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185" w:type="pct"/>
            <w:vMerge w:val="continue"/>
            <w:vAlign w:val="center"/>
          </w:tcPr>
          <w:p>
            <w:pPr>
              <w:spacing w:line="240" w:lineRule="auto"/>
              <w:ind w:firstLine="480"/>
              <w:jc w:val="center"/>
              <w:rPr>
                <w:sz w:val="21"/>
                <w:szCs w:val="21"/>
              </w:rPr>
            </w:pPr>
          </w:p>
        </w:tc>
        <w:tc>
          <w:tcPr>
            <w:tcW w:w="305" w:type="pct"/>
            <w:vAlign w:val="center"/>
          </w:tcPr>
          <w:p>
            <w:pPr>
              <w:spacing w:line="240" w:lineRule="auto"/>
              <w:ind w:firstLine="0" w:firstLineChars="0"/>
              <w:jc w:val="center"/>
              <w:rPr>
                <w:sz w:val="21"/>
                <w:szCs w:val="21"/>
              </w:rPr>
            </w:pPr>
            <w:r>
              <w:rPr>
                <w:sz w:val="21"/>
                <w:szCs w:val="21"/>
              </w:rPr>
              <w:t>废水</w:t>
            </w:r>
          </w:p>
          <w:p>
            <w:pPr>
              <w:spacing w:line="240" w:lineRule="auto"/>
              <w:ind w:firstLine="0" w:firstLineChars="0"/>
              <w:jc w:val="center"/>
              <w:rPr>
                <w:sz w:val="21"/>
                <w:szCs w:val="21"/>
              </w:rPr>
            </w:pPr>
            <w:r>
              <w:rPr>
                <w:rFonts w:hint="eastAsia"/>
                <w:sz w:val="21"/>
                <w:szCs w:val="21"/>
              </w:rPr>
              <w:t>治理</w:t>
            </w:r>
          </w:p>
        </w:tc>
        <w:tc>
          <w:tcPr>
            <w:tcW w:w="862" w:type="pct"/>
            <w:gridSpan w:val="2"/>
            <w:vAlign w:val="center"/>
          </w:tcPr>
          <w:p>
            <w:pPr>
              <w:spacing w:line="240" w:lineRule="auto"/>
              <w:ind w:firstLine="480"/>
              <w:jc w:val="center"/>
              <w:rPr>
                <w:sz w:val="21"/>
                <w:szCs w:val="21"/>
              </w:rPr>
            </w:pPr>
            <w:r>
              <w:rPr>
                <w:sz w:val="21"/>
                <w:szCs w:val="21"/>
              </w:rPr>
              <w:t>生活污水</w:t>
            </w:r>
          </w:p>
        </w:tc>
        <w:tc>
          <w:tcPr>
            <w:tcW w:w="1812" w:type="pct"/>
            <w:vAlign w:val="center"/>
          </w:tcPr>
          <w:p>
            <w:pPr>
              <w:spacing w:line="240" w:lineRule="auto"/>
              <w:ind w:left="0" w:leftChars="0" w:firstLine="0" w:firstLineChars="0"/>
              <w:jc w:val="both"/>
              <w:rPr>
                <w:sz w:val="21"/>
                <w:szCs w:val="21"/>
              </w:rPr>
            </w:pPr>
            <w:r>
              <w:rPr>
                <w:sz w:val="21"/>
                <w:szCs w:val="21"/>
              </w:rPr>
              <w:t>经</w:t>
            </w:r>
            <w:r>
              <w:rPr>
                <w:rFonts w:eastAsia="宋体"/>
                <w:sz w:val="21"/>
                <w:szCs w:val="21"/>
              </w:rPr>
              <w:t>安徽正民万基重钢科技有限公司</w:t>
            </w:r>
            <w:r>
              <w:rPr>
                <w:sz w:val="21"/>
                <w:szCs w:val="21"/>
              </w:rPr>
              <w:t>化粪池</w:t>
            </w:r>
            <w:r>
              <w:rPr>
                <w:rFonts w:hint="eastAsia"/>
                <w:sz w:val="21"/>
                <w:szCs w:val="21"/>
              </w:rPr>
              <w:t>（4</w:t>
            </w:r>
            <w:r>
              <w:rPr>
                <w:sz w:val="21"/>
                <w:szCs w:val="21"/>
              </w:rPr>
              <w:t>m</w:t>
            </w:r>
            <w:r>
              <w:rPr>
                <w:sz w:val="21"/>
                <w:szCs w:val="21"/>
                <w:vertAlign w:val="superscript"/>
              </w:rPr>
              <w:t>3</w:t>
            </w:r>
            <w:r>
              <w:rPr>
                <w:sz w:val="21"/>
                <w:szCs w:val="21"/>
              </w:rPr>
              <w:t>/d</w:t>
            </w:r>
            <w:r>
              <w:rPr>
                <w:rFonts w:hint="eastAsia"/>
                <w:sz w:val="21"/>
                <w:szCs w:val="21"/>
              </w:rPr>
              <w:t>）</w:t>
            </w:r>
            <w:r>
              <w:rPr>
                <w:sz w:val="21"/>
                <w:szCs w:val="21"/>
              </w:rPr>
              <w:t>处理后</w:t>
            </w:r>
            <w:r>
              <w:rPr>
                <w:rFonts w:hint="eastAsia"/>
                <w:sz w:val="21"/>
                <w:szCs w:val="21"/>
              </w:rPr>
              <w:t>，满足段园镇污水处理厂（袁庄矿污水处理厂）接管限值，经市政污水管网入段园镇污水处理厂（袁庄矿污水处理厂）</w:t>
            </w:r>
            <w:r>
              <w:rPr>
                <w:sz w:val="21"/>
                <w:szCs w:val="21"/>
              </w:rPr>
              <w:t>进一步处理</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185" w:type="pct"/>
            <w:vMerge w:val="continue"/>
            <w:vAlign w:val="center"/>
          </w:tcPr>
          <w:p>
            <w:pPr>
              <w:spacing w:line="240" w:lineRule="auto"/>
              <w:ind w:firstLine="480"/>
              <w:jc w:val="center"/>
              <w:rPr>
                <w:sz w:val="21"/>
                <w:szCs w:val="21"/>
              </w:rPr>
            </w:pPr>
          </w:p>
        </w:tc>
        <w:tc>
          <w:tcPr>
            <w:tcW w:w="305" w:type="pct"/>
            <w:vAlign w:val="center"/>
          </w:tcPr>
          <w:p>
            <w:pPr>
              <w:spacing w:line="240" w:lineRule="auto"/>
              <w:ind w:firstLine="0" w:firstLineChars="0"/>
              <w:jc w:val="center"/>
              <w:rPr>
                <w:sz w:val="21"/>
                <w:szCs w:val="21"/>
              </w:rPr>
            </w:pPr>
            <w:r>
              <w:rPr>
                <w:sz w:val="21"/>
                <w:szCs w:val="21"/>
              </w:rPr>
              <w:t>噪声</w:t>
            </w:r>
          </w:p>
          <w:p>
            <w:pPr>
              <w:spacing w:line="240" w:lineRule="auto"/>
              <w:ind w:firstLine="0" w:firstLineChars="0"/>
              <w:jc w:val="center"/>
              <w:rPr>
                <w:sz w:val="21"/>
                <w:szCs w:val="21"/>
              </w:rPr>
            </w:pPr>
            <w:r>
              <w:rPr>
                <w:sz w:val="21"/>
                <w:szCs w:val="21"/>
              </w:rPr>
              <w:t>治理</w:t>
            </w:r>
          </w:p>
        </w:tc>
        <w:tc>
          <w:tcPr>
            <w:tcW w:w="862" w:type="pct"/>
            <w:gridSpan w:val="2"/>
            <w:vAlign w:val="center"/>
          </w:tcPr>
          <w:p>
            <w:pPr>
              <w:spacing w:line="240" w:lineRule="auto"/>
              <w:ind w:firstLine="480"/>
              <w:jc w:val="center"/>
              <w:rPr>
                <w:sz w:val="21"/>
                <w:szCs w:val="21"/>
              </w:rPr>
            </w:pPr>
            <w:r>
              <w:rPr>
                <w:sz w:val="21"/>
                <w:szCs w:val="21"/>
              </w:rPr>
              <w:t>噪声治理</w:t>
            </w:r>
          </w:p>
        </w:tc>
        <w:tc>
          <w:tcPr>
            <w:tcW w:w="1812" w:type="pct"/>
            <w:vAlign w:val="center"/>
          </w:tcPr>
          <w:p>
            <w:pPr>
              <w:spacing w:line="240" w:lineRule="auto"/>
              <w:ind w:firstLine="480"/>
              <w:jc w:val="center"/>
              <w:rPr>
                <w:snapToGrid w:val="0"/>
                <w:sz w:val="21"/>
                <w:szCs w:val="21"/>
              </w:rPr>
            </w:pPr>
            <w:r>
              <w:rPr>
                <w:snapToGrid w:val="0"/>
                <w:sz w:val="21"/>
                <w:szCs w:val="21"/>
              </w:rPr>
              <w:t>采用车间隔声、吸声、减振基座等措施</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85" w:type="pct"/>
            <w:vMerge w:val="continue"/>
            <w:vAlign w:val="center"/>
          </w:tcPr>
          <w:p>
            <w:pPr>
              <w:spacing w:line="240" w:lineRule="auto"/>
              <w:ind w:firstLine="480"/>
              <w:jc w:val="center"/>
              <w:rPr>
                <w:sz w:val="21"/>
                <w:szCs w:val="21"/>
              </w:rPr>
            </w:pPr>
          </w:p>
        </w:tc>
        <w:tc>
          <w:tcPr>
            <w:tcW w:w="305" w:type="pct"/>
            <w:vMerge w:val="restart"/>
            <w:vAlign w:val="center"/>
          </w:tcPr>
          <w:p>
            <w:pPr>
              <w:spacing w:line="240" w:lineRule="auto"/>
              <w:ind w:firstLine="0" w:firstLineChars="0"/>
              <w:jc w:val="center"/>
              <w:rPr>
                <w:sz w:val="21"/>
                <w:szCs w:val="21"/>
              </w:rPr>
            </w:pPr>
            <w:r>
              <w:rPr>
                <w:sz w:val="21"/>
                <w:szCs w:val="21"/>
              </w:rPr>
              <w:t>固废</w:t>
            </w:r>
          </w:p>
          <w:p>
            <w:pPr>
              <w:spacing w:line="240" w:lineRule="auto"/>
              <w:ind w:firstLine="0" w:firstLineChars="0"/>
              <w:jc w:val="center"/>
              <w:rPr>
                <w:sz w:val="21"/>
                <w:szCs w:val="21"/>
              </w:rPr>
            </w:pPr>
            <w:r>
              <w:rPr>
                <w:rFonts w:hint="eastAsia"/>
                <w:sz w:val="21"/>
                <w:szCs w:val="21"/>
              </w:rPr>
              <w:t>治理</w:t>
            </w:r>
          </w:p>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一般固废存放区</w:t>
            </w:r>
          </w:p>
        </w:tc>
        <w:tc>
          <w:tcPr>
            <w:tcW w:w="1812" w:type="pct"/>
            <w:vAlign w:val="center"/>
          </w:tcPr>
          <w:p>
            <w:pPr>
              <w:spacing w:line="240" w:lineRule="auto"/>
              <w:ind w:left="0" w:leftChars="0" w:firstLine="0" w:firstLineChars="0"/>
              <w:jc w:val="both"/>
              <w:rPr>
                <w:sz w:val="21"/>
                <w:szCs w:val="21"/>
              </w:rPr>
            </w:pPr>
            <w:r>
              <w:rPr>
                <w:sz w:val="21"/>
                <w:szCs w:val="21"/>
              </w:rPr>
              <w:t>位于厂房外南侧，</w:t>
            </w:r>
            <w:r>
              <w:rPr>
                <w:rFonts w:hint="eastAsia"/>
                <w:sz w:val="21"/>
                <w:szCs w:val="21"/>
              </w:rPr>
              <w:t>面积约20</w:t>
            </w:r>
            <w:r>
              <w:rPr>
                <w:sz w:val="21"/>
                <w:szCs w:val="21"/>
              </w:rPr>
              <w:t>m</w:t>
            </w:r>
            <w:r>
              <w:rPr>
                <w:sz w:val="21"/>
                <w:szCs w:val="21"/>
                <w:vertAlign w:val="superscript"/>
              </w:rPr>
              <w:t>2</w:t>
            </w:r>
            <w:r>
              <w:rPr>
                <w:rFonts w:hint="eastAsia"/>
                <w:sz w:val="21"/>
                <w:szCs w:val="21"/>
              </w:rPr>
              <w:t>，</w:t>
            </w:r>
            <w:r>
              <w:rPr>
                <w:sz w:val="21"/>
                <w:szCs w:val="21"/>
              </w:rPr>
              <w:t>固废临时存放场所，一般固废堆场地面铺水泥硬化防渗，单元防渗层渗透系数≤10</w:t>
            </w:r>
            <w:r>
              <w:rPr>
                <w:sz w:val="21"/>
                <w:szCs w:val="21"/>
                <w:vertAlign w:val="superscript"/>
              </w:rPr>
              <w:t>-7</w:t>
            </w:r>
            <w:r>
              <w:rPr>
                <w:sz w:val="21"/>
                <w:szCs w:val="21"/>
              </w:rPr>
              <w:t>cm/s</w:t>
            </w:r>
            <w:r>
              <w:rPr>
                <w:rFonts w:hint="eastAsia"/>
                <w:sz w:val="21"/>
                <w:szCs w:val="21"/>
              </w:rPr>
              <w:t>；</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85" w:type="pct"/>
            <w:vMerge w:val="continue"/>
            <w:vAlign w:val="center"/>
          </w:tcPr>
          <w:p>
            <w:pPr>
              <w:spacing w:line="240" w:lineRule="auto"/>
              <w:ind w:firstLine="480"/>
              <w:jc w:val="center"/>
              <w:rPr>
                <w:sz w:val="21"/>
                <w:szCs w:val="21"/>
              </w:rPr>
            </w:pPr>
          </w:p>
        </w:tc>
        <w:tc>
          <w:tcPr>
            <w:tcW w:w="305" w:type="pct"/>
            <w:vMerge w:val="continue"/>
            <w:vAlign w:val="center"/>
          </w:tcPr>
          <w:p>
            <w:pPr>
              <w:spacing w:line="240" w:lineRule="auto"/>
              <w:ind w:firstLine="480"/>
              <w:jc w:val="center"/>
              <w:rPr>
                <w:sz w:val="21"/>
                <w:szCs w:val="21"/>
              </w:rPr>
            </w:pPr>
          </w:p>
        </w:tc>
        <w:tc>
          <w:tcPr>
            <w:tcW w:w="862" w:type="pct"/>
            <w:gridSpan w:val="2"/>
            <w:vAlign w:val="center"/>
          </w:tcPr>
          <w:p>
            <w:pPr>
              <w:spacing w:line="240" w:lineRule="auto"/>
              <w:ind w:firstLine="480"/>
              <w:jc w:val="center"/>
              <w:rPr>
                <w:sz w:val="21"/>
                <w:szCs w:val="21"/>
              </w:rPr>
            </w:pPr>
            <w:r>
              <w:rPr>
                <w:sz w:val="21"/>
                <w:szCs w:val="21"/>
              </w:rPr>
              <w:t>危废暂存</w:t>
            </w:r>
            <w:r>
              <w:rPr>
                <w:rFonts w:hint="eastAsia"/>
                <w:sz w:val="21"/>
                <w:szCs w:val="21"/>
              </w:rPr>
              <w:t>间</w:t>
            </w:r>
          </w:p>
        </w:tc>
        <w:tc>
          <w:tcPr>
            <w:tcW w:w="1812" w:type="pct"/>
            <w:vAlign w:val="center"/>
          </w:tcPr>
          <w:p>
            <w:pPr>
              <w:spacing w:line="240" w:lineRule="auto"/>
              <w:ind w:firstLine="0" w:firstLineChars="0"/>
              <w:jc w:val="both"/>
              <w:rPr>
                <w:sz w:val="21"/>
                <w:szCs w:val="21"/>
              </w:rPr>
            </w:pPr>
            <w:r>
              <w:rPr>
                <w:sz w:val="21"/>
                <w:szCs w:val="21"/>
              </w:rPr>
              <w:t>位于厂房外</w:t>
            </w:r>
            <w:r>
              <w:rPr>
                <w:rFonts w:hint="eastAsia"/>
                <w:sz w:val="21"/>
                <w:szCs w:val="21"/>
              </w:rPr>
              <w:t>东</w:t>
            </w:r>
            <w:r>
              <w:rPr>
                <w:sz w:val="21"/>
                <w:szCs w:val="21"/>
              </w:rPr>
              <w:t>南侧</w:t>
            </w:r>
            <w:r>
              <w:rPr>
                <w:rFonts w:hint="eastAsia"/>
                <w:sz w:val="21"/>
                <w:szCs w:val="21"/>
              </w:rPr>
              <w:t>，面积约20</w:t>
            </w:r>
            <w:r>
              <w:rPr>
                <w:sz w:val="21"/>
                <w:szCs w:val="21"/>
              </w:rPr>
              <w:t>m</w:t>
            </w:r>
            <w:r>
              <w:rPr>
                <w:sz w:val="21"/>
                <w:szCs w:val="21"/>
                <w:vertAlign w:val="superscript"/>
              </w:rPr>
              <w:t>2</w:t>
            </w:r>
            <w:r>
              <w:rPr>
                <w:sz w:val="21"/>
                <w:szCs w:val="21"/>
              </w:rPr>
              <w:t>；危废暂存</w:t>
            </w:r>
            <w:r>
              <w:rPr>
                <w:rFonts w:hint="eastAsia"/>
                <w:sz w:val="21"/>
                <w:szCs w:val="21"/>
              </w:rPr>
              <w:t>间、油漆库</w:t>
            </w:r>
            <w:r>
              <w:rPr>
                <w:sz w:val="21"/>
                <w:szCs w:val="21"/>
              </w:rPr>
              <w:t>有防渗漏、防盗、防风、防雨淋等措施；危废</w:t>
            </w:r>
            <w:r>
              <w:rPr>
                <w:rFonts w:hint="eastAsia"/>
                <w:sz w:val="21"/>
                <w:szCs w:val="21"/>
              </w:rPr>
              <w:t>暂存间、油漆库</w:t>
            </w:r>
            <w:r>
              <w:rPr>
                <w:sz w:val="21"/>
                <w:szCs w:val="21"/>
              </w:rPr>
              <w:t>地面及墙裙采用防渗防腐涂料</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5" w:type="pct"/>
            <w:vMerge w:val="continue"/>
            <w:vAlign w:val="center"/>
          </w:tcPr>
          <w:p>
            <w:pPr>
              <w:spacing w:line="240" w:lineRule="auto"/>
              <w:ind w:firstLine="480"/>
              <w:jc w:val="center"/>
              <w:rPr>
                <w:sz w:val="21"/>
                <w:szCs w:val="21"/>
              </w:rPr>
            </w:pPr>
          </w:p>
        </w:tc>
        <w:tc>
          <w:tcPr>
            <w:tcW w:w="305" w:type="pct"/>
            <w:vAlign w:val="center"/>
          </w:tcPr>
          <w:p>
            <w:pPr>
              <w:spacing w:line="240" w:lineRule="auto"/>
              <w:ind w:firstLine="0" w:firstLineChars="0"/>
              <w:jc w:val="center"/>
              <w:rPr>
                <w:sz w:val="21"/>
                <w:szCs w:val="21"/>
              </w:rPr>
            </w:pPr>
            <w:r>
              <w:rPr>
                <w:sz w:val="21"/>
                <w:szCs w:val="21"/>
              </w:rPr>
              <w:t>地下水和土壤</w:t>
            </w:r>
          </w:p>
        </w:tc>
        <w:tc>
          <w:tcPr>
            <w:tcW w:w="2674" w:type="pct"/>
            <w:gridSpan w:val="3"/>
            <w:vAlign w:val="center"/>
          </w:tcPr>
          <w:p>
            <w:pPr>
              <w:spacing w:line="240" w:lineRule="auto"/>
              <w:ind w:left="0" w:leftChars="0" w:firstLine="0" w:firstLineChars="0"/>
              <w:jc w:val="both"/>
              <w:rPr>
                <w:snapToGrid w:val="0"/>
                <w:sz w:val="21"/>
                <w:szCs w:val="21"/>
              </w:rPr>
            </w:pPr>
            <w:r>
              <w:rPr>
                <w:snapToGrid w:val="0"/>
                <w:sz w:val="21"/>
                <w:szCs w:val="21"/>
              </w:rPr>
              <w:t>源头控制、分区防治、污染监控、应急响应；对</w:t>
            </w:r>
            <w:r>
              <w:rPr>
                <w:rFonts w:hint="eastAsia"/>
                <w:snapToGrid w:val="0"/>
                <w:sz w:val="21"/>
                <w:szCs w:val="21"/>
              </w:rPr>
              <w:t>喷漆封闭区域、</w:t>
            </w:r>
            <w:r>
              <w:rPr>
                <w:snapToGrid w:val="0"/>
                <w:sz w:val="21"/>
                <w:szCs w:val="21"/>
              </w:rPr>
              <w:t>油漆库、危废暂存间等区域进行重点防渗</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jc w:val="center"/>
        </w:trPr>
        <w:tc>
          <w:tcPr>
            <w:tcW w:w="185" w:type="pct"/>
            <w:vMerge w:val="continue"/>
            <w:vAlign w:val="center"/>
          </w:tcPr>
          <w:p>
            <w:pPr>
              <w:spacing w:line="240" w:lineRule="auto"/>
              <w:ind w:firstLine="480"/>
              <w:jc w:val="center"/>
              <w:rPr>
                <w:sz w:val="21"/>
                <w:szCs w:val="21"/>
              </w:rPr>
            </w:pPr>
          </w:p>
        </w:tc>
        <w:tc>
          <w:tcPr>
            <w:tcW w:w="1167" w:type="pct"/>
            <w:gridSpan w:val="3"/>
            <w:vAlign w:val="center"/>
          </w:tcPr>
          <w:p>
            <w:pPr>
              <w:spacing w:line="240" w:lineRule="auto"/>
              <w:ind w:firstLine="480"/>
              <w:jc w:val="center"/>
              <w:rPr>
                <w:sz w:val="21"/>
                <w:szCs w:val="21"/>
              </w:rPr>
            </w:pPr>
            <w:r>
              <w:rPr>
                <w:sz w:val="21"/>
                <w:szCs w:val="21"/>
              </w:rPr>
              <w:t>环境风险</w:t>
            </w:r>
          </w:p>
        </w:tc>
        <w:tc>
          <w:tcPr>
            <w:tcW w:w="1812" w:type="pct"/>
            <w:vAlign w:val="center"/>
          </w:tcPr>
          <w:p>
            <w:pPr>
              <w:spacing w:line="240" w:lineRule="auto"/>
              <w:ind w:left="0" w:leftChars="0" w:firstLine="0" w:firstLineChars="0"/>
              <w:jc w:val="center"/>
              <w:rPr>
                <w:snapToGrid w:val="0"/>
                <w:sz w:val="21"/>
                <w:szCs w:val="21"/>
              </w:rPr>
            </w:pPr>
            <w:r>
              <w:rPr>
                <w:snapToGrid w:val="0"/>
                <w:sz w:val="21"/>
                <w:szCs w:val="21"/>
              </w:rPr>
              <w:t>雨污水排放口设置切断阀，编制突发环境应急预案；</w:t>
            </w:r>
            <w:r>
              <w:rPr>
                <w:rFonts w:hint="eastAsia"/>
                <w:snapToGrid w:val="0"/>
                <w:sz w:val="21"/>
                <w:szCs w:val="21"/>
              </w:rPr>
              <w:t>依托安徽正民重工科技有限公司事故池（容积250</w:t>
            </w:r>
            <w:r>
              <w:rPr>
                <w:snapToGrid w:val="0"/>
                <w:sz w:val="21"/>
                <w:szCs w:val="21"/>
              </w:rPr>
              <w:t>m³</w:t>
            </w:r>
            <w:r>
              <w:rPr>
                <w:rFonts w:hint="eastAsia"/>
                <w:snapToGrid w:val="0"/>
                <w:sz w:val="21"/>
                <w:szCs w:val="21"/>
              </w:rPr>
              <w:t>）</w:t>
            </w:r>
          </w:p>
        </w:tc>
        <w:tc>
          <w:tcPr>
            <w:tcW w:w="1136" w:type="pct"/>
            <w:vAlign w:val="center"/>
          </w:tcPr>
          <w:p>
            <w:pPr>
              <w:spacing w:line="240" w:lineRule="auto"/>
              <w:ind w:firstLine="480"/>
              <w:jc w:val="center"/>
              <w:rPr>
                <w:sz w:val="21"/>
                <w:szCs w:val="21"/>
              </w:rPr>
            </w:pPr>
            <w:r>
              <w:rPr>
                <w:rFonts w:hint="eastAsia"/>
                <w:color w:val="auto"/>
                <w:kern w:val="2"/>
                <w:sz w:val="21"/>
                <w:szCs w:val="21"/>
                <w:lang w:val="en-US" w:eastAsia="zh-CN"/>
              </w:rPr>
              <w:t>阶段性竣工环保验收部分与环评报告一致</w:t>
            </w:r>
          </w:p>
        </w:tc>
        <w:tc>
          <w:tcPr>
            <w:tcW w:w="697" w:type="pct"/>
            <w:vAlign w:val="center"/>
          </w:tcPr>
          <w:p>
            <w:pPr>
              <w:spacing w:line="240" w:lineRule="auto"/>
              <w:ind w:firstLine="480"/>
              <w:jc w:val="center"/>
              <w:rPr>
                <w:sz w:val="21"/>
                <w:szCs w:val="21"/>
              </w:rPr>
            </w:pPr>
            <w:r>
              <w:rPr>
                <w:rFonts w:hint="eastAsia"/>
                <w:sz w:val="21"/>
                <w:szCs w:val="21"/>
              </w:rPr>
              <w:t>/</w:t>
            </w:r>
          </w:p>
        </w:tc>
      </w:tr>
    </w:tbl>
    <w:p>
      <w:r>
        <w:t>根据已批复环评报告及现场勘查结果，项目</w:t>
      </w:r>
      <w:r>
        <w:rPr>
          <w:rFonts w:hint="eastAsia"/>
        </w:rPr>
        <w:t>喷漆自动化区（喷漆-流平-烘干一体自动线区）未建设，</w:t>
      </w:r>
      <w:r>
        <w:rPr>
          <w:rFonts w:hint="eastAsia"/>
          <w:lang w:val="en-US" w:eastAsia="zh-CN"/>
        </w:rPr>
        <w:t>不在本次验收范围内，</w:t>
      </w:r>
      <w:r>
        <w:rPr>
          <w:rFonts w:hint="eastAsia"/>
        </w:rPr>
        <w:t>其他</w:t>
      </w:r>
      <w:r>
        <w:t>建设</w:t>
      </w:r>
      <w:r>
        <w:rPr>
          <w:rFonts w:hint="eastAsia"/>
        </w:rPr>
        <w:t>内容</w:t>
      </w:r>
      <w:r>
        <w:t>与环评阶段</w:t>
      </w:r>
      <w:r>
        <w:rPr>
          <w:rFonts w:hint="eastAsia"/>
        </w:rPr>
        <w:t>建设内容</w:t>
      </w:r>
      <w:r>
        <w:t>一致，未发生变更。</w:t>
      </w:r>
    </w:p>
    <w:p>
      <w:pPr>
        <w:pStyle w:val="67"/>
        <w:ind w:firstLine="482"/>
      </w:pPr>
      <w:r>
        <w:rPr>
          <w:rFonts w:hint="eastAsia"/>
        </w:rPr>
        <w:t>3.2.3产品方案</w:t>
      </w:r>
    </w:p>
    <w:p>
      <w:pPr>
        <w:ind w:firstLine="480"/>
      </w:pPr>
      <w:r>
        <w:t>建设项目产品方案及生产规模</w:t>
      </w:r>
      <w:r>
        <w:rPr>
          <w:rFonts w:hint="eastAsia"/>
        </w:rPr>
        <w:t>具体</w:t>
      </w:r>
      <w:r>
        <w:t>见表</w:t>
      </w:r>
      <w:r>
        <w:rPr>
          <w:rFonts w:hint="eastAsia"/>
        </w:rPr>
        <w:t>3.2-2、3.2-3</w:t>
      </w:r>
      <w:r>
        <w:t>。</w:t>
      </w:r>
    </w:p>
    <w:p>
      <w:pPr>
        <w:ind w:firstLine="6023" w:firstLineChars="2500"/>
        <w:rPr>
          <w:b/>
          <w:bCs/>
        </w:rPr>
      </w:pPr>
      <w:r>
        <w:rPr>
          <w:b/>
          <w:bCs/>
        </w:rPr>
        <w:t>表3.2-</w:t>
      </w:r>
      <w:r>
        <w:rPr>
          <w:rFonts w:hint="eastAsia"/>
          <w:b/>
          <w:bCs/>
        </w:rPr>
        <w:t>2</w:t>
      </w:r>
      <w:r>
        <w:rPr>
          <w:b/>
          <w:bCs/>
        </w:rPr>
        <w:t xml:space="preserve">  项目产品方案一览表</w:t>
      </w:r>
    </w:p>
    <w:tbl>
      <w:tblPr>
        <w:tblStyle w:val="43"/>
        <w:tblW w:w="5000"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97"/>
        <w:gridCol w:w="1603"/>
        <w:gridCol w:w="2868"/>
        <w:gridCol w:w="757"/>
        <w:gridCol w:w="2090"/>
        <w:gridCol w:w="2045"/>
        <w:gridCol w:w="507"/>
        <w:gridCol w:w="1556"/>
        <w:gridCol w:w="194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4" w:hRule="atLeast"/>
        </w:trPr>
        <w:tc>
          <w:tcPr>
            <w:tcW w:w="164" w:type="pct"/>
            <w:vMerge w:val="restart"/>
            <w:vAlign w:val="center"/>
          </w:tcPr>
          <w:p>
            <w:pPr>
              <w:ind w:left="0" w:leftChars="0" w:firstLine="0" w:firstLineChars="0"/>
              <w:rPr>
                <w:sz w:val="21"/>
                <w:szCs w:val="21"/>
              </w:rPr>
            </w:pPr>
            <w:r>
              <w:rPr>
                <w:sz w:val="21"/>
                <w:szCs w:val="21"/>
              </w:rPr>
              <w:t>序号</w:t>
            </w:r>
          </w:p>
        </w:tc>
        <w:tc>
          <w:tcPr>
            <w:tcW w:w="582" w:type="pct"/>
            <w:vMerge w:val="restart"/>
            <w:vAlign w:val="center"/>
          </w:tcPr>
          <w:p>
            <w:pPr>
              <w:rPr>
                <w:sz w:val="21"/>
                <w:szCs w:val="21"/>
              </w:rPr>
            </w:pPr>
            <w:r>
              <w:rPr>
                <w:sz w:val="21"/>
                <w:szCs w:val="21"/>
              </w:rPr>
              <w:t>产品名称</w:t>
            </w:r>
          </w:p>
        </w:tc>
        <w:tc>
          <w:tcPr>
            <w:tcW w:w="1035" w:type="pct"/>
            <w:vMerge w:val="restart"/>
            <w:vAlign w:val="center"/>
          </w:tcPr>
          <w:p>
            <w:pPr>
              <w:rPr>
                <w:sz w:val="21"/>
                <w:szCs w:val="21"/>
              </w:rPr>
            </w:pPr>
            <w:r>
              <w:rPr>
                <w:rFonts w:hint="eastAsia"/>
                <w:sz w:val="21"/>
                <w:szCs w:val="21"/>
              </w:rPr>
              <w:t>产品尺寸</w:t>
            </w:r>
          </w:p>
        </w:tc>
        <w:tc>
          <w:tcPr>
            <w:tcW w:w="1775" w:type="pct"/>
            <w:gridSpan w:val="3"/>
            <w:vAlign w:val="center"/>
          </w:tcPr>
          <w:p>
            <w:pPr>
              <w:rPr>
                <w:sz w:val="21"/>
                <w:szCs w:val="21"/>
              </w:rPr>
            </w:pPr>
            <w:r>
              <w:rPr>
                <w:rFonts w:hint="eastAsia"/>
                <w:sz w:val="21"/>
                <w:szCs w:val="21"/>
              </w:rPr>
              <w:t>环评</w:t>
            </w:r>
            <w:r>
              <w:rPr>
                <w:sz w:val="21"/>
                <w:szCs w:val="21"/>
              </w:rPr>
              <w:t>报告</w:t>
            </w:r>
          </w:p>
        </w:tc>
        <w:tc>
          <w:tcPr>
            <w:tcW w:w="1444" w:type="pct"/>
            <w:gridSpan w:val="3"/>
            <w:vAlign w:val="center"/>
          </w:tcPr>
          <w:p>
            <w:pPr>
              <w:rPr>
                <w:sz w:val="21"/>
                <w:szCs w:val="21"/>
              </w:rPr>
            </w:pPr>
            <w:r>
              <w:rPr>
                <w:sz w:val="21"/>
                <w:szCs w:val="21"/>
              </w:rPr>
              <w:t>实际建设</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4" w:hRule="atLeast"/>
        </w:trPr>
        <w:tc>
          <w:tcPr>
            <w:tcW w:w="164" w:type="pct"/>
            <w:vMerge w:val="continue"/>
            <w:vAlign w:val="center"/>
          </w:tcPr>
          <w:p>
            <w:pPr>
              <w:rPr>
                <w:sz w:val="21"/>
                <w:szCs w:val="21"/>
              </w:rPr>
            </w:pPr>
          </w:p>
        </w:tc>
        <w:tc>
          <w:tcPr>
            <w:tcW w:w="582" w:type="pct"/>
            <w:vMerge w:val="continue"/>
            <w:vAlign w:val="center"/>
          </w:tcPr>
          <w:p>
            <w:pPr>
              <w:rPr>
                <w:sz w:val="21"/>
                <w:szCs w:val="21"/>
              </w:rPr>
            </w:pPr>
          </w:p>
        </w:tc>
        <w:tc>
          <w:tcPr>
            <w:tcW w:w="1035" w:type="pct"/>
            <w:vMerge w:val="continue"/>
            <w:vAlign w:val="center"/>
          </w:tcPr>
          <w:p>
            <w:pPr>
              <w:rPr>
                <w:sz w:val="21"/>
                <w:szCs w:val="21"/>
              </w:rPr>
            </w:pPr>
          </w:p>
        </w:tc>
        <w:tc>
          <w:tcPr>
            <w:tcW w:w="1035" w:type="pct"/>
            <w:gridSpan w:val="2"/>
            <w:vAlign w:val="center"/>
          </w:tcPr>
          <w:p>
            <w:pPr>
              <w:rPr>
                <w:sz w:val="21"/>
                <w:szCs w:val="21"/>
              </w:rPr>
            </w:pPr>
            <w:r>
              <w:rPr>
                <w:rFonts w:hint="eastAsia"/>
                <w:sz w:val="21"/>
                <w:szCs w:val="21"/>
              </w:rPr>
              <w:t>年产能</w:t>
            </w:r>
          </w:p>
        </w:tc>
        <w:tc>
          <w:tcPr>
            <w:tcW w:w="740" w:type="pct"/>
          </w:tcPr>
          <w:p>
            <w:pPr>
              <w:rPr>
                <w:sz w:val="21"/>
                <w:szCs w:val="21"/>
              </w:rPr>
            </w:pPr>
            <w:r>
              <w:rPr>
                <w:sz w:val="21"/>
                <w:szCs w:val="21"/>
              </w:rPr>
              <w:t>运行时数</w:t>
            </w:r>
          </w:p>
        </w:tc>
        <w:tc>
          <w:tcPr>
            <w:tcW w:w="740" w:type="pct"/>
            <w:gridSpan w:val="2"/>
            <w:vAlign w:val="center"/>
          </w:tcPr>
          <w:p>
            <w:pPr>
              <w:rPr>
                <w:sz w:val="21"/>
                <w:szCs w:val="21"/>
              </w:rPr>
            </w:pPr>
            <w:r>
              <w:rPr>
                <w:sz w:val="21"/>
                <w:szCs w:val="21"/>
              </w:rPr>
              <w:t>实际年产能</w:t>
            </w:r>
          </w:p>
        </w:tc>
        <w:tc>
          <w:tcPr>
            <w:tcW w:w="704" w:type="pct"/>
            <w:vAlign w:val="center"/>
          </w:tcPr>
          <w:p>
            <w:pPr>
              <w:rPr>
                <w:sz w:val="21"/>
                <w:szCs w:val="21"/>
              </w:rPr>
            </w:pPr>
            <w:r>
              <w:rPr>
                <w:sz w:val="21"/>
                <w:szCs w:val="21"/>
              </w:rPr>
              <w:t>运行时数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164" w:type="pct"/>
            <w:vAlign w:val="center"/>
          </w:tcPr>
          <w:p>
            <w:pPr>
              <w:rPr>
                <w:sz w:val="21"/>
                <w:szCs w:val="21"/>
              </w:rPr>
            </w:pPr>
            <w:r>
              <w:rPr>
                <w:sz w:val="21"/>
                <w:szCs w:val="21"/>
              </w:rPr>
              <w:t>1</w:t>
            </w:r>
          </w:p>
        </w:tc>
        <w:tc>
          <w:tcPr>
            <w:tcW w:w="582" w:type="pct"/>
            <w:vAlign w:val="center"/>
          </w:tcPr>
          <w:p>
            <w:pPr>
              <w:rPr>
                <w:sz w:val="21"/>
                <w:szCs w:val="21"/>
              </w:rPr>
            </w:pPr>
            <w:r>
              <w:rPr>
                <w:rFonts w:hint="eastAsia"/>
                <w:sz w:val="21"/>
                <w:szCs w:val="21"/>
              </w:rPr>
              <w:t>机械加工件*</w:t>
            </w:r>
          </w:p>
        </w:tc>
        <w:tc>
          <w:tcPr>
            <w:tcW w:w="1035" w:type="pct"/>
            <w:vAlign w:val="center"/>
          </w:tcPr>
          <w:p>
            <w:pPr>
              <w:rPr>
                <w:sz w:val="21"/>
                <w:szCs w:val="21"/>
              </w:rPr>
            </w:pPr>
            <w:r>
              <w:rPr>
                <w:rFonts w:hint="eastAsia"/>
                <w:sz w:val="21"/>
                <w:szCs w:val="21"/>
              </w:rPr>
              <w:t>1.5m*2m</w:t>
            </w:r>
          </w:p>
        </w:tc>
        <w:tc>
          <w:tcPr>
            <w:tcW w:w="1035" w:type="pct"/>
            <w:gridSpan w:val="2"/>
            <w:vAlign w:val="center"/>
          </w:tcPr>
          <w:p>
            <w:pPr>
              <w:rPr>
                <w:sz w:val="21"/>
                <w:szCs w:val="21"/>
              </w:rPr>
            </w:pPr>
            <w:r>
              <w:rPr>
                <w:rFonts w:hint="eastAsia"/>
                <w:sz w:val="21"/>
                <w:szCs w:val="21"/>
              </w:rPr>
              <w:t>2000t</w:t>
            </w:r>
          </w:p>
        </w:tc>
        <w:tc>
          <w:tcPr>
            <w:tcW w:w="740" w:type="pct"/>
          </w:tcPr>
          <w:p>
            <w:pPr>
              <w:ind w:left="0" w:leftChars="0" w:firstLine="0" w:firstLineChars="0"/>
              <w:rPr>
                <w:sz w:val="21"/>
                <w:szCs w:val="21"/>
              </w:rPr>
            </w:pPr>
            <w:r>
              <w:rPr>
                <w:rFonts w:hint="eastAsia"/>
                <w:sz w:val="21"/>
                <w:szCs w:val="21"/>
              </w:rPr>
              <w:t>下料</w:t>
            </w:r>
            <w:r>
              <w:rPr>
                <w:sz w:val="21"/>
                <w:szCs w:val="21"/>
              </w:rPr>
              <w:t>、焊接</w:t>
            </w:r>
            <w:r>
              <w:rPr>
                <w:rFonts w:hint="eastAsia"/>
                <w:sz w:val="21"/>
                <w:szCs w:val="21"/>
              </w:rPr>
              <w:t>、抛丸、年工作时间3000h</w:t>
            </w:r>
          </w:p>
        </w:tc>
        <w:tc>
          <w:tcPr>
            <w:tcW w:w="740" w:type="pct"/>
            <w:gridSpan w:val="2"/>
            <w:vAlign w:val="center"/>
          </w:tcPr>
          <w:p>
            <w:pPr>
              <w:rPr>
                <w:sz w:val="21"/>
                <w:szCs w:val="21"/>
              </w:rPr>
            </w:pPr>
            <w:r>
              <w:rPr>
                <w:rFonts w:hint="eastAsia"/>
                <w:sz w:val="21"/>
                <w:szCs w:val="21"/>
              </w:rPr>
              <w:t>2000t</w:t>
            </w:r>
          </w:p>
        </w:tc>
        <w:tc>
          <w:tcPr>
            <w:tcW w:w="704" w:type="pct"/>
            <w:vAlign w:val="center"/>
          </w:tcPr>
          <w:p>
            <w:pPr>
              <w:ind w:left="0" w:leftChars="0" w:firstLine="0" w:firstLineChars="0"/>
              <w:rPr>
                <w:sz w:val="21"/>
                <w:szCs w:val="21"/>
              </w:rPr>
            </w:pPr>
            <w:r>
              <w:rPr>
                <w:rFonts w:hint="eastAsia"/>
                <w:sz w:val="21"/>
                <w:szCs w:val="21"/>
              </w:rPr>
              <w:t>下料</w:t>
            </w:r>
            <w:r>
              <w:rPr>
                <w:sz w:val="21"/>
                <w:szCs w:val="21"/>
              </w:rPr>
              <w:t>、焊接</w:t>
            </w:r>
            <w:r>
              <w:rPr>
                <w:rFonts w:hint="eastAsia"/>
                <w:sz w:val="21"/>
                <w:szCs w:val="21"/>
              </w:rPr>
              <w:t>、抛丸、年工作时间3000h</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trPr>
        <w:tc>
          <w:tcPr>
            <w:tcW w:w="164" w:type="pct"/>
            <w:vMerge w:val="restart"/>
            <w:vAlign w:val="center"/>
          </w:tcPr>
          <w:p>
            <w:pPr>
              <w:rPr>
                <w:sz w:val="21"/>
                <w:szCs w:val="21"/>
              </w:rPr>
            </w:pPr>
            <w:r>
              <w:rPr>
                <w:sz w:val="21"/>
                <w:szCs w:val="21"/>
              </w:rPr>
              <w:t>2</w:t>
            </w:r>
          </w:p>
        </w:tc>
        <w:tc>
          <w:tcPr>
            <w:tcW w:w="582" w:type="pct"/>
            <w:vMerge w:val="restart"/>
            <w:vAlign w:val="center"/>
          </w:tcPr>
          <w:p>
            <w:pPr>
              <w:rPr>
                <w:sz w:val="21"/>
                <w:szCs w:val="21"/>
              </w:rPr>
            </w:pPr>
            <w:r>
              <w:rPr>
                <w:rFonts w:hint="eastAsia"/>
                <w:sz w:val="21"/>
                <w:szCs w:val="21"/>
              </w:rPr>
              <w:t>钢结构件</w:t>
            </w:r>
          </w:p>
        </w:tc>
        <w:tc>
          <w:tcPr>
            <w:tcW w:w="1035" w:type="pct"/>
            <w:vAlign w:val="center"/>
          </w:tcPr>
          <w:p>
            <w:pPr>
              <w:rPr>
                <w:sz w:val="21"/>
                <w:szCs w:val="21"/>
              </w:rPr>
            </w:pPr>
            <w:r>
              <w:rPr>
                <w:rFonts w:hint="eastAsia"/>
                <w:sz w:val="21"/>
                <w:szCs w:val="21"/>
              </w:rPr>
              <w:t>Φ48-219cm，长5m</w:t>
            </w:r>
          </w:p>
        </w:tc>
        <w:tc>
          <w:tcPr>
            <w:tcW w:w="279" w:type="pct"/>
            <w:vMerge w:val="restart"/>
            <w:vAlign w:val="center"/>
          </w:tcPr>
          <w:p>
            <w:pPr>
              <w:ind w:firstLine="0" w:firstLineChars="0"/>
              <w:rPr>
                <w:sz w:val="21"/>
                <w:szCs w:val="21"/>
              </w:rPr>
            </w:pPr>
            <w:r>
              <w:rPr>
                <w:rFonts w:hint="eastAsia"/>
                <w:sz w:val="21"/>
                <w:szCs w:val="21"/>
              </w:rPr>
              <w:t>8000t</w:t>
            </w:r>
          </w:p>
        </w:tc>
        <w:tc>
          <w:tcPr>
            <w:tcW w:w="756" w:type="pct"/>
            <w:vAlign w:val="center"/>
          </w:tcPr>
          <w:p>
            <w:pPr>
              <w:ind w:left="0" w:leftChars="0" w:firstLine="0" w:firstLineChars="0"/>
              <w:rPr>
                <w:sz w:val="21"/>
                <w:szCs w:val="21"/>
              </w:rPr>
            </w:pPr>
            <w:r>
              <w:rPr>
                <w:rFonts w:hint="eastAsia"/>
                <w:sz w:val="21"/>
                <w:szCs w:val="21"/>
              </w:rPr>
              <w:t>网架钢结构件3000t</w:t>
            </w:r>
          </w:p>
        </w:tc>
        <w:tc>
          <w:tcPr>
            <w:tcW w:w="740" w:type="pct"/>
            <w:vMerge w:val="restart"/>
          </w:tcPr>
          <w:p>
            <w:pPr>
              <w:ind w:left="0" w:leftChars="0" w:firstLine="0" w:firstLineChars="0"/>
              <w:rPr>
                <w:sz w:val="21"/>
                <w:szCs w:val="21"/>
              </w:rPr>
            </w:pPr>
            <w:r>
              <w:rPr>
                <w:rFonts w:hint="eastAsia"/>
                <w:sz w:val="21"/>
                <w:szCs w:val="21"/>
              </w:rPr>
              <w:t>下料</w:t>
            </w:r>
            <w:r>
              <w:rPr>
                <w:sz w:val="21"/>
                <w:szCs w:val="21"/>
              </w:rPr>
              <w:t>、焊接</w:t>
            </w:r>
            <w:r>
              <w:rPr>
                <w:rFonts w:hint="eastAsia"/>
                <w:sz w:val="21"/>
                <w:szCs w:val="21"/>
              </w:rPr>
              <w:t>、抛丸、喷漆年工作时间3000h，喷漆后晾干7200h；喷漆后流平-烘干1200h</w:t>
            </w:r>
          </w:p>
        </w:tc>
        <w:tc>
          <w:tcPr>
            <w:tcW w:w="175" w:type="pct"/>
            <w:vMerge w:val="restart"/>
            <w:vAlign w:val="center"/>
          </w:tcPr>
          <w:p>
            <w:pPr>
              <w:ind w:firstLine="0" w:firstLineChars="0"/>
              <w:rPr>
                <w:sz w:val="21"/>
                <w:szCs w:val="21"/>
              </w:rPr>
            </w:pPr>
            <w:r>
              <w:rPr>
                <w:rFonts w:hint="eastAsia"/>
                <w:sz w:val="21"/>
                <w:szCs w:val="21"/>
              </w:rPr>
              <w:t>8000t</w:t>
            </w:r>
          </w:p>
        </w:tc>
        <w:tc>
          <w:tcPr>
            <w:tcW w:w="565" w:type="pct"/>
            <w:vAlign w:val="center"/>
          </w:tcPr>
          <w:p>
            <w:pPr>
              <w:ind w:left="0" w:leftChars="0" w:firstLine="0" w:firstLineChars="0"/>
              <w:rPr>
                <w:sz w:val="21"/>
                <w:szCs w:val="21"/>
              </w:rPr>
            </w:pPr>
            <w:r>
              <w:rPr>
                <w:rFonts w:hint="eastAsia"/>
                <w:sz w:val="21"/>
                <w:szCs w:val="21"/>
              </w:rPr>
              <w:t>网架钢结构件3000t</w:t>
            </w:r>
          </w:p>
        </w:tc>
        <w:tc>
          <w:tcPr>
            <w:tcW w:w="704" w:type="pct"/>
            <w:vMerge w:val="restart"/>
            <w:vAlign w:val="center"/>
          </w:tcPr>
          <w:p>
            <w:pPr>
              <w:ind w:left="0" w:leftChars="0" w:firstLine="0" w:firstLineChars="0"/>
              <w:rPr>
                <w:sz w:val="21"/>
                <w:szCs w:val="21"/>
              </w:rPr>
            </w:pPr>
            <w:r>
              <w:rPr>
                <w:rFonts w:hint="eastAsia"/>
                <w:sz w:val="21"/>
                <w:szCs w:val="21"/>
              </w:rPr>
              <w:t>下料</w:t>
            </w:r>
            <w:r>
              <w:rPr>
                <w:sz w:val="21"/>
                <w:szCs w:val="21"/>
              </w:rPr>
              <w:t>、焊接</w:t>
            </w:r>
            <w:r>
              <w:rPr>
                <w:rFonts w:hint="eastAsia"/>
                <w:sz w:val="21"/>
                <w:szCs w:val="21"/>
              </w:rPr>
              <w:t>、抛丸、喷漆年工作时间3000h，喷漆后晾干7200h</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7" w:hRule="atLeast"/>
        </w:trPr>
        <w:tc>
          <w:tcPr>
            <w:tcW w:w="164" w:type="pct"/>
            <w:vMerge w:val="continue"/>
            <w:vAlign w:val="center"/>
          </w:tcPr>
          <w:p>
            <w:pPr>
              <w:rPr>
                <w:sz w:val="21"/>
                <w:szCs w:val="21"/>
              </w:rPr>
            </w:pPr>
          </w:p>
        </w:tc>
        <w:tc>
          <w:tcPr>
            <w:tcW w:w="582" w:type="pct"/>
            <w:vMerge w:val="continue"/>
            <w:vAlign w:val="center"/>
          </w:tcPr>
          <w:p>
            <w:pPr>
              <w:rPr>
                <w:sz w:val="21"/>
                <w:szCs w:val="21"/>
              </w:rPr>
            </w:pPr>
          </w:p>
        </w:tc>
        <w:tc>
          <w:tcPr>
            <w:tcW w:w="1035" w:type="pct"/>
            <w:vAlign w:val="center"/>
          </w:tcPr>
          <w:p>
            <w:pPr>
              <w:rPr>
                <w:sz w:val="21"/>
                <w:szCs w:val="21"/>
              </w:rPr>
            </w:pPr>
            <w:r>
              <w:rPr>
                <w:rFonts w:hint="eastAsia"/>
                <w:sz w:val="21"/>
                <w:szCs w:val="21"/>
              </w:rPr>
              <w:t>11m*0.8m</w:t>
            </w:r>
          </w:p>
        </w:tc>
        <w:tc>
          <w:tcPr>
            <w:tcW w:w="279" w:type="pct"/>
            <w:vMerge w:val="continue"/>
            <w:vAlign w:val="center"/>
          </w:tcPr>
          <w:p>
            <w:pPr>
              <w:rPr>
                <w:sz w:val="21"/>
                <w:szCs w:val="21"/>
              </w:rPr>
            </w:pPr>
          </w:p>
        </w:tc>
        <w:tc>
          <w:tcPr>
            <w:tcW w:w="756" w:type="pct"/>
            <w:vAlign w:val="center"/>
          </w:tcPr>
          <w:p>
            <w:pPr>
              <w:ind w:left="0" w:leftChars="0" w:firstLine="0" w:firstLineChars="0"/>
              <w:rPr>
                <w:sz w:val="21"/>
                <w:szCs w:val="21"/>
              </w:rPr>
            </w:pPr>
            <w:r>
              <w:rPr>
                <w:rFonts w:hint="eastAsia"/>
                <w:sz w:val="21"/>
                <w:szCs w:val="21"/>
              </w:rPr>
              <w:t>其他钢结构件5000t</w:t>
            </w:r>
          </w:p>
        </w:tc>
        <w:tc>
          <w:tcPr>
            <w:tcW w:w="740" w:type="pct"/>
            <w:vMerge w:val="continue"/>
          </w:tcPr>
          <w:p>
            <w:pPr>
              <w:rPr>
                <w:sz w:val="21"/>
                <w:szCs w:val="21"/>
              </w:rPr>
            </w:pPr>
          </w:p>
        </w:tc>
        <w:tc>
          <w:tcPr>
            <w:tcW w:w="175" w:type="pct"/>
            <w:vMerge w:val="continue"/>
            <w:vAlign w:val="center"/>
          </w:tcPr>
          <w:p>
            <w:pPr>
              <w:rPr>
                <w:sz w:val="21"/>
                <w:szCs w:val="21"/>
              </w:rPr>
            </w:pPr>
          </w:p>
        </w:tc>
        <w:tc>
          <w:tcPr>
            <w:tcW w:w="565" w:type="pct"/>
            <w:vAlign w:val="center"/>
          </w:tcPr>
          <w:p>
            <w:pPr>
              <w:ind w:left="0" w:leftChars="0" w:firstLine="0" w:firstLineChars="0"/>
              <w:rPr>
                <w:sz w:val="21"/>
                <w:szCs w:val="21"/>
              </w:rPr>
            </w:pPr>
            <w:r>
              <w:rPr>
                <w:rFonts w:hint="eastAsia"/>
                <w:sz w:val="21"/>
                <w:szCs w:val="21"/>
              </w:rPr>
              <w:t>其他钢结构件5000t</w:t>
            </w:r>
          </w:p>
        </w:tc>
        <w:tc>
          <w:tcPr>
            <w:tcW w:w="704" w:type="pct"/>
            <w:vMerge w:val="continue"/>
            <w:vAlign w:val="center"/>
          </w:tcPr>
          <w:p>
            <w:pPr>
              <w:rPr>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 w:hRule="atLeast"/>
        </w:trPr>
        <w:tc>
          <w:tcPr>
            <w:tcW w:w="746" w:type="pct"/>
            <w:gridSpan w:val="2"/>
            <w:vAlign w:val="center"/>
          </w:tcPr>
          <w:p>
            <w:pPr>
              <w:rPr>
                <w:sz w:val="21"/>
                <w:szCs w:val="21"/>
              </w:rPr>
            </w:pPr>
            <w:r>
              <w:rPr>
                <w:rFonts w:hint="eastAsia"/>
                <w:sz w:val="21"/>
                <w:szCs w:val="21"/>
              </w:rPr>
              <w:t>合计</w:t>
            </w:r>
          </w:p>
        </w:tc>
        <w:tc>
          <w:tcPr>
            <w:tcW w:w="1035" w:type="pct"/>
          </w:tcPr>
          <w:p>
            <w:pPr>
              <w:rPr>
                <w:sz w:val="21"/>
                <w:szCs w:val="21"/>
              </w:rPr>
            </w:pPr>
            <w:r>
              <w:rPr>
                <w:rFonts w:hint="eastAsia"/>
                <w:sz w:val="21"/>
                <w:szCs w:val="21"/>
              </w:rPr>
              <w:t>/</w:t>
            </w:r>
          </w:p>
        </w:tc>
        <w:tc>
          <w:tcPr>
            <w:tcW w:w="1035" w:type="pct"/>
            <w:gridSpan w:val="2"/>
            <w:vAlign w:val="center"/>
          </w:tcPr>
          <w:p>
            <w:pPr>
              <w:rPr>
                <w:sz w:val="21"/>
                <w:szCs w:val="21"/>
              </w:rPr>
            </w:pPr>
            <w:r>
              <w:rPr>
                <w:rFonts w:hint="eastAsia"/>
                <w:sz w:val="21"/>
                <w:szCs w:val="21"/>
              </w:rPr>
              <w:t>/</w:t>
            </w:r>
          </w:p>
        </w:tc>
        <w:tc>
          <w:tcPr>
            <w:tcW w:w="740" w:type="pct"/>
          </w:tcPr>
          <w:p>
            <w:pPr>
              <w:rPr>
                <w:sz w:val="21"/>
                <w:szCs w:val="21"/>
              </w:rPr>
            </w:pPr>
            <w:r>
              <w:rPr>
                <w:rFonts w:hint="eastAsia"/>
                <w:sz w:val="21"/>
                <w:szCs w:val="21"/>
              </w:rPr>
              <w:t>/</w:t>
            </w:r>
          </w:p>
        </w:tc>
        <w:tc>
          <w:tcPr>
            <w:tcW w:w="740" w:type="pct"/>
            <w:gridSpan w:val="2"/>
            <w:vAlign w:val="center"/>
          </w:tcPr>
          <w:p>
            <w:pPr>
              <w:rPr>
                <w:sz w:val="21"/>
                <w:szCs w:val="21"/>
              </w:rPr>
            </w:pPr>
            <w:r>
              <w:rPr>
                <w:rFonts w:hint="eastAsia"/>
                <w:sz w:val="21"/>
                <w:szCs w:val="21"/>
              </w:rPr>
              <w:t>/</w:t>
            </w:r>
          </w:p>
        </w:tc>
        <w:tc>
          <w:tcPr>
            <w:tcW w:w="704" w:type="pct"/>
            <w:vMerge w:val="continue"/>
            <w:vAlign w:val="center"/>
          </w:tcPr>
          <w:p>
            <w:pPr>
              <w:rPr>
                <w:sz w:val="21"/>
                <w:szCs w:val="21"/>
              </w:rPr>
            </w:pPr>
          </w:p>
        </w:tc>
      </w:tr>
    </w:tbl>
    <w:p>
      <w:pPr>
        <w:ind w:firstLine="480"/>
      </w:pPr>
      <w:r>
        <w:rPr>
          <w:rFonts w:hint="eastAsia"/>
        </w:rPr>
        <w:t>备注：*机械加工件不喷涂。</w:t>
      </w:r>
    </w:p>
    <w:p>
      <w:pPr>
        <w:ind w:firstLine="4819" w:firstLineChars="2000"/>
        <w:rPr>
          <w:b/>
          <w:bCs/>
        </w:rPr>
      </w:pPr>
      <w:r>
        <w:rPr>
          <w:b/>
          <w:bCs/>
        </w:rPr>
        <w:t>表3.2-</w:t>
      </w:r>
      <w:r>
        <w:rPr>
          <w:rFonts w:hint="eastAsia"/>
          <w:b/>
          <w:bCs/>
          <w:lang w:val="en-US" w:eastAsia="zh-CN"/>
        </w:rPr>
        <w:t>3</w:t>
      </w:r>
      <w:r>
        <w:rPr>
          <w:b/>
          <w:bCs/>
        </w:rPr>
        <w:t xml:space="preserve">  项目产品</w:t>
      </w:r>
      <w:r>
        <w:rPr>
          <w:rFonts w:hint="eastAsia"/>
          <w:b/>
          <w:bCs/>
        </w:rPr>
        <w:t>喷涂主要</w:t>
      </w:r>
      <w:r>
        <w:rPr>
          <w:b/>
          <w:bCs/>
        </w:rPr>
        <w:t>参数一览表</w:t>
      </w:r>
    </w:p>
    <w:tbl>
      <w:tblPr>
        <w:tblStyle w:val="43"/>
        <w:tblW w:w="5000" w:type="pct"/>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3"/>
        <w:gridCol w:w="708"/>
        <w:gridCol w:w="1720"/>
        <w:gridCol w:w="1405"/>
        <w:gridCol w:w="1056"/>
        <w:gridCol w:w="1275"/>
        <w:gridCol w:w="1282"/>
        <w:gridCol w:w="1278"/>
        <w:gridCol w:w="1273"/>
        <w:gridCol w:w="1276"/>
        <w:gridCol w:w="992"/>
        <w:gridCol w:w="1026"/>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312" w:type="pct"/>
            <w:vMerge w:val="restart"/>
            <w:vAlign w:val="center"/>
          </w:tcPr>
          <w:p>
            <w:pPr>
              <w:ind w:firstLine="0" w:firstLineChars="0"/>
              <w:rPr>
                <w:sz w:val="21"/>
                <w:szCs w:val="21"/>
              </w:rPr>
            </w:pPr>
            <w:r>
              <w:rPr>
                <w:sz w:val="21"/>
                <w:szCs w:val="21"/>
              </w:rPr>
              <w:t>序号</w:t>
            </w:r>
          </w:p>
        </w:tc>
        <w:tc>
          <w:tcPr>
            <w:tcW w:w="857" w:type="pct"/>
            <w:gridSpan w:val="2"/>
            <w:vMerge w:val="restart"/>
            <w:vAlign w:val="center"/>
          </w:tcPr>
          <w:p>
            <w:pPr>
              <w:rPr>
                <w:sz w:val="21"/>
                <w:szCs w:val="21"/>
              </w:rPr>
            </w:pPr>
            <w:r>
              <w:rPr>
                <w:sz w:val="21"/>
                <w:szCs w:val="21"/>
              </w:rPr>
              <w:t>产品名称</w:t>
            </w:r>
          </w:p>
        </w:tc>
        <w:tc>
          <w:tcPr>
            <w:tcW w:w="496" w:type="pct"/>
            <w:vMerge w:val="restart"/>
            <w:vAlign w:val="center"/>
          </w:tcPr>
          <w:p>
            <w:pPr>
              <w:ind w:firstLine="0" w:firstLineChars="0"/>
              <w:rPr>
                <w:sz w:val="21"/>
                <w:szCs w:val="21"/>
              </w:rPr>
            </w:pPr>
            <w:r>
              <w:rPr>
                <w:sz w:val="21"/>
                <w:szCs w:val="21"/>
              </w:rPr>
              <w:t>喷漆面积m</w:t>
            </w:r>
            <w:r>
              <w:rPr>
                <w:sz w:val="21"/>
                <w:szCs w:val="21"/>
                <w:vertAlign w:val="superscript"/>
              </w:rPr>
              <w:t>2</w:t>
            </w:r>
          </w:p>
        </w:tc>
        <w:tc>
          <w:tcPr>
            <w:tcW w:w="1724" w:type="pct"/>
            <w:gridSpan w:val="4"/>
            <w:tcBorders>
              <w:bottom w:val="single" w:color="auto" w:sz="4" w:space="0"/>
            </w:tcBorders>
            <w:vAlign w:val="center"/>
          </w:tcPr>
          <w:p>
            <w:pPr>
              <w:rPr>
                <w:sz w:val="21"/>
                <w:szCs w:val="21"/>
              </w:rPr>
            </w:pPr>
            <w:r>
              <w:rPr>
                <w:rFonts w:hint="eastAsia"/>
                <w:sz w:val="21"/>
                <w:szCs w:val="21"/>
              </w:rPr>
              <w:t>环评报告</w:t>
            </w:r>
          </w:p>
        </w:tc>
        <w:tc>
          <w:tcPr>
            <w:tcW w:w="1611" w:type="pct"/>
            <w:gridSpan w:val="4"/>
            <w:tcBorders>
              <w:bottom w:val="single" w:color="auto" w:sz="4" w:space="0"/>
            </w:tcBorders>
            <w:vAlign w:val="center"/>
          </w:tcPr>
          <w:p>
            <w:pPr>
              <w:rPr>
                <w:sz w:val="21"/>
                <w:szCs w:val="21"/>
              </w:rPr>
            </w:pPr>
            <w:r>
              <w:rPr>
                <w:sz w:val="21"/>
                <w:szCs w:val="21"/>
              </w:rPr>
              <w:t>实际建设</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312" w:type="pct"/>
            <w:vMerge w:val="continue"/>
            <w:vAlign w:val="center"/>
          </w:tcPr>
          <w:p>
            <w:pPr>
              <w:rPr>
                <w:sz w:val="21"/>
                <w:szCs w:val="21"/>
              </w:rPr>
            </w:pPr>
          </w:p>
        </w:tc>
        <w:tc>
          <w:tcPr>
            <w:tcW w:w="857" w:type="pct"/>
            <w:gridSpan w:val="2"/>
            <w:vMerge w:val="continue"/>
            <w:vAlign w:val="center"/>
          </w:tcPr>
          <w:p>
            <w:pPr>
              <w:rPr>
                <w:sz w:val="21"/>
                <w:szCs w:val="21"/>
              </w:rPr>
            </w:pPr>
          </w:p>
        </w:tc>
        <w:tc>
          <w:tcPr>
            <w:tcW w:w="496" w:type="pct"/>
            <w:vMerge w:val="continue"/>
            <w:vAlign w:val="center"/>
          </w:tcPr>
          <w:p>
            <w:pPr>
              <w:rPr>
                <w:sz w:val="21"/>
                <w:szCs w:val="21"/>
              </w:rPr>
            </w:pPr>
          </w:p>
        </w:tc>
        <w:tc>
          <w:tcPr>
            <w:tcW w:w="373" w:type="pct"/>
            <w:vMerge w:val="restart"/>
            <w:tcBorders>
              <w:top w:val="single" w:color="auto" w:sz="4" w:space="0"/>
            </w:tcBorders>
            <w:vAlign w:val="center"/>
          </w:tcPr>
          <w:p>
            <w:pPr>
              <w:ind w:firstLine="0" w:firstLineChars="0"/>
              <w:rPr>
                <w:sz w:val="21"/>
                <w:szCs w:val="21"/>
              </w:rPr>
            </w:pPr>
            <w:r>
              <w:rPr>
                <w:sz w:val="21"/>
                <w:szCs w:val="21"/>
              </w:rPr>
              <w:t>厚度μm</w:t>
            </w:r>
          </w:p>
        </w:tc>
        <w:tc>
          <w:tcPr>
            <w:tcW w:w="450" w:type="pct"/>
            <w:vMerge w:val="restart"/>
            <w:tcBorders>
              <w:top w:val="single" w:color="auto" w:sz="4" w:space="0"/>
            </w:tcBorders>
            <w:vAlign w:val="center"/>
          </w:tcPr>
          <w:p>
            <w:pPr>
              <w:ind w:firstLine="0" w:firstLineChars="0"/>
              <w:rPr>
                <w:sz w:val="21"/>
                <w:szCs w:val="21"/>
              </w:rPr>
            </w:pPr>
            <w:r>
              <w:rPr>
                <w:rFonts w:hint="eastAsia"/>
                <w:sz w:val="21"/>
                <w:szCs w:val="21"/>
              </w:rPr>
              <w:t>喷涂方式</w:t>
            </w:r>
          </w:p>
        </w:tc>
        <w:tc>
          <w:tcPr>
            <w:tcW w:w="901" w:type="pct"/>
            <w:gridSpan w:val="2"/>
            <w:tcBorders>
              <w:top w:val="single" w:color="auto" w:sz="4" w:space="0"/>
            </w:tcBorders>
            <w:vAlign w:val="center"/>
          </w:tcPr>
          <w:p>
            <w:pPr>
              <w:rPr>
                <w:sz w:val="21"/>
                <w:szCs w:val="21"/>
              </w:rPr>
            </w:pPr>
            <w:r>
              <w:rPr>
                <w:rFonts w:hint="eastAsia"/>
                <w:sz w:val="21"/>
                <w:szCs w:val="21"/>
              </w:rPr>
              <w:t>油漆用量t*</w:t>
            </w:r>
          </w:p>
        </w:tc>
        <w:tc>
          <w:tcPr>
            <w:tcW w:w="449" w:type="pct"/>
            <w:vMerge w:val="restart"/>
            <w:tcBorders>
              <w:top w:val="single" w:color="auto" w:sz="4" w:space="0"/>
            </w:tcBorders>
            <w:vAlign w:val="center"/>
          </w:tcPr>
          <w:p>
            <w:pPr>
              <w:ind w:firstLine="0" w:firstLineChars="0"/>
              <w:rPr>
                <w:sz w:val="21"/>
                <w:szCs w:val="21"/>
              </w:rPr>
            </w:pPr>
            <w:r>
              <w:rPr>
                <w:sz w:val="21"/>
                <w:szCs w:val="21"/>
              </w:rPr>
              <w:t>厚度μm</w:t>
            </w:r>
          </w:p>
        </w:tc>
        <w:tc>
          <w:tcPr>
            <w:tcW w:w="450" w:type="pct"/>
            <w:vMerge w:val="restart"/>
            <w:tcBorders>
              <w:top w:val="single" w:color="auto" w:sz="4" w:space="0"/>
            </w:tcBorders>
            <w:vAlign w:val="center"/>
          </w:tcPr>
          <w:p>
            <w:pPr>
              <w:ind w:firstLine="0" w:firstLineChars="0"/>
              <w:rPr>
                <w:sz w:val="21"/>
                <w:szCs w:val="21"/>
              </w:rPr>
            </w:pPr>
            <w:r>
              <w:rPr>
                <w:rFonts w:hint="eastAsia"/>
                <w:sz w:val="21"/>
                <w:szCs w:val="21"/>
              </w:rPr>
              <w:t>喷涂方式</w:t>
            </w:r>
          </w:p>
        </w:tc>
        <w:tc>
          <w:tcPr>
            <w:tcW w:w="712" w:type="pct"/>
            <w:gridSpan w:val="2"/>
          </w:tcPr>
          <w:p>
            <w:pPr>
              <w:rPr>
                <w:sz w:val="21"/>
                <w:szCs w:val="21"/>
              </w:rPr>
            </w:pPr>
            <w:r>
              <w:rPr>
                <w:rFonts w:hint="eastAsia"/>
                <w:sz w:val="21"/>
                <w:szCs w:val="21"/>
              </w:rPr>
              <w:t>油漆用量t*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312" w:type="pct"/>
            <w:vMerge w:val="continue"/>
            <w:vAlign w:val="center"/>
          </w:tcPr>
          <w:p>
            <w:pPr>
              <w:rPr>
                <w:sz w:val="21"/>
                <w:szCs w:val="21"/>
              </w:rPr>
            </w:pPr>
          </w:p>
        </w:tc>
        <w:tc>
          <w:tcPr>
            <w:tcW w:w="857" w:type="pct"/>
            <w:gridSpan w:val="2"/>
            <w:vMerge w:val="continue"/>
            <w:vAlign w:val="center"/>
          </w:tcPr>
          <w:p>
            <w:pPr>
              <w:rPr>
                <w:sz w:val="21"/>
                <w:szCs w:val="21"/>
              </w:rPr>
            </w:pPr>
          </w:p>
        </w:tc>
        <w:tc>
          <w:tcPr>
            <w:tcW w:w="496" w:type="pct"/>
            <w:vMerge w:val="continue"/>
            <w:vAlign w:val="center"/>
          </w:tcPr>
          <w:p>
            <w:pPr>
              <w:rPr>
                <w:sz w:val="21"/>
                <w:szCs w:val="21"/>
              </w:rPr>
            </w:pPr>
          </w:p>
        </w:tc>
        <w:tc>
          <w:tcPr>
            <w:tcW w:w="373" w:type="pct"/>
            <w:vMerge w:val="continue"/>
          </w:tcPr>
          <w:p>
            <w:pPr>
              <w:rPr>
                <w:sz w:val="21"/>
                <w:szCs w:val="21"/>
              </w:rPr>
            </w:pPr>
          </w:p>
        </w:tc>
        <w:tc>
          <w:tcPr>
            <w:tcW w:w="450" w:type="pct"/>
            <w:vMerge w:val="continue"/>
            <w:vAlign w:val="center"/>
          </w:tcPr>
          <w:p>
            <w:pPr>
              <w:rPr>
                <w:sz w:val="21"/>
                <w:szCs w:val="21"/>
              </w:rPr>
            </w:pPr>
          </w:p>
        </w:tc>
        <w:tc>
          <w:tcPr>
            <w:tcW w:w="450" w:type="pct"/>
            <w:vAlign w:val="center"/>
          </w:tcPr>
          <w:p>
            <w:pPr>
              <w:ind w:firstLine="0" w:firstLineChars="0"/>
              <w:jc w:val="center"/>
              <w:rPr>
                <w:sz w:val="21"/>
                <w:szCs w:val="21"/>
              </w:rPr>
            </w:pPr>
            <w:r>
              <w:rPr>
                <w:rFonts w:hint="eastAsia"/>
                <w:sz w:val="21"/>
                <w:szCs w:val="21"/>
              </w:rPr>
              <w:t>油性漆用量t</w:t>
            </w:r>
          </w:p>
        </w:tc>
        <w:tc>
          <w:tcPr>
            <w:tcW w:w="451" w:type="pct"/>
            <w:vAlign w:val="center"/>
          </w:tcPr>
          <w:p>
            <w:pPr>
              <w:ind w:firstLine="0" w:firstLineChars="0"/>
              <w:jc w:val="center"/>
              <w:rPr>
                <w:sz w:val="21"/>
                <w:szCs w:val="21"/>
              </w:rPr>
            </w:pPr>
            <w:r>
              <w:rPr>
                <w:rFonts w:hint="eastAsia"/>
                <w:sz w:val="21"/>
                <w:szCs w:val="21"/>
              </w:rPr>
              <w:t>水性漆用量t</w:t>
            </w:r>
          </w:p>
        </w:tc>
        <w:tc>
          <w:tcPr>
            <w:tcW w:w="449" w:type="pct"/>
            <w:vMerge w:val="continue"/>
            <w:vAlign w:val="center"/>
          </w:tcPr>
          <w:p>
            <w:pPr>
              <w:rPr>
                <w:sz w:val="21"/>
                <w:szCs w:val="21"/>
              </w:rPr>
            </w:pPr>
          </w:p>
        </w:tc>
        <w:tc>
          <w:tcPr>
            <w:tcW w:w="450" w:type="pct"/>
            <w:vMerge w:val="continue"/>
            <w:vAlign w:val="center"/>
          </w:tcPr>
          <w:p>
            <w:pPr>
              <w:rPr>
                <w:sz w:val="21"/>
                <w:szCs w:val="21"/>
              </w:rPr>
            </w:pPr>
          </w:p>
        </w:tc>
        <w:tc>
          <w:tcPr>
            <w:tcW w:w="350" w:type="pct"/>
            <w:vAlign w:val="center"/>
          </w:tcPr>
          <w:p>
            <w:pPr>
              <w:ind w:firstLine="0" w:firstLineChars="0"/>
              <w:jc w:val="center"/>
              <w:rPr>
                <w:sz w:val="21"/>
                <w:szCs w:val="21"/>
              </w:rPr>
            </w:pPr>
            <w:r>
              <w:rPr>
                <w:rFonts w:hint="eastAsia"/>
                <w:sz w:val="21"/>
                <w:szCs w:val="21"/>
              </w:rPr>
              <w:t>油性漆用量t</w:t>
            </w:r>
          </w:p>
        </w:tc>
        <w:tc>
          <w:tcPr>
            <w:tcW w:w="362" w:type="pct"/>
            <w:vAlign w:val="center"/>
          </w:tcPr>
          <w:p>
            <w:pPr>
              <w:ind w:firstLine="0" w:firstLineChars="0"/>
              <w:jc w:val="center"/>
              <w:rPr>
                <w:sz w:val="21"/>
                <w:szCs w:val="21"/>
              </w:rPr>
            </w:pPr>
            <w:r>
              <w:rPr>
                <w:rFonts w:hint="eastAsia"/>
                <w:sz w:val="21"/>
                <w:szCs w:val="21"/>
              </w:rPr>
              <w:t>水性漆用量t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2" w:type="pct"/>
            <w:vMerge w:val="restart"/>
            <w:vAlign w:val="center"/>
          </w:tcPr>
          <w:p>
            <w:pPr>
              <w:rPr>
                <w:sz w:val="21"/>
                <w:szCs w:val="21"/>
              </w:rPr>
            </w:pPr>
            <w:r>
              <w:rPr>
                <w:rFonts w:hint="eastAsia"/>
                <w:sz w:val="21"/>
                <w:szCs w:val="21"/>
              </w:rPr>
              <w:t>1</w:t>
            </w:r>
          </w:p>
        </w:tc>
        <w:tc>
          <w:tcPr>
            <w:tcW w:w="250" w:type="pct"/>
            <w:vMerge w:val="restart"/>
            <w:vAlign w:val="center"/>
          </w:tcPr>
          <w:p>
            <w:pPr>
              <w:ind w:firstLine="0" w:firstLineChars="0"/>
              <w:rPr>
                <w:sz w:val="21"/>
                <w:szCs w:val="21"/>
              </w:rPr>
            </w:pPr>
            <w:r>
              <w:rPr>
                <w:rFonts w:hint="eastAsia"/>
                <w:sz w:val="21"/>
                <w:szCs w:val="21"/>
              </w:rPr>
              <w:t>钢结构件</w:t>
            </w:r>
          </w:p>
        </w:tc>
        <w:tc>
          <w:tcPr>
            <w:tcW w:w="607" w:type="pct"/>
            <w:vAlign w:val="center"/>
          </w:tcPr>
          <w:p>
            <w:pPr>
              <w:ind w:firstLine="0" w:firstLineChars="0"/>
              <w:rPr>
                <w:sz w:val="21"/>
                <w:szCs w:val="21"/>
              </w:rPr>
            </w:pPr>
            <w:r>
              <w:rPr>
                <w:rFonts w:hint="eastAsia"/>
                <w:sz w:val="21"/>
                <w:szCs w:val="21"/>
              </w:rPr>
              <w:t>钢结构件网架</w:t>
            </w:r>
          </w:p>
        </w:tc>
        <w:tc>
          <w:tcPr>
            <w:tcW w:w="496" w:type="pct"/>
            <w:vAlign w:val="center"/>
          </w:tcPr>
          <w:p>
            <w:pPr>
              <w:rPr>
                <w:sz w:val="21"/>
                <w:szCs w:val="21"/>
              </w:rPr>
            </w:pPr>
            <w:r>
              <w:rPr>
                <w:rFonts w:hint="eastAsia"/>
                <w:sz w:val="21"/>
                <w:szCs w:val="21"/>
              </w:rPr>
              <w:t>265000</w:t>
            </w:r>
          </w:p>
        </w:tc>
        <w:tc>
          <w:tcPr>
            <w:tcW w:w="373" w:type="pct"/>
            <w:vAlign w:val="center"/>
          </w:tcPr>
          <w:p>
            <w:pPr>
              <w:ind w:firstLine="0" w:firstLineChars="0"/>
              <w:rPr>
                <w:sz w:val="21"/>
                <w:szCs w:val="21"/>
              </w:rPr>
            </w:pPr>
            <w:r>
              <w:rPr>
                <w:rFonts w:hint="eastAsia"/>
                <w:sz w:val="21"/>
                <w:szCs w:val="21"/>
              </w:rPr>
              <w:t>40</w:t>
            </w:r>
            <w:r>
              <w:rPr>
                <w:sz w:val="21"/>
                <w:szCs w:val="21"/>
              </w:rPr>
              <w:t>~</w:t>
            </w:r>
            <w:r>
              <w:rPr>
                <w:rFonts w:hint="eastAsia"/>
                <w:sz w:val="21"/>
                <w:szCs w:val="21"/>
              </w:rPr>
              <w:t>80</w:t>
            </w:r>
          </w:p>
        </w:tc>
        <w:tc>
          <w:tcPr>
            <w:tcW w:w="450" w:type="pct"/>
            <w:vAlign w:val="center"/>
          </w:tcPr>
          <w:p>
            <w:pPr>
              <w:ind w:firstLine="0" w:firstLineChars="0"/>
              <w:rPr>
                <w:sz w:val="21"/>
                <w:szCs w:val="21"/>
              </w:rPr>
            </w:pPr>
            <w:r>
              <w:rPr>
                <w:rFonts w:hint="eastAsia"/>
                <w:sz w:val="21"/>
                <w:szCs w:val="21"/>
              </w:rPr>
              <w:t>自动喷涂</w:t>
            </w:r>
          </w:p>
          <w:p>
            <w:pPr>
              <w:ind w:firstLine="0" w:firstLineChars="0"/>
              <w:rPr>
                <w:sz w:val="21"/>
                <w:szCs w:val="21"/>
              </w:rPr>
            </w:pPr>
            <w:r>
              <w:rPr>
                <w:rFonts w:hint="eastAsia"/>
                <w:sz w:val="21"/>
                <w:szCs w:val="21"/>
              </w:rPr>
              <w:t>手动喷涂</w:t>
            </w:r>
          </w:p>
        </w:tc>
        <w:tc>
          <w:tcPr>
            <w:tcW w:w="450" w:type="pct"/>
            <w:vAlign w:val="center"/>
          </w:tcPr>
          <w:p>
            <w:pPr>
              <w:rPr>
                <w:sz w:val="21"/>
                <w:szCs w:val="21"/>
              </w:rPr>
            </w:pPr>
            <w:r>
              <w:rPr>
                <w:rFonts w:hint="eastAsia"/>
                <w:sz w:val="21"/>
                <w:szCs w:val="21"/>
              </w:rPr>
              <w:t>22.5</w:t>
            </w:r>
          </w:p>
        </w:tc>
        <w:tc>
          <w:tcPr>
            <w:tcW w:w="451" w:type="pct"/>
            <w:vAlign w:val="center"/>
          </w:tcPr>
          <w:p>
            <w:pPr>
              <w:rPr>
                <w:sz w:val="21"/>
                <w:szCs w:val="21"/>
              </w:rPr>
            </w:pPr>
            <w:r>
              <w:rPr>
                <w:rFonts w:hint="eastAsia"/>
                <w:sz w:val="21"/>
                <w:szCs w:val="21"/>
              </w:rPr>
              <w:t>35</w:t>
            </w:r>
          </w:p>
        </w:tc>
        <w:tc>
          <w:tcPr>
            <w:tcW w:w="449" w:type="pct"/>
            <w:vAlign w:val="center"/>
          </w:tcPr>
          <w:p>
            <w:pPr>
              <w:rPr>
                <w:sz w:val="21"/>
                <w:szCs w:val="21"/>
              </w:rPr>
            </w:pPr>
            <w:r>
              <w:rPr>
                <w:rFonts w:hint="eastAsia"/>
                <w:sz w:val="21"/>
                <w:szCs w:val="21"/>
              </w:rPr>
              <w:t>40</w:t>
            </w:r>
            <w:r>
              <w:rPr>
                <w:sz w:val="21"/>
                <w:szCs w:val="21"/>
              </w:rPr>
              <w:t>~</w:t>
            </w:r>
            <w:r>
              <w:rPr>
                <w:rFonts w:hint="eastAsia"/>
                <w:sz w:val="21"/>
                <w:szCs w:val="21"/>
              </w:rPr>
              <w:t>80</w:t>
            </w:r>
          </w:p>
        </w:tc>
        <w:tc>
          <w:tcPr>
            <w:tcW w:w="450" w:type="pct"/>
            <w:vAlign w:val="center"/>
          </w:tcPr>
          <w:p>
            <w:pPr>
              <w:ind w:firstLine="0" w:firstLineChars="0"/>
              <w:rPr>
                <w:sz w:val="21"/>
                <w:szCs w:val="21"/>
              </w:rPr>
            </w:pPr>
            <w:r>
              <w:rPr>
                <w:rFonts w:hint="eastAsia"/>
                <w:sz w:val="21"/>
                <w:szCs w:val="21"/>
              </w:rPr>
              <w:t>手动喷涂</w:t>
            </w:r>
          </w:p>
        </w:tc>
        <w:tc>
          <w:tcPr>
            <w:tcW w:w="350" w:type="pct"/>
            <w:vAlign w:val="center"/>
          </w:tcPr>
          <w:p>
            <w:pPr>
              <w:ind w:firstLine="0" w:firstLineChars="0"/>
              <w:rPr>
                <w:sz w:val="21"/>
                <w:szCs w:val="21"/>
              </w:rPr>
            </w:pPr>
            <w:r>
              <w:rPr>
                <w:rFonts w:hint="eastAsia"/>
                <w:sz w:val="21"/>
                <w:szCs w:val="21"/>
              </w:rPr>
              <w:t>22.5</w:t>
            </w:r>
          </w:p>
        </w:tc>
        <w:tc>
          <w:tcPr>
            <w:tcW w:w="362" w:type="pct"/>
            <w:vAlign w:val="center"/>
          </w:tcPr>
          <w:p>
            <w:pPr>
              <w:rPr>
                <w:sz w:val="21"/>
                <w:szCs w:val="21"/>
              </w:rPr>
            </w:pPr>
            <w:r>
              <w:rPr>
                <w:rFonts w:hint="eastAsia"/>
                <w:sz w:val="21"/>
                <w:szCs w:val="21"/>
              </w:rPr>
              <w:t>35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312" w:type="pct"/>
            <w:vMerge w:val="continue"/>
            <w:vAlign w:val="center"/>
          </w:tcPr>
          <w:p>
            <w:pPr>
              <w:rPr>
                <w:sz w:val="21"/>
                <w:szCs w:val="21"/>
              </w:rPr>
            </w:pPr>
          </w:p>
        </w:tc>
        <w:tc>
          <w:tcPr>
            <w:tcW w:w="250" w:type="pct"/>
            <w:vMerge w:val="continue"/>
            <w:vAlign w:val="center"/>
          </w:tcPr>
          <w:p>
            <w:pPr>
              <w:rPr>
                <w:sz w:val="21"/>
                <w:szCs w:val="21"/>
              </w:rPr>
            </w:pPr>
          </w:p>
        </w:tc>
        <w:tc>
          <w:tcPr>
            <w:tcW w:w="607" w:type="pct"/>
            <w:vAlign w:val="center"/>
          </w:tcPr>
          <w:p>
            <w:pPr>
              <w:ind w:firstLine="0" w:firstLineChars="0"/>
              <w:rPr>
                <w:sz w:val="21"/>
                <w:szCs w:val="21"/>
              </w:rPr>
            </w:pPr>
            <w:r>
              <w:rPr>
                <w:rFonts w:hint="eastAsia"/>
                <w:sz w:val="21"/>
                <w:szCs w:val="21"/>
              </w:rPr>
              <w:t>其他钢结构件</w:t>
            </w:r>
          </w:p>
        </w:tc>
        <w:tc>
          <w:tcPr>
            <w:tcW w:w="496" w:type="pct"/>
            <w:vAlign w:val="center"/>
          </w:tcPr>
          <w:p>
            <w:pPr>
              <w:rPr>
                <w:sz w:val="21"/>
                <w:szCs w:val="21"/>
              </w:rPr>
            </w:pPr>
            <w:r>
              <w:rPr>
                <w:rFonts w:hint="eastAsia"/>
                <w:sz w:val="21"/>
                <w:szCs w:val="21"/>
              </w:rPr>
              <w:t>167500</w:t>
            </w:r>
          </w:p>
        </w:tc>
        <w:tc>
          <w:tcPr>
            <w:tcW w:w="373" w:type="pct"/>
            <w:vAlign w:val="center"/>
          </w:tcPr>
          <w:p>
            <w:pPr>
              <w:ind w:firstLine="0" w:firstLineChars="0"/>
              <w:rPr>
                <w:sz w:val="21"/>
                <w:szCs w:val="21"/>
              </w:rPr>
            </w:pPr>
            <w:r>
              <w:rPr>
                <w:rFonts w:hint="eastAsia"/>
                <w:sz w:val="21"/>
                <w:szCs w:val="21"/>
              </w:rPr>
              <w:t>40</w:t>
            </w:r>
            <w:r>
              <w:rPr>
                <w:sz w:val="21"/>
                <w:szCs w:val="21"/>
              </w:rPr>
              <w:t>~</w:t>
            </w:r>
            <w:r>
              <w:rPr>
                <w:rFonts w:hint="eastAsia"/>
                <w:sz w:val="21"/>
                <w:szCs w:val="21"/>
              </w:rPr>
              <w:t>80</w:t>
            </w:r>
          </w:p>
        </w:tc>
        <w:tc>
          <w:tcPr>
            <w:tcW w:w="450" w:type="pct"/>
            <w:vAlign w:val="center"/>
          </w:tcPr>
          <w:p>
            <w:pPr>
              <w:ind w:firstLine="0" w:firstLineChars="0"/>
              <w:rPr>
                <w:sz w:val="21"/>
                <w:szCs w:val="21"/>
              </w:rPr>
            </w:pPr>
            <w:r>
              <w:rPr>
                <w:rFonts w:hint="eastAsia"/>
                <w:sz w:val="21"/>
                <w:szCs w:val="21"/>
              </w:rPr>
              <w:t>手动喷涂</w:t>
            </w:r>
          </w:p>
        </w:tc>
        <w:tc>
          <w:tcPr>
            <w:tcW w:w="450" w:type="pct"/>
            <w:vAlign w:val="center"/>
          </w:tcPr>
          <w:p>
            <w:pPr>
              <w:rPr>
                <w:sz w:val="21"/>
                <w:szCs w:val="21"/>
              </w:rPr>
            </w:pPr>
            <w:r>
              <w:rPr>
                <w:rFonts w:hint="eastAsia"/>
                <w:sz w:val="21"/>
                <w:szCs w:val="21"/>
              </w:rPr>
              <w:t>16.875</w:t>
            </w:r>
          </w:p>
        </w:tc>
        <w:tc>
          <w:tcPr>
            <w:tcW w:w="451" w:type="pct"/>
            <w:vAlign w:val="center"/>
          </w:tcPr>
          <w:p>
            <w:pPr>
              <w:rPr>
                <w:sz w:val="21"/>
                <w:szCs w:val="21"/>
              </w:rPr>
            </w:pPr>
            <w:r>
              <w:rPr>
                <w:rFonts w:hint="eastAsia"/>
                <w:sz w:val="21"/>
                <w:szCs w:val="21"/>
              </w:rPr>
              <w:t>25</w:t>
            </w:r>
          </w:p>
        </w:tc>
        <w:tc>
          <w:tcPr>
            <w:tcW w:w="449" w:type="pct"/>
            <w:vAlign w:val="center"/>
          </w:tcPr>
          <w:p>
            <w:pPr>
              <w:rPr>
                <w:sz w:val="21"/>
                <w:szCs w:val="21"/>
              </w:rPr>
            </w:pPr>
            <w:r>
              <w:rPr>
                <w:rFonts w:hint="eastAsia"/>
                <w:sz w:val="21"/>
                <w:szCs w:val="21"/>
              </w:rPr>
              <w:t>40</w:t>
            </w:r>
            <w:r>
              <w:rPr>
                <w:sz w:val="21"/>
                <w:szCs w:val="21"/>
              </w:rPr>
              <w:t>~</w:t>
            </w:r>
            <w:r>
              <w:rPr>
                <w:rFonts w:hint="eastAsia"/>
                <w:sz w:val="21"/>
                <w:szCs w:val="21"/>
              </w:rPr>
              <w:t>80</w:t>
            </w:r>
          </w:p>
        </w:tc>
        <w:tc>
          <w:tcPr>
            <w:tcW w:w="450" w:type="pct"/>
            <w:vAlign w:val="center"/>
          </w:tcPr>
          <w:p>
            <w:pPr>
              <w:ind w:firstLine="0" w:firstLineChars="0"/>
              <w:rPr>
                <w:sz w:val="21"/>
                <w:szCs w:val="21"/>
              </w:rPr>
            </w:pPr>
            <w:r>
              <w:rPr>
                <w:rFonts w:hint="eastAsia"/>
                <w:sz w:val="21"/>
                <w:szCs w:val="21"/>
              </w:rPr>
              <w:t>手动喷涂</w:t>
            </w:r>
          </w:p>
        </w:tc>
        <w:tc>
          <w:tcPr>
            <w:tcW w:w="350" w:type="pct"/>
            <w:vAlign w:val="center"/>
          </w:tcPr>
          <w:p>
            <w:pPr>
              <w:ind w:firstLine="0" w:firstLineChars="0"/>
              <w:rPr>
                <w:sz w:val="21"/>
                <w:szCs w:val="21"/>
              </w:rPr>
            </w:pPr>
            <w:r>
              <w:rPr>
                <w:rFonts w:hint="eastAsia"/>
                <w:sz w:val="21"/>
                <w:szCs w:val="21"/>
              </w:rPr>
              <w:t>16.875</w:t>
            </w:r>
          </w:p>
        </w:tc>
        <w:tc>
          <w:tcPr>
            <w:tcW w:w="362" w:type="pct"/>
            <w:vAlign w:val="center"/>
          </w:tcPr>
          <w:p>
            <w:pPr>
              <w:rPr>
                <w:sz w:val="21"/>
                <w:szCs w:val="21"/>
              </w:rPr>
            </w:pPr>
            <w:r>
              <w:rPr>
                <w:rFonts w:hint="eastAsia"/>
                <w:sz w:val="21"/>
                <w:szCs w:val="21"/>
              </w:rPr>
              <w:t>25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69" w:type="pct"/>
            <w:gridSpan w:val="3"/>
            <w:vAlign w:val="center"/>
          </w:tcPr>
          <w:p>
            <w:pPr>
              <w:rPr>
                <w:sz w:val="21"/>
                <w:szCs w:val="21"/>
              </w:rPr>
            </w:pPr>
            <w:r>
              <w:rPr>
                <w:rFonts w:hint="eastAsia"/>
                <w:sz w:val="21"/>
                <w:szCs w:val="21"/>
              </w:rPr>
              <w:t>合计</w:t>
            </w:r>
          </w:p>
        </w:tc>
        <w:tc>
          <w:tcPr>
            <w:tcW w:w="496" w:type="pct"/>
            <w:vAlign w:val="center"/>
          </w:tcPr>
          <w:p>
            <w:pPr>
              <w:rPr>
                <w:sz w:val="21"/>
                <w:szCs w:val="21"/>
              </w:rPr>
            </w:pPr>
            <w:r>
              <w:rPr>
                <w:rFonts w:hint="eastAsia"/>
                <w:sz w:val="21"/>
                <w:szCs w:val="21"/>
              </w:rPr>
              <w:t>397500</w:t>
            </w:r>
          </w:p>
        </w:tc>
        <w:tc>
          <w:tcPr>
            <w:tcW w:w="373" w:type="pct"/>
          </w:tcPr>
          <w:p>
            <w:pPr>
              <w:rPr>
                <w:sz w:val="21"/>
                <w:szCs w:val="21"/>
              </w:rPr>
            </w:pPr>
          </w:p>
        </w:tc>
        <w:tc>
          <w:tcPr>
            <w:tcW w:w="450" w:type="pct"/>
          </w:tcPr>
          <w:p>
            <w:pPr>
              <w:rPr>
                <w:sz w:val="21"/>
                <w:szCs w:val="21"/>
              </w:rPr>
            </w:pPr>
          </w:p>
        </w:tc>
        <w:tc>
          <w:tcPr>
            <w:tcW w:w="450" w:type="pct"/>
            <w:vAlign w:val="center"/>
          </w:tcPr>
          <w:p>
            <w:pPr>
              <w:rPr>
                <w:sz w:val="21"/>
                <w:szCs w:val="21"/>
              </w:rPr>
            </w:pPr>
            <w:r>
              <w:rPr>
                <w:rFonts w:hint="eastAsia"/>
                <w:sz w:val="21"/>
                <w:szCs w:val="21"/>
              </w:rPr>
              <w:t>/</w:t>
            </w:r>
          </w:p>
        </w:tc>
        <w:tc>
          <w:tcPr>
            <w:tcW w:w="451" w:type="pct"/>
            <w:vAlign w:val="center"/>
          </w:tcPr>
          <w:p>
            <w:pPr>
              <w:rPr>
                <w:sz w:val="21"/>
                <w:szCs w:val="21"/>
              </w:rPr>
            </w:pPr>
            <w:r>
              <w:rPr>
                <w:rFonts w:hint="eastAsia"/>
                <w:sz w:val="21"/>
                <w:szCs w:val="21"/>
              </w:rPr>
              <w:t>60</w:t>
            </w:r>
          </w:p>
        </w:tc>
        <w:tc>
          <w:tcPr>
            <w:tcW w:w="449" w:type="pct"/>
            <w:vAlign w:val="center"/>
          </w:tcPr>
          <w:p>
            <w:pPr>
              <w:rPr>
                <w:sz w:val="21"/>
                <w:szCs w:val="21"/>
              </w:rPr>
            </w:pPr>
            <w:r>
              <w:rPr>
                <w:rFonts w:hint="eastAsia"/>
                <w:sz w:val="21"/>
                <w:szCs w:val="21"/>
              </w:rPr>
              <w:t>/</w:t>
            </w:r>
          </w:p>
        </w:tc>
        <w:tc>
          <w:tcPr>
            <w:tcW w:w="450" w:type="pct"/>
            <w:vAlign w:val="center"/>
          </w:tcPr>
          <w:p>
            <w:pPr>
              <w:rPr>
                <w:sz w:val="21"/>
                <w:szCs w:val="21"/>
              </w:rPr>
            </w:pPr>
            <w:r>
              <w:rPr>
                <w:rFonts w:hint="eastAsia"/>
                <w:sz w:val="21"/>
                <w:szCs w:val="21"/>
              </w:rPr>
              <w:t>/</w:t>
            </w:r>
          </w:p>
        </w:tc>
        <w:tc>
          <w:tcPr>
            <w:tcW w:w="350" w:type="pct"/>
            <w:vAlign w:val="center"/>
          </w:tcPr>
          <w:p>
            <w:pPr>
              <w:rPr>
                <w:sz w:val="21"/>
                <w:szCs w:val="21"/>
              </w:rPr>
            </w:pPr>
            <w:r>
              <w:rPr>
                <w:rFonts w:hint="eastAsia"/>
                <w:sz w:val="21"/>
                <w:szCs w:val="21"/>
              </w:rPr>
              <w:t>/</w:t>
            </w:r>
          </w:p>
        </w:tc>
        <w:tc>
          <w:tcPr>
            <w:tcW w:w="362" w:type="pct"/>
            <w:vAlign w:val="center"/>
          </w:tcPr>
          <w:p>
            <w:pPr>
              <w:rPr>
                <w:sz w:val="21"/>
                <w:szCs w:val="21"/>
              </w:rPr>
            </w:pPr>
            <w:r>
              <w:rPr>
                <w:rFonts w:hint="eastAsia"/>
                <w:sz w:val="21"/>
                <w:szCs w:val="21"/>
              </w:rPr>
              <w:t>60</w:t>
            </w:r>
          </w:p>
        </w:tc>
      </w:tr>
    </w:tbl>
    <w:p>
      <w:pPr>
        <w:ind w:firstLine="480"/>
        <w:rPr>
          <w:rFonts w:hint="eastAsia" w:eastAsiaTheme="minorEastAsia"/>
          <w:lang w:eastAsia="zh-CN"/>
        </w:rPr>
        <w:sectPr>
          <w:pgSz w:w="16838" w:h="11906" w:orient="landscape"/>
          <w:pgMar w:top="1800" w:right="1440" w:bottom="1800" w:left="1440" w:header="851" w:footer="992" w:gutter="0"/>
          <w:cols w:space="425" w:num="1"/>
          <w:docGrid w:type="lines" w:linePitch="326" w:charSpace="0"/>
        </w:sectPr>
      </w:pPr>
      <w:r>
        <w:rPr>
          <w:rFonts w:hint="eastAsia"/>
        </w:rPr>
        <w:t>备注*:油性漆含稀释剂</w:t>
      </w:r>
      <w:r>
        <w:rPr>
          <w:rFonts w:hint="eastAsia"/>
          <w:lang w:eastAsia="zh-CN"/>
        </w:rPr>
        <w:t>。</w:t>
      </w:r>
    </w:p>
    <w:p>
      <w:pPr>
        <w:ind w:left="0" w:leftChars="0" w:firstLine="0" w:firstLineChars="0"/>
      </w:pPr>
      <w:r>
        <w:rPr>
          <w:rFonts w:hint="eastAsia"/>
        </w:rPr>
        <w:t>由上表可知，项目实际产能与环评报告一致，仅喷涂方式不一致。</w:t>
      </w:r>
    </w:p>
    <w:p>
      <w:pPr>
        <w:pStyle w:val="67"/>
        <w:ind w:firstLine="482"/>
      </w:pPr>
      <w:r>
        <w:rPr>
          <w:rFonts w:hint="eastAsia"/>
        </w:rPr>
        <w:t>3.2.4主要设备一览表</w:t>
      </w:r>
    </w:p>
    <w:p>
      <w:pPr>
        <w:widowControl/>
        <w:spacing w:line="360" w:lineRule="auto"/>
        <w:ind w:firstLine="482"/>
        <w:jc w:val="left"/>
        <w:rPr>
          <w:rFonts w:hint="eastAsia"/>
          <w:color w:val="auto"/>
          <w:sz w:val="24"/>
          <w:szCs w:val="24"/>
        </w:rPr>
      </w:pPr>
      <w:r>
        <w:rPr>
          <w:rFonts w:hint="eastAsia"/>
          <w:color w:val="auto"/>
          <w:sz w:val="24"/>
          <w:szCs w:val="24"/>
        </w:rPr>
        <w:t>根据已批复</w:t>
      </w:r>
      <w:r>
        <w:rPr>
          <w:color w:val="auto"/>
          <w:sz w:val="24"/>
          <w:szCs w:val="24"/>
        </w:rPr>
        <w:t>环评报告及现场勘查结果，项目</w:t>
      </w:r>
      <w:r>
        <w:rPr>
          <w:rFonts w:hint="eastAsia"/>
          <w:color w:val="auto"/>
          <w:sz w:val="24"/>
          <w:szCs w:val="24"/>
        </w:rPr>
        <w:t>主要设备及</w:t>
      </w:r>
      <w:r>
        <w:rPr>
          <w:color w:val="auto"/>
          <w:sz w:val="24"/>
          <w:szCs w:val="24"/>
        </w:rPr>
        <w:t>变化情况如下</w:t>
      </w:r>
      <w:r>
        <w:rPr>
          <w:rFonts w:hint="eastAsia"/>
          <w:color w:val="auto"/>
          <w:sz w:val="24"/>
          <w:szCs w:val="24"/>
        </w:rPr>
        <w:t>。</w:t>
      </w:r>
    </w:p>
    <w:p>
      <w:pPr>
        <w:ind w:firstLine="480"/>
        <w:jc w:val="center"/>
        <w:rPr>
          <w:b/>
          <w:bCs/>
        </w:rPr>
      </w:pPr>
      <w:r>
        <w:rPr>
          <w:b/>
          <w:bCs/>
        </w:rPr>
        <w:t>表3.</w:t>
      </w:r>
      <w:r>
        <w:rPr>
          <w:rFonts w:hint="eastAsia"/>
          <w:b/>
          <w:bCs/>
        </w:rPr>
        <w:t>2</w:t>
      </w:r>
      <w:r>
        <w:rPr>
          <w:b/>
          <w:bCs/>
        </w:rPr>
        <w:t>-</w:t>
      </w:r>
      <w:r>
        <w:rPr>
          <w:rFonts w:hint="eastAsia"/>
          <w:b/>
          <w:bCs/>
        </w:rPr>
        <w:t>4</w:t>
      </w:r>
      <w:r>
        <w:rPr>
          <w:b/>
          <w:bCs/>
        </w:rPr>
        <w:t xml:space="preserve">  项目主要生产设备一览表</w:t>
      </w:r>
    </w:p>
    <w:tbl>
      <w:tblPr>
        <w:tblStyle w:val="43"/>
        <w:tblW w:w="5000" w:type="pct"/>
        <w:jc w:val="center"/>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Layout w:type="fixed"/>
        <w:tblCellMar>
          <w:top w:w="0" w:type="dxa"/>
          <w:left w:w="108" w:type="dxa"/>
          <w:bottom w:w="0" w:type="dxa"/>
          <w:right w:w="108" w:type="dxa"/>
        </w:tblCellMar>
      </w:tblPr>
      <w:tblGrid>
        <w:gridCol w:w="642"/>
        <w:gridCol w:w="1026"/>
        <w:gridCol w:w="2550"/>
        <w:gridCol w:w="1418"/>
        <w:gridCol w:w="1560"/>
        <w:gridCol w:w="1326"/>
      </w:tblGrid>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778" w:hRule="exact"/>
          <w:tblHeader/>
          <w:jc w:val="center"/>
        </w:trPr>
        <w:tc>
          <w:tcPr>
            <w:tcW w:w="376" w:type="pct"/>
            <w:tcBorders>
              <w:tl2br w:val="nil"/>
              <w:tr2bl w:val="nil"/>
            </w:tcBorders>
            <w:vAlign w:val="center"/>
          </w:tcPr>
          <w:p>
            <w:pPr>
              <w:spacing w:line="240" w:lineRule="auto"/>
              <w:ind w:left="0" w:leftChars="0" w:firstLine="0" w:firstLineChars="0"/>
              <w:jc w:val="both"/>
              <w:rPr>
                <w:sz w:val="21"/>
                <w:szCs w:val="21"/>
              </w:rPr>
            </w:pPr>
            <w:r>
              <w:rPr>
                <w:sz w:val="21"/>
                <w:szCs w:val="21"/>
              </w:rPr>
              <w:t>序号</w:t>
            </w:r>
          </w:p>
        </w:tc>
        <w:tc>
          <w:tcPr>
            <w:tcW w:w="2098" w:type="pct"/>
            <w:gridSpan w:val="2"/>
            <w:tcBorders>
              <w:tl2br w:val="nil"/>
              <w:tr2bl w:val="nil"/>
            </w:tcBorders>
            <w:vAlign w:val="center"/>
          </w:tcPr>
          <w:p>
            <w:pPr>
              <w:spacing w:line="240" w:lineRule="auto"/>
              <w:ind w:firstLine="480"/>
              <w:jc w:val="center"/>
              <w:rPr>
                <w:sz w:val="21"/>
                <w:szCs w:val="21"/>
              </w:rPr>
            </w:pPr>
            <w:r>
              <w:rPr>
                <w:sz w:val="21"/>
                <w:szCs w:val="21"/>
              </w:rPr>
              <w:t>设备名称</w:t>
            </w:r>
          </w:p>
        </w:tc>
        <w:tc>
          <w:tcPr>
            <w:tcW w:w="831" w:type="pct"/>
            <w:tcBorders>
              <w:right w:val="single" w:color="auto" w:sz="4" w:space="0"/>
              <w:tl2br w:val="nil"/>
              <w:tr2bl w:val="nil"/>
            </w:tcBorders>
            <w:vAlign w:val="center"/>
          </w:tcPr>
          <w:p>
            <w:pPr>
              <w:spacing w:line="240" w:lineRule="auto"/>
              <w:ind w:firstLine="480"/>
              <w:jc w:val="center"/>
              <w:rPr>
                <w:sz w:val="21"/>
                <w:szCs w:val="21"/>
              </w:rPr>
            </w:pPr>
            <w:r>
              <w:rPr>
                <w:sz w:val="21"/>
                <w:szCs w:val="21"/>
              </w:rPr>
              <w:t>型号</w:t>
            </w:r>
          </w:p>
        </w:tc>
        <w:tc>
          <w:tcPr>
            <w:tcW w:w="915" w:type="pct"/>
            <w:tcBorders>
              <w:left w:val="single" w:color="auto" w:sz="4" w:space="0"/>
              <w:tl2br w:val="nil"/>
              <w:tr2bl w:val="nil"/>
            </w:tcBorders>
            <w:vAlign w:val="center"/>
          </w:tcPr>
          <w:p>
            <w:pPr>
              <w:spacing w:line="240" w:lineRule="auto"/>
              <w:ind w:firstLine="480"/>
              <w:jc w:val="center"/>
              <w:rPr>
                <w:sz w:val="21"/>
                <w:szCs w:val="21"/>
              </w:rPr>
            </w:pPr>
            <w:r>
              <w:rPr>
                <w:sz w:val="21"/>
                <w:szCs w:val="21"/>
              </w:rPr>
              <w:t>环评</w:t>
            </w:r>
            <w:r>
              <w:rPr>
                <w:rFonts w:hint="eastAsia"/>
                <w:sz w:val="21"/>
                <w:szCs w:val="21"/>
              </w:rPr>
              <w:t>报告</w:t>
            </w:r>
          </w:p>
          <w:p>
            <w:pPr>
              <w:spacing w:line="240" w:lineRule="auto"/>
              <w:ind w:firstLine="480"/>
              <w:jc w:val="center"/>
              <w:rPr>
                <w:sz w:val="21"/>
                <w:szCs w:val="21"/>
              </w:rPr>
            </w:pPr>
            <w:r>
              <w:rPr>
                <w:sz w:val="21"/>
                <w:szCs w:val="21"/>
              </w:rPr>
              <w:t>数量</w:t>
            </w:r>
          </w:p>
        </w:tc>
        <w:tc>
          <w:tcPr>
            <w:tcW w:w="777" w:type="pct"/>
            <w:tcBorders>
              <w:left w:val="single" w:color="auto" w:sz="4" w:space="0"/>
              <w:tl2br w:val="nil"/>
              <w:tr2bl w:val="nil"/>
            </w:tcBorders>
            <w:vAlign w:val="center"/>
          </w:tcPr>
          <w:p>
            <w:pPr>
              <w:spacing w:line="240" w:lineRule="auto"/>
              <w:ind w:firstLine="480"/>
              <w:jc w:val="center"/>
              <w:rPr>
                <w:sz w:val="21"/>
                <w:szCs w:val="21"/>
              </w:rPr>
            </w:pPr>
            <w:r>
              <w:rPr>
                <w:sz w:val="21"/>
                <w:szCs w:val="21"/>
              </w:rPr>
              <w:t>实际建设</w:t>
            </w:r>
          </w:p>
          <w:p>
            <w:pPr>
              <w:spacing w:line="240" w:lineRule="auto"/>
              <w:ind w:firstLine="480"/>
              <w:jc w:val="center"/>
              <w:rPr>
                <w:sz w:val="21"/>
                <w:szCs w:val="21"/>
              </w:rPr>
            </w:pPr>
            <w:r>
              <w:rPr>
                <w:sz w:val="21"/>
                <w:szCs w:val="21"/>
              </w:rPr>
              <w:t>数量</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5000" w:type="pct"/>
            <w:gridSpan w:val="6"/>
            <w:tcBorders>
              <w:tl2br w:val="nil"/>
              <w:tr2bl w:val="nil"/>
            </w:tcBorders>
            <w:vAlign w:val="center"/>
          </w:tcPr>
          <w:p>
            <w:pPr>
              <w:spacing w:line="240" w:lineRule="auto"/>
              <w:ind w:firstLine="480"/>
              <w:jc w:val="center"/>
              <w:rPr>
                <w:sz w:val="21"/>
                <w:szCs w:val="21"/>
              </w:rPr>
            </w:pPr>
            <w:r>
              <w:rPr>
                <w:sz w:val="21"/>
                <w:szCs w:val="21"/>
              </w:rPr>
              <w:t>主要生产设备</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sz w:val="21"/>
                <w:szCs w:val="21"/>
              </w:rPr>
              <w:t>1</w:t>
            </w:r>
          </w:p>
        </w:tc>
        <w:tc>
          <w:tcPr>
            <w:tcW w:w="601" w:type="pct"/>
            <w:vMerge w:val="restart"/>
            <w:tcBorders>
              <w:tl2br w:val="nil"/>
              <w:tr2bl w:val="nil"/>
            </w:tcBorders>
            <w:vAlign w:val="center"/>
          </w:tcPr>
          <w:p>
            <w:pPr>
              <w:spacing w:line="240" w:lineRule="auto"/>
              <w:ind w:left="0" w:leftChars="0" w:firstLine="0" w:firstLineChars="0"/>
              <w:jc w:val="both"/>
              <w:rPr>
                <w:sz w:val="21"/>
                <w:szCs w:val="21"/>
              </w:rPr>
            </w:pPr>
            <w:r>
              <w:rPr>
                <w:sz w:val="21"/>
                <w:szCs w:val="21"/>
              </w:rPr>
              <w:t>机加工</w:t>
            </w:r>
          </w:p>
        </w:tc>
        <w:tc>
          <w:tcPr>
            <w:tcW w:w="1496" w:type="pct"/>
            <w:tcBorders>
              <w:tl2br w:val="nil"/>
              <w:tr2bl w:val="nil"/>
            </w:tcBorders>
            <w:vAlign w:val="center"/>
          </w:tcPr>
          <w:p>
            <w:pPr>
              <w:spacing w:line="240" w:lineRule="auto"/>
              <w:ind w:firstLine="480"/>
              <w:jc w:val="center"/>
              <w:rPr>
                <w:sz w:val="21"/>
                <w:szCs w:val="21"/>
              </w:rPr>
            </w:pPr>
            <w:r>
              <w:rPr>
                <w:sz w:val="21"/>
                <w:szCs w:val="21"/>
              </w:rPr>
              <w:t>数控激光切割机</w:t>
            </w:r>
          </w:p>
        </w:tc>
        <w:tc>
          <w:tcPr>
            <w:tcW w:w="831" w:type="pct"/>
            <w:tcBorders>
              <w:righ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CFD 12025G</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sz w:val="21"/>
                <w:szCs w:val="21"/>
              </w:rPr>
              <w:t>2</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sz w:val="21"/>
                <w:szCs w:val="21"/>
              </w:rPr>
              <w:t>等离子切割机</w:t>
            </w:r>
          </w:p>
        </w:tc>
        <w:tc>
          <w:tcPr>
            <w:tcW w:w="831" w:type="pct"/>
            <w:tcBorders>
              <w:righ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DQG-A</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3</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sz w:val="21"/>
                <w:szCs w:val="21"/>
              </w:rPr>
              <w:t>圆盘锯</w:t>
            </w:r>
          </w:p>
        </w:tc>
        <w:tc>
          <w:tcPr>
            <w:tcW w:w="831" w:type="pct"/>
            <w:tcBorders>
              <w:righ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WZD-A</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4</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气动打磨机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B9203a</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5</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sz w:val="21"/>
                <w:szCs w:val="21"/>
              </w:rPr>
              <w:t>大型数控</w:t>
            </w:r>
            <w:r>
              <w:rPr>
                <w:rFonts w:hint="eastAsia"/>
                <w:sz w:val="21"/>
                <w:szCs w:val="21"/>
              </w:rPr>
              <w:t>螺栓球车床</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BT40</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6台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6台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6</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全自动网架焊接机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WJRD</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5台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5台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7</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H型钢自动点焊组立机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ZL-20</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8</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龙门式焊接机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MK6G</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9</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H型钢翼缘液压矫正机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HYJ-60A</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sz w:val="21"/>
                <w:szCs w:val="21"/>
              </w:rPr>
            </w:pPr>
            <w:r>
              <w:rPr>
                <w:rFonts w:hint="eastAsia"/>
                <w:sz w:val="21"/>
                <w:szCs w:val="21"/>
              </w:rPr>
              <w:t>10</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数控管相贯切割机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11</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rFonts w:hint="eastAsia"/>
                <w:sz w:val="21"/>
                <w:szCs w:val="21"/>
              </w:rPr>
              <w:t>焊机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500A</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50台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50台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12</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sz w:val="21"/>
                <w:szCs w:val="21"/>
              </w:rPr>
            </w:pPr>
            <w:r>
              <w:rPr>
                <w:sz w:val="21"/>
                <w:szCs w:val="21"/>
              </w:rPr>
              <w:t>抛丸机</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13</w:t>
            </w:r>
          </w:p>
        </w:tc>
        <w:tc>
          <w:tcPr>
            <w:tcW w:w="601" w:type="pct"/>
            <w:vMerge w:val="restart"/>
            <w:tcBorders>
              <w:tl2br w:val="nil"/>
              <w:tr2bl w:val="nil"/>
            </w:tcBorders>
            <w:vAlign w:val="center"/>
          </w:tcPr>
          <w:p>
            <w:pPr>
              <w:spacing w:line="240" w:lineRule="auto"/>
              <w:ind w:left="0" w:leftChars="0" w:firstLine="210" w:firstLineChars="100"/>
              <w:jc w:val="both"/>
              <w:rPr>
                <w:sz w:val="21"/>
                <w:szCs w:val="21"/>
              </w:rPr>
            </w:pPr>
            <w:r>
              <w:rPr>
                <w:sz w:val="21"/>
                <w:szCs w:val="21"/>
              </w:rPr>
              <w:t>喷漆</w:t>
            </w:r>
          </w:p>
        </w:tc>
        <w:tc>
          <w:tcPr>
            <w:tcW w:w="1496" w:type="pct"/>
            <w:tcBorders>
              <w:tl2br w:val="nil"/>
              <w:tr2bl w:val="nil"/>
            </w:tcBorders>
            <w:vAlign w:val="center"/>
          </w:tcPr>
          <w:p>
            <w:pPr>
              <w:spacing w:line="240" w:lineRule="auto"/>
              <w:ind w:firstLine="480"/>
              <w:jc w:val="center"/>
              <w:rPr>
                <w:sz w:val="21"/>
                <w:szCs w:val="21"/>
              </w:rPr>
            </w:pPr>
            <w:r>
              <w:rPr>
                <w:sz w:val="21"/>
                <w:szCs w:val="21"/>
              </w:rPr>
              <w:t>喷漆</w:t>
            </w:r>
            <w:r>
              <w:rPr>
                <w:rFonts w:hint="eastAsia"/>
                <w:sz w:val="21"/>
                <w:szCs w:val="21"/>
              </w:rPr>
              <w:t>手动</w:t>
            </w:r>
            <w:r>
              <w:rPr>
                <w:sz w:val="21"/>
                <w:szCs w:val="21"/>
              </w:rPr>
              <w:t>生产线</w:t>
            </w:r>
          </w:p>
        </w:tc>
        <w:tc>
          <w:tcPr>
            <w:tcW w:w="831"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GH833</w:t>
            </w:r>
          </w:p>
        </w:tc>
        <w:tc>
          <w:tcPr>
            <w:tcW w:w="915"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1条</w:t>
            </w:r>
          </w:p>
        </w:tc>
        <w:tc>
          <w:tcPr>
            <w:tcW w:w="777" w:type="pct"/>
            <w:tcBorders>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1条</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622"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14</w:t>
            </w:r>
          </w:p>
        </w:tc>
        <w:tc>
          <w:tcPr>
            <w:tcW w:w="601" w:type="pct"/>
            <w:vMerge w:val="continue"/>
            <w:tcBorders>
              <w:tl2br w:val="nil"/>
              <w:tr2bl w:val="nil"/>
            </w:tcBorders>
            <w:vAlign w:val="center"/>
          </w:tcPr>
          <w:p>
            <w:pPr>
              <w:spacing w:line="240" w:lineRule="auto"/>
              <w:ind w:firstLine="480"/>
              <w:jc w:val="center"/>
              <w:rPr>
                <w:sz w:val="21"/>
                <w:szCs w:val="21"/>
              </w:rPr>
            </w:pPr>
          </w:p>
        </w:tc>
        <w:tc>
          <w:tcPr>
            <w:tcW w:w="1496" w:type="pct"/>
            <w:tcBorders>
              <w:tl2br w:val="nil"/>
              <w:tr2bl w:val="nil"/>
            </w:tcBorders>
            <w:vAlign w:val="center"/>
          </w:tcPr>
          <w:p>
            <w:pPr>
              <w:spacing w:line="240" w:lineRule="auto"/>
              <w:ind w:firstLine="480"/>
              <w:jc w:val="center"/>
              <w:rPr>
                <w:color w:val="FF0000"/>
                <w:sz w:val="21"/>
                <w:szCs w:val="21"/>
              </w:rPr>
            </w:pPr>
            <w:r>
              <w:rPr>
                <w:color w:val="FF0000"/>
                <w:sz w:val="21"/>
                <w:szCs w:val="21"/>
              </w:rPr>
              <w:t>喷漆</w:t>
            </w:r>
            <w:r>
              <w:rPr>
                <w:rFonts w:hint="eastAsia"/>
                <w:color w:val="FF0000"/>
                <w:sz w:val="21"/>
                <w:szCs w:val="21"/>
              </w:rPr>
              <w:t>-流平-</w:t>
            </w:r>
            <w:r>
              <w:rPr>
                <w:color w:val="FF0000"/>
                <w:sz w:val="21"/>
                <w:szCs w:val="21"/>
              </w:rPr>
              <w:t>烘干</w:t>
            </w:r>
            <w:r>
              <w:rPr>
                <w:rFonts w:hint="eastAsia"/>
                <w:color w:val="FF0000"/>
                <w:sz w:val="21"/>
                <w:szCs w:val="21"/>
              </w:rPr>
              <w:t>一体化自动线</w:t>
            </w:r>
          </w:p>
        </w:tc>
        <w:tc>
          <w:tcPr>
            <w:tcW w:w="831" w:type="pct"/>
            <w:tcBorders>
              <w:right w:val="single" w:color="auto" w:sz="4" w:space="0"/>
              <w:tl2br w:val="nil"/>
              <w:tr2bl w:val="nil"/>
            </w:tcBorders>
            <w:vAlign w:val="center"/>
          </w:tcPr>
          <w:p>
            <w:pPr>
              <w:spacing w:line="240" w:lineRule="auto"/>
              <w:ind w:left="0" w:leftChars="0" w:firstLine="0" w:firstLineChars="0"/>
              <w:jc w:val="center"/>
              <w:rPr>
                <w:rFonts w:hint="eastAsia"/>
                <w:color w:val="FF0000"/>
                <w:sz w:val="21"/>
                <w:szCs w:val="21"/>
              </w:rPr>
            </w:pPr>
            <w:r>
              <w:rPr>
                <w:rFonts w:hint="eastAsia"/>
                <w:color w:val="FF0000"/>
                <w:sz w:val="21"/>
                <w:szCs w:val="21"/>
              </w:rPr>
              <w:t>YBK 315W-1</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color w:val="FF0000"/>
                <w:sz w:val="21"/>
                <w:szCs w:val="21"/>
              </w:rPr>
            </w:pPr>
            <w:r>
              <w:rPr>
                <w:rFonts w:hint="eastAsia"/>
                <w:color w:val="FF0000"/>
                <w:sz w:val="21"/>
                <w:szCs w:val="21"/>
              </w:rPr>
              <w:t>1条</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color w:val="FF0000"/>
                <w:sz w:val="21"/>
                <w:szCs w:val="21"/>
              </w:rPr>
            </w:pPr>
            <w:r>
              <w:rPr>
                <w:rFonts w:hint="eastAsia"/>
                <w:color w:val="FF0000"/>
                <w:sz w:val="21"/>
                <w:szCs w:val="21"/>
              </w:rPr>
              <w:t>0</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5000" w:type="pct"/>
            <w:gridSpan w:val="6"/>
            <w:tcBorders>
              <w:tl2br w:val="nil"/>
              <w:tr2bl w:val="nil"/>
            </w:tcBorders>
            <w:vAlign w:val="center"/>
          </w:tcPr>
          <w:p>
            <w:pPr>
              <w:spacing w:line="240" w:lineRule="auto"/>
              <w:ind w:left="0" w:leftChars="0" w:firstLine="210" w:firstLineChars="100"/>
              <w:jc w:val="center"/>
              <w:rPr>
                <w:rFonts w:hint="eastAsia"/>
                <w:sz w:val="21"/>
                <w:szCs w:val="21"/>
              </w:rPr>
            </w:pPr>
            <w:r>
              <w:rPr>
                <w:rFonts w:hint="eastAsia"/>
                <w:sz w:val="21"/>
                <w:szCs w:val="21"/>
              </w:rPr>
              <w:t>公用设施</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w:t>
            </w:r>
          </w:p>
        </w:tc>
        <w:tc>
          <w:tcPr>
            <w:tcW w:w="2098" w:type="pct"/>
            <w:gridSpan w:val="2"/>
            <w:tcBorders>
              <w:tl2br w:val="nil"/>
              <w:tr2bl w:val="nil"/>
            </w:tcBorders>
            <w:vAlign w:val="center"/>
          </w:tcPr>
          <w:p>
            <w:pPr>
              <w:spacing w:line="240" w:lineRule="auto"/>
              <w:ind w:firstLine="480"/>
              <w:jc w:val="center"/>
              <w:rPr>
                <w:sz w:val="21"/>
                <w:szCs w:val="21"/>
              </w:rPr>
            </w:pPr>
            <w:r>
              <w:rPr>
                <w:sz w:val="21"/>
                <w:szCs w:val="21"/>
              </w:rPr>
              <w:t>空压机</w:t>
            </w:r>
          </w:p>
        </w:tc>
        <w:tc>
          <w:tcPr>
            <w:tcW w:w="831" w:type="pct"/>
            <w:tcBorders>
              <w:right w:val="single" w:color="auto" w:sz="4" w:space="0"/>
              <w:tl2br w:val="nil"/>
              <w:tr2bl w:val="nil"/>
            </w:tcBorders>
            <w:vAlign w:val="center"/>
          </w:tcPr>
          <w:p>
            <w:pPr>
              <w:spacing w:line="240" w:lineRule="auto"/>
              <w:ind w:left="0" w:leftChars="0" w:firstLine="210" w:firstLineChars="100"/>
              <w:jc w:val="both"/>
              <w:rPr>
                <w:sz w:val="21"/>
                <w:szCs w:val="21"/>
              </w:rPr>
            </w:pPr>
            <w:r>
              <w:rPr>
                <w:rFonts w:hint="eastAsia"/>
                <w:sz w:val="21"/>
                <w:szCs w:val="21"/>
              </w:rPr>
              <w:t>4.2</w:t>
            </w:r>
            <w:r>
              <w:rPr>
                <w:sz w:val="21"/>
                <w:szCs w:val="21"/>
              </w:rPr>
              <w:t>m</w:t>
            </w:r>
            <w:r>
              <w:rPr>
                <w:sz w:val="21"/>
                <w:szCs w:val="21"/>
                <w:vertAlign w:val="superscript"/>
              </w:rPr>
              <w:t>3</w:t>
            </w:r>
            <w:r>
              <w:rPr>
                <w:sz w:val="21"/>
                <w:szCs w:val="21"/>
              </w:rPr>
              <w:t>/h</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2台</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2</w:t>
            </w:r>
          </w:p>
        </w:tc>
        <w:tc>
          <w:tcPr>
            <w:tcW w:w="2098" w:type="pct"/>
            <w:gridSpan w:val="2"/>
            <w:tcBorders>
              <w:tl2br w:val="nil"/>
              <w:tr2bl w:val="nil"/>
            </w:tcBorders>
            <w:vAlign w:val="center"/>
          </w:tcPr>
          <w:p>
            <w:pPr>
              <w:spacing w:line="240" w:lineRule="auto"/>
              <w:ind w:firstLine="480"/>
              <w:jc w:val="center"/>
              <w:rPr>
                <w:color w:val="FF0000"/>
                <w:sz w:val="21"/>
                <w:szCs w:val="21"/>
              </w:rPr>
            </w:pPr>
            <w:r>
              <w:rPr>
                <w:rFonts w:hint="eastAsia"/>
                <w:color w:val="FF0000"/>
                <w:sz w:val="21"/>
                <w:szCs w:val="21"/>
              </w:rPr>
              <w:t>热风炉</w:t>
            </w:r>
          </w:p>
        </w:tc>
        <w:tc>
          <w:tcPr>
            <w:tcW w:w="831" w:type="pct"/>
            <w:tcBorders>
              <w:right w:val="single" w:color="auto" w:sz="4" w:space="0"/>
              <w:tl2br w:val="nil"/>
              <w:tr2bl w:val="nil"/>
            </w:tcBorders>
            <w:vAlign w:val="center"/>
          </w:tcPr>
          <w:p>
            <w:pPr>
              <w:spacing w:line="240" w:lineRule="auto"/>
              <w:ind w:left="0" w:leftChars="0" w:firstLine="210" w:firstLineChars="100"/>
              <w:jc w:val="both"/>
              <w:rPr>
                <w:color w:val="FF0000"/>
                <w:sz w:val="21"/>
                <w:szCs w:val="21"/>
              </w:rPr>
            </w:pPr>
            <w:r>
              <w:rPr>
                <w:rFonts w:hint="eastAsia"/>
                <w:color w:val="FF0000"/>
                <w:sz w:val="21"/>
                <w:szCs w:val="21"/>
              </w:rPr>
              <w:t>XBSFD-300</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color w:val="FF0000"/>
                <w:sz w:val="21"/>
                <w:szCs w:val="21"/>
              </w:rPr>
            </w:pPr>
            <w:r>
              <w:rPr>
                <w:rFonts w:hint="eastAsia"/>
                <w:color w:val="FF0000"/>
                <w:sz w:val="21"/>
                <w:szCs w:val="21"/>
              </w:rPr>
              <w:t>1台</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color w:val="FF0000"/>
                <w:sz w:val="21"/>
                <w:szCs w:val="21"/>
              </w:rPr>
            </w:pPr>
            <w:r>
              <w:rPr>
                <w:rFonts w:hint="eastAsia"/>
                <w:color w:val="FF0000"/>
                <w:sz w:val="21"/>
                <w:szCs w:val="21"/>
              </w:rPr>
              <w:t>0</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340" w:hRule="exact"/>
          <w:jc w:val="center"/>
        </w:trPr>
        <w:tc>
          <w:tcPr>
            <w:tcW w:w="5000" w:type="pct"/>
            <w:gridSpan w:val="6"/>
            <w:tcBorders>
              <w:tl2br w:val="nil"/>
              <w:tr2bl w:val="nil"/>
            </w:tcBorders>
            <w:vAlign w:val="center"/>
          </w:tcPr>
          <w:p>
            <w:pPr>
              <w:spacing w:line="240" w:lineRule="auto"/>
              <w:ind w:left="0" w:leftChars="0" w:firstLine="210" w:firstLineChars="100"/>
              <w:jc w:val="center"/>
              <w:rPr>
                <w:rFonts w:hint="eastAsia"/>
                <w:sz w:val="21"/>
                <w:szCs w:val="21"/>
              </w:rPr>
            </w:pPr>
            <w:r>
              <w:rPr>
                <w:rFonts w:hint="eastAsia"/>
                <w:sz w:val="21"/>
                <w:szCs w:val="21"/>
              </w:rPr>
              <w:t>环保设施</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743"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1</w:t>
            </w:r>
          </w:p>
        </w:tc>
        <w:tc>
          <w:tcPr>
            <w:tcW w:w="601" w:type="pct"/>
            <w:vMerge w:val="restart"/>
            <w:tcBorders>
              <w:tl2br w:val="nil"/>
              <w:tr2bl w:val="nil"/>
            </w:tcBorders>
            <w:vAlign w:val="center"/>
          </w:tcPr>
          <w:p>
            <w:pPr>
              <w:spacing w:line="240" w:lineRule="auto"/>
              <w:ind w:left="0" w:leftChars="0" w:firstLine="0" w:firstLineChars="0"/>
              <w:jc w:val="both"/>
              <w:rPr>
                <w:sz w:val="21"/>
                <w:szCs w:val="21"/>
              </w:rPr>
            </w:pPr>
            <w:r>
              <w:rPr>
                <w:sz w:val="21"/>
                <w:szCs w:val="21"/>
              </w:rPr>
              <w:t>废气处理系统</w:t>
            </w:r>
          </w:p>
        </w:tc>
        <w:tc>
          <w:tcPr>
            <w:tcW w:w="2328" w:type="pct"/>
            <w:gridSpan w:val="2"/>
            <w:tcBorders>
              <w:right w:val="single" w:color="auto" w:sz="4" w:space="0"/>
              <w:tl2br w:val="nil"/>
              <w:tr2bl w:val="nil"/>
            </w:tcBorders>
            <w:vAlign w:val="center"/>
          </w:tcPr>
          <w:p>
            <w:pPr>
              <w:spacing w:line="240" w:lineRule="auto"/>
              <w:ind w:firstLine="480"/>
              <w:jc w:val="center"/>
              <w:rPr>
                <w:sz w:val="21"/>
                <w:szCs w:val="21"/>
              </w:rPr>
            </w:pPr>
            <w:r>
              <w:rPr>
                <w:rFonts w:hint="eastAsia"/>
                <w:sz w:val="21"/>
                <w:szCs w:val="21"/>
              </w:rPr>
              <w:t>下料切割、焊接工序8套滤筒</w:t>
            </w:r>
            <w:r>
              <w:rPr>
                <w:sz w:val="21"/>
                <w:szCs w:val="21"/>
              </w:rPr>
              <w:t>除尘器</w:t>
            </w:r>
            <w:r>
              <w:rPr>
                <w:rFonts w:hint="eastAsia"/>
                <w:sz w:val="21"/>
                <w:szCs w:val="21"/>
              </w:rPr>
              <w:t>（TA001~TA008）</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8套</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8套</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769"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2</w:t>
            </w:r>
          </w:p>
        </w:tc>
        <w:tc>
          <w:tcPr>
            <w:tcW w:w="601" w:type="pct"/>
            <w:vMerge w:val="continue"/>
            <w:tcBorders>
              <w:tl2br w:val="nil"/>
              <w:tr2bl w:val="nil"/>
            </w:tcBorders>
            <w:vAlign w:val="center"/>
          </w:tcPr>
          <w:p>
            <w:pPr>
              <w:spacing w:line="240" w:lineRule="auto"/>
              <w:ind w:firstLine="480"/>
              <w:jc w:val="center"/>
              <w:rPr>
                <w:sz w:val="21"/>
                <w:szCs w:val="21"/>
              </w:rPr>
            </w:pPr>
          </w:p>
        </w:tc>
        <w:tc>
          <w:tcPr>
            <w:tcW w:w="2328" w:type="pct"/>
            <w:gridSpan w:val="2"/>
            <w:tcBorders>
              <w:right w:val="single" w:color="auto" w:sz="4" w:space="0"/>
              <w:tl2br w:val="nil"/>
              <w:tr2bl w:val="nil"/>
            </w:tcBorders>
            <w:vAlign w:val="center"/>
          </w:tcPr>
          <w:p>
            <w:pPr>
              <w:spacing w:line="240" w:lineRule="auto"/>
              <w:ind w:firstLine="480"/>
              <w:jc w:val="center"/>
              <w:rPr>
                <w:sz w:val="21"/>
                <w:szCs w:val="21"/>
              </w:rPr>
            </w:pPr>
            <w:r>
              <w:rPr>
                <w:rFonts w:hint="eastAsia"/>
                <w:sz w:val="21"/>
                <w:szCs w:val="21"/>
              </w:rPr>
              <w:t>抛丸设备自动3套滤筒</w:t>
            </w:r>
            <w:r>
              <w:rPr>
                <w:sz w:val="21"/>
                <w:szCs w:val="21"/>
              </w:rPr>
              <w:t>除尘器</w:t>
            </w:r>
            <w:r>
              <w:rPr>
                <w:rFonts w:hint="eastAsia"/>
                <w:sz w:val="21"/>
                <w:szCs w:val="21"/>
              </w:rPr>
              <w:t>（TA009~TA011）</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3套</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3套</w:t>
            </w:r>
          </w:p>
        </w:tc>
      </w:tr>
      <w:tr>
        <w:tblPrEx>
          <w:tblBorders>
            <w:top w:val="single" w:color="000000" w:sz="12" w:space="0"/>
            <w:left w:val="single" w:color="000000" w:sz="6" w:space="0"/>
            <w:bottom w:val="single" w:color="000000" w:sz="12" w:space="0"/>
            <w:right w:val="single" w:color="000000" w:sz="6" w:space="0"/>
            <w:insideH w:val="single" w:color="000000" w:sz="4" w:space="0"/>
            <w:insideV w:val="single" w:color="000000" w:sz="4" w:space="0"/>
          </w:tblBorders>
          <w:tblCellMar>
            <w:top w:w="0" w:type="dxa"/>
            <w:left w:w="108" w:type="dxa"/>
            <w:bottom w:w="0" w:type="dxa"/>
            <w:right w:w="108" w:type="dxa"/>
          </w:tblCellMar>
        </w:tblPrEx>
        <w:trPr>
          <w:trHeight w:val="598" w:hRule="exact"/>
          <w:jc w:val="center"/>
        </w:trPr>
        <w:tc>
          <w:tcPr>
            <w:tcW w:w="376" w:type="pct"/>
            <w:tcBorders>
              <w:tl2br w:val="nil"/>
              <w:tr2bl w:val="nil"/>
            </w:tcBorders>
            <w:vAlign w:val="center"/>
          </w:tcPr>
          <w:p>
            <w:pPr>
              <w:spacing w:line="240" w:lineRule="auto"/>
              <w:ind w:left="0" w:leftChars="0" w:firstLine="210" w:firstLineChars="100"/>
              <w:jc w:val="both"/>
              <w:rPr>
                <w:rFonts w:hint="eastAsia"/>
                <w:sz w:val="21"/>
                <w:szCs w:val="21"/>
              </w:rPr>
            </w:pPr>
            <w:r>
              <w:rPr>
                <w:rFonts w:hint="eastAsia"/>
                <w:sz w:val="21"/>
                <w:szCs w:val="21"/>
              </w:rPr>
              <w:t>3</w:t>
            </w:r>
          </w:p>
        </w:tc>
        <w:tc>
          <w:tcPr>
            <w:tcW w:w="601" w:type="pct"/>
            <w:vMerge w:val="continue"/>
            <w:tcBorders>
              <w:tl2br w:val="nil"/>
              <w:tr2bl w:val="nil"/>
            </w:tcBorders>
            <w:vAlign w:val="center"/>
          </w:tcPr>
          <w:p>
            <w:pPr>
              <w:spacing w:line="240" w:lineRule="auto"/>
              <w:ind w:firstLine="480"/>
              <w:jc w:val="center"/>
              <w:rPr>
                <w:sz w:val="21"/>
                <w:szCs w:val="21"/>
              </w:rPr>
            </w:pPr>
          </w:p>
        </w:tc>
        <w:tc>
          <w:tcPr>
            <w:tcW w:w="2328" w:type="pct"/>
            <w:gridSpan w:val="2"/>
            <w:tcBorders>
              <w:right w:val="single" w:color="auto" w:sz="4" w:space="0"/>
              <w:tl2br w:val="nil"/>
              <w:tr2bl w:val="nil"/>
            </w:tcBorders>
            <w:vAlign w:val="center"/>
          </w:tcPr>
          <w:p>
            <w:pPr>
              <w:spacing w:line="240" w:lineRule="auto"/>
              <w:ind w:firstLine="480"/>
              <w:jc w:val="center"/>
              <w:rPr>
                <w:sz w:val="21"/>
                <w:szCs w:val="21"/>
              </w:rPr>
            </w:pPr>
            <w:r>
              <w:rPr>
                <w:rFonts w:hint="eastAsia"/>
                <w:sz w:val="21"/>
                <w:szCs w:val="21"/>
              </w:rPr>
              <w:t>喷涂工序1套</w:t>
            </w:r>
            <w:r>
              <w:rPr>
                <w:sz w:val="21"/>
                <w:szCs w:val="21"/>
              </w:rPr>
              <w:t>干式过滤+活性炭吸附/脱附+催化燃烧</w:t>
            </w:r>
            <w:r>
              <w:rPr>
                <w:rFonts w:hint="eastAsia"/>
                <w:sz w:val="21"/>
                <w:szCs w:val="21"/>
              </w:rPr>
              <w:t>（TA011）</w:t>
            </w:r>
          </w:p>
        </w:tc>
        <w:tc>
          <w:tcPr>
            <w:tcW w:w="915"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1套</w:t>
            </w:r>
          </w:p>
        </w:tc>
        <w:tc>
          <w:tcPr>
            <w:tcW w:w="777" w:type="pct"/>
            <w:tcBorders>
              <w:left w:val="single" w:color="auto" w:sz="4" w:space="0"/>
              <w:tl2br w:val="nil"/>
              <w:tr2bl w:val="nil"/>
            </w:tcBorders>
            <w:vAlign w:val="center"/>
          </w:tcPr>
          <w:p>
            <w:pPr>
              <w:spacing w:line="240" w:lineRule="auto"/>
              <w:ind w:left="0" w:leftChars="0" w:firstLine="0" w:firstLineChars="0"/>
              <w:jc w:val="center"/>
              <w:rPr>
                <w:rFonts w:hint="eastAsia"/>
                <w:sz w:val="21"/>
                <w:szCs w:val="21"/>
              </w:rPr>
            </w:pPr>
            <w:r>
              <w:rPr>
                <w:rFonts w:hint="eastAsia"/>
                <w:sz w:val="21"/>
                <w:szCs w:val="21"/>
              </w:rPr>
              <w:t>1套</w:t>
            </w:r>
          </w:p>
        </w:tc>
      </w:tr>
    </w:tbl>
    <w:p>
      <w:pPr>
        <w:ind w:firstLine="480"/>
      </w:pPr>
      <w:r>
        <w:rPr>
          <w:rFonts w:hint="eastAsia"/>
        </w:rPr>
        <w:t>由上表可知，项目实际生产设备与环评报告不一致，主要由于</w:t>
      </w:r>
      <w:r>
        <w:t>项目</w:t>
      </w:r>
      <w:r>
        <w:rPr>
          <w:rFonts w:hint="eastAsia"/>
        </w:rPr>
        <w:t>喷漆自动化区（喷漆-流平-烘干一体自动线区）未建设</w:t>
      </w:r>
      <w:r>
        <w:t>。</w:t>
      </w:r>
    </w:p>
    <w:p>
      <w:pPr>
        <w:pStyle w:val="67"/>
        <w:ind w:firstLine="482"/>
      </w:pPr>
      <w:r>
        <w:rPr>
          <w:rFonts w:hint="eastAsia"/>
        </w:rPr>
        <w:t>3.2.5主要原辅材料消耗情况</w:t>
      </w:r>
    </w:p>
    <w:p>
      <w:pPr>
        <w:ind w:firstLine="480"/>
      </w:pPr>
      <w:r>
        <w:rPr>
          <w:rFonts w:hint="eastAsia"/>
        </w:rPr>
        <w:t>项目主要原辅料如下表。</w:t>
      </w:r>
    </w:p>
    <w:p>
      <w:pPr>
        <w:ind w:firstLine="480"/>
      </w:pPr>
    </w:p>
    <w:p>
      <w:pPr>
        <w:ind w:firstLine="480"/>
        <w:jc w:val="center"/>
        <w:rPr>
          <w:b/>
          <w:bCs/>
          <w:sz w:val="24"/>
          <w:szCs w:val="24"/>
        </w:rPr>
      </w:pPr>
      <w:r>
        <w:rPr>
          <w:b/>
          <w:bCs/>
          <w:sz w:val="24"/>
          <w:szCs w:val="24"/>
        </w:rPr>
        <w:t>表</w:t>
      </w:r>
      <w:r>
        <w:rPr>
          <w:rFonts w:hint="eastAsia"/>
          <w:b/>
          <w:bCs/>
          <w:sz w:val="24"/>
          <w:szCs w:val="24"/>
        </w:rPr>
        <w:t>3.2</w:t>
      </w:r>
      <w:r>
        <w:rPr>
          <w:b/>
          <w:bCs/>
          <w:sz w:val="24"/>
          <w:szCs w:val="24"/>
        </w:rPr>
        <w:t>-</w:t>
      </w:r>
      <w:r>
        <w:rPr>
          <w:rFonts w:hint="eastAsia"/>
          <w:b/>
          <w:bCs/>
          <w:sz w:val="24"/>
          <w:szCs w:val="24"/>
          <w:lang w:val="en-US" w:eastAsia="zh-CN"/>
        </w:rPr>
        <w:t>5</w:t>
      </w:r>
      <w:r>
        <w:rPr>
          <w:b/>
          <w:bCs/>
          <w:sz w:val="24"/>
          <w:szCs w:val="24"/>
        </w:rPr>
        <w:t xml:space="preserve"> </w:t>
      </w:r>
      <w:bookmarkStart w:id="13" w:name="_Hlk118806199"/>
      <w:r>
        <w:rPr>
          <w:b/>
          <w:bCs/>
          <w:sz w:val="24"/>
          <w:szCs w:val="24"/>
        </w:rPr>
        <w:t xml:space="preserve">  </w:t>
      </w:r>
      <w:r>
        <w:rPr>
          <w:rFonts w:hint="eastAsia"/>
          <w:b/>
          <w:bCs/>
          <w:sz w:val="24"/>
          <w:szCs w:val="24"/>
        </w:rPr>
        <w:t>项目</w:t>
      </w:r>
      <w:r>
        <w:rPr>
          <w:b/>
          <w:bCs/>
          <w:sz w:val="24"/>
          <w:szCs w:val="24"/>
        </w:rPr>
        <w:t>主要原辅材料消耗表</w:t>
      </w:r>
    </w:p>
    <w:tbl>
      <w:tblPr>
        <w:tblStyle w:val="43"/>
        <w:tblW w:w="5015" w:type="pct"/>
        <w:tblInd w:w="0" w:type="dxa"/>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Layout w:type="autofit"/>
        <w:tblCellMar>
          <w:top w:w="0" w:type="dxa"/>
          <w:left w:w="0" w:type="dxa"/>
          <w:bottom w:w="0" w:type="dxa"/>
          <w:right w:w="0" w:type="dxa"/>
        </w:tblCellMar>
      </w:tblPr>
      <w:tblGrid>
        <w:gridCol w:w="312"/>
        <w:gridCol w:w="621"/>
        <w:gridCol w:w="1220"/>
        <w:gridCol w:w="2321"/>
        <w:gridCol w:w="666"/>
        <w:gridCol w:w="1106"/>
        <w:gridCol w:w="893"/>
        <w:gridCol w:w="596"/>
        <w:gridCol w:w="609"/>
      </w:tblGrid>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27" w:hRule="atLeast"/>
          <w:tblHeader/>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序号</w:t>
            </w: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材料名称</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主要成分</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单位</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最大暂存量</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包装方式</w:t>
            </w:r>
            <w:r>
              <w:rPr>
                <w:rFonts w:hint="eastAsia" w:hAnsi="宋体"/>
                <w:color w:val="auto"/>
                <w:sz w:val="21"/>
                <w:szCs w:val="21"/>
              </w:rPr>
              <w:t>/规格</w:t>
            </w:r>
          </w:p>
        </w:tc>
        <w:tc>
          <w:tcPr>
            <w:tcW w:w="357" w:type="pct"/>
            <w:tcBorders>
              <w:left w:val="single" w:color="auto" w:sz="4" w:space="0"/>
              <w:right w:val="single" w:color="auto" w:sz="4" w:space="0"/>
              <w:tl2br w:val="nil"/>
              <w:tr2bl w:val="nil"/>
            </w:tcBorders>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环评报告年耗量</w:t>
            </w:r>
          </w:p>
        </w:tc>
        <w:tc>
          <w:tcPr>
            <w:tcW w:w="360" w:type="pct"/>
            <w:tcBorders>
              <w:left w:val="single" w:color="auto" w:sz="4" w:space="0"/>
              <w:right w:val="single" w:color="auto" w:sz="4" w:space="0"/>
              <w:tl2br w:val="nil"/>
              <w:tr2bl w:val="nil"/>
            </w:tcBorders>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实际年耗量</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5000" w:type="pct"/>
            <w:gridSpan w:val="9"/>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生产原料</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1</w:t>
            </w: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钢板</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铁</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750</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散装</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701</w:t>
            </w:r>
            <w:r>
              <w:rPr>
                <w:rFonts w:hint="default" w:hAnsi="宋体"/>
                <w:color w:val="auto"/>
                <w:sz w:val="21"/>
                <w:szCs w:val="21"/>
              </w:rPr>
              <w:t>0</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701</w:t>
            </w:r>
            <w:r>
              <w:rPr>
                <w:rFonts w:hint="default" w:hAnsi="宋体"/>
                <w:color w:val="auto"/>
                <w:sz w:val="21"/>
                <w:szCs w:val="21"/>
              </w:rPr>
              <w:t>0</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钢管</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铁</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5</w:t>
            </w:r>
            <w:r>
              <w:rPr>
                <w:rFonts w:hint="eastAsia" w:hAnsi="宋体"/>
                <w:color w:val="auto"/>
                <w:sz w:val="21"/>
                <w:szCs w:val="21"/>
              </w:rPr>
              <w:t>00</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散装</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3010</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3010</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w:t>
            </w:r>
          </w:p>
        </w:tc>
        <w:tc>
          <w:tcPr>
            <w:tcW w:w="372"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机加工</w:t>
            </w: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焊材</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C、Mn、Si等</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5</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3</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钢丸</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C、Mn、Si等</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2.5</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25</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25</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4</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液压油</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基础油、添加剂等</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0.2</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701</w:t>
            </w:r>
            <w:r>
              <w:rPr>
                <w:rFonts w:hint="default" w:hAnsi="宋体"/>
                <w:color w:val="auto"/>
                <w:sz w:val="21"/>
                <w:szCs w:val="21"/>
              </w:rPr>
              <w:t>0</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5</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切削液</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hAnsi="宋体"/>
                <w:color w:val="auto"/>
                <w:sz w:val="21"/>
                <w:szCs w:val="21"/>
              </w:rPr>
            </w:pPr>
            <w:r>
              <w:rPr>
                <w:rFonts w:hint="default" w:hAnsi="宋体"/>
                <w:color w:val="auto"/>
                <w:sz w:val="21"/>
                <w:szCs w:val="21"/>
              </w:rPr>
              <w:t>矿物油、脂肪酸、乳化剂等</w:t>
            </w:r>
          </w:p>
        </w:tc>
        <w:tc>
          <w:tcPr>
            <w:tcW w:w="399"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0.5</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3010</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5</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6</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液氧</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0.005</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30</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5</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7</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液氩</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0.018</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25</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18.75</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18.75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8</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CO2</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0.01</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储罐，</w:t>
            </w:r>
            <w:r>
              <w:rPr>
                <w:rFonts w:hint="eastAsia" w:hAnsi="宋体"/>
                <w:color w:val="auto"/>
                <w:sz w:val="21"/>
                <w:szCs w:val="21"/>
              </w:rPr>
              <w:t>2.5L</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6.25</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6.25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452"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9</w:t>
            </w:r>
          </w:p>
        </w:tc>
        <w:tc>
          <w:tcPr>
            <w:tcW w:w="372"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喷漆</w:t>
            </w: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油性漆</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hAnsi="宋体"/>
                <w:color w:val="auto"/>
                <w:sz w:val="21"/>
                <w:szCs w:val="21"/>
              </w:rPr>
            </w:pPr>
            <w:r>
              <w:rPr>
                <w:rFonts w:hint="eastAsia" w:hAnsi="宋体"/>
                <w:color w:val="auto"/>
                <w:sz w:val="21"/>
                <w:szCs w:val="21"/>
              </w:rPr>
              <w:t>快干醇酸树脂、颜料、天然钡粉、物料防锈填料、二甲苯、防结皮剂、催干剂</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4</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桶装</w:t>
            </w:r>
            <w:r>
              <w:rPr>
                <w:rFonts w:hint="eastAsia" w:hAnsi="宋体"/>
                <w:color w:val="auto"/>
                <w:sz w:val="21"/>
                <w:szCs w:val="21"/>
              </w:rPr>
              <w:t>/22kg</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35</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35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1</w:t>
            </w:r>
            <w:r>
              <w:rPr>
                <w:rFonts w:hint="eastAsia" w:hAnsi="宋体"/>
                <w:color w:val="auto"/>
                <w:sz w:val="21"/>
                <w:szCs w:val="21"/>
              </w:rPr>
              <w:t>0</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稀释剂</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hAnsi="宋体"/>
                <w:color w:val="auto"/>
                <w:sz w:val="21"/>
                <w:szCs w:val="21"/>
              </w:rPr>
            </w:pPr>
            <w:r>
              <w:rPr>
                <w:rFonts w:hint="default" w:hAnsi="宋体"/>
                <w:color w:val="auto"/>
                <w:sz w:val="21"/>
                <w:szCs w:val="21"/>
              </w:rPr>
              <w:t>碳酸二甲酯、丙二醇甲醚</w:t>
            </w:r>
            <w:r>
              <w:rPr>
                <w:rFonts w:hint="eastAsia" w:hAnsi="宋体"/>
                <w:color w:val="auto"/>
                <w:sz w:val="21"/>
                <w:szCs w:val="21"/>
              </w:rPr>
              <w:t>、芳香烃类、正丁醇、异丁醇</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0.52</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桶装</w:t>
            </w:r>
            <w:r>
              <w:rPr>
                <w:rFonts w:hint="eastAsia" w:hAnsi="宋体"/>
                <w:color w:val="auto"/>
                <w:sz w:val="21"/>
                <w:szCs w:val="21"/>
              </w:rPr>
              <w:t>/180kg</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4.375</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4.375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1</w:t>
            </w:r>
            <w:r>
              <w:rPr>
                <w:rFonts w:hint="eastAsia" w:hAnsi="宋体"/>
                <w:color w:val="auto"/>
                <w:sz w:val="21"/>
                <w:szCs w:val="21"/>
              </w:rPr>
              <w:t>1</w:t>
            </w:r>
          </w:p>
        </w:tc>
        <w:tc>
          <w:tcPr>
            <w:tcW w:w="372"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p>
        </w:tc>
        <w:tc>
          <w:tcPr>
            <w:tcW w:w="73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水性漆</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hAnsi="宋体"/>
                <w:color w:val="auto"/>
                <w:sz w:val="21"/>
                <w:szCs w:val="21"/>
              </w:rPr>
            </w:pPr>
            <w:r>
              <w:rPr>
                <w:rFonts w:hint="eastAsia" w:hAnsi="宋体"/>
                <w:color w:val="auto"/>
                <w:sz w:val="21"/>
                <w:szCs w:val="21"/>
              </w:rPr>
              <w:t>醇酸树脂、二丙二醇丁醚、多功能助剂、水、多功能防锈料</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t/a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6</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桶装</w:t>
            </w:r>
            <w:r>
              <w:rPr>
                <w:rFonts w:hint="eastAsia" w:hAnsi="宋体"/>
                <w:color w:val="auto"/>
                <w:sz w:val="21"/>
                <w:szCs w:val="21"/>
              </w:rPr>
              <w:t>/22kg</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60</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60</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5000" w:type="pct"/>
            <w:gridSpan w:val="9"/>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能源消耗</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12</w:t>
            </w: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电</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w:t>
            </w:r>
          </w:p>
        </w:tc>
        <w:tc>
          <w:tcPr>
            <w:tcW w:w="399"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万kwh/a</w:t>
            </w:r>
          </w:p>
        </w:tc>
        <w:tc>
          <w:tcPr>
            <w:tcW w:w="663"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20</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20</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13</w:t>
            </w: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水</w:t>
            </w:r>
          </w:p>
        </w:tc>
        <w:tc>
          <w:tcPr>
            <w:tcW w:w="1391"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w:t>
            </w:r>
          </w:p>
        </w:tc>
        <w:tc>
          <w:tcPr>
            <w:tcW w:w="399"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t/a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535"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57"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1507.5</w:t>
            </w:r>
          </w:p>
        </w:tc>
        <w:tc>
          <w:tcPr>
            <w:tcW w:w="360" w:type="pct"/>
            <w:tcBorders>
              <w:left w:val="single" w:color="auto" w:sz="4" w:space="0"/>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1507.5</w:t>
            </w:r>
          </w:p>
        </w:tc>
      </w:tr>
      <w:tr>
        <w:tblPrEx>
          <w:tblBorders>
            <w:top w:val="single" w:color="000000" w:sz="12" w:space="0"/>
            <w:left w:val="single" w:color="000000" w:sz="6" w:space="0"/>
            <w:bottom w:val="single" w:color="000000" w:sz="12" w:space="0"/>
            <w:right w:val="single" w:color="000000" w:sz="6"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8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14</w:t>
            </w:r>
          </w:p>
        </w:tc>
        <w:tc>
          <w:tcPr>
            <w:tcW w:w="1103"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天然气</w:t>
            </w:r>
          </w:p>
        </w:tc>
        <w:tc>
          <w:tcPr>
            <w:tcW w:w="1391"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w:t>
            </w:r>
          </w:p>
        </w:tc>
        <w:tc>
          <w:tcPr>
            <w:tcW w:w="39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m3/a</w:t>
            </w:r>
          </w:p>
        </w:tc>
        <w:tc>
          <w:tcPr>
            <w:tcW w:w="663" w:type="pct"/>
            <w:tcBorders>
              <w:righ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535" w:type="pct"/>
            <w:tcBorders>
              <w:left w:val="single" w:color="auto" w:sz="4" w:space="0"/>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default" w:hAnsi="宋体"/>
                <w:color w:val="auto"/>
                <w:sz w:val="21"/>
                <w:szCs w:val="21"/>
              </w:rPr>
              <w:t>/</w:t>
            </w:r>
          </w:p>
        </w:tc>
        <w:tc>
          <w:tcPr>
            <w:tcW w:w="357"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5</w:t>
            </w:r>
            <w:r>
              <w:rPr>
                <w:rFonts w:hint="default" w:hAnsi="宋体"/>
                <w:color w:val="auto"/>
                <w:sz w:val="21"/>
                <w:szCs w:val="21"/>
              </w:rPr>
              <w:t>万</w:t>
            </w:r>
          </w:p>
        </w:tc>
        <w:tc>
          <w:tcPr>
            <w:tcW w:w="36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hAnsi="宋体"/>
                <w:color w:val="auto"/>
                <w:sz w:val="21"/>
                <w:szCs w:val="21"/>
              </w:rPr>
            </w:pPr>
            <w:r>
              <w:rPr>
                <w:rFonts w:hint="eastAsia" w:hAnsi="宋体"/>
                <w:color w:val="auto"/>
                <w:sz w:val="21"/>
                <w:szCs w:val="21"/>
              </w:rPr>
              <w:t>0</w:t>
            </w:r>
          </w:p>
        </w:tc>
      </w:tr>
      <w:bookmarkEnd w:id="13"/>
    </w:tbl>
    <w:p>
      <w:pPr>
        <w:ind w:firstLine="480"/>
      </w:pPr>
      <w:r>
        <w:rPr>
          <w:rFonts w:hint="eastAsia"/>
        </w:rPr>
        <w:t>由上表可知，项目实际原辅料用量与环评报告不一致，主要由于</w:t>
      </w:r>
      <w:r>
        <w:t>项目</w:t>
      </w:r>
      <w:r>
        <w:rPr>
          <w:rFonts w:hint="eastAsia"/>
        </w:rPr>
        <w:t>喷漆自动化区（喷漆-流平-烘干一体自动线区）未建设</w:t>
      </w:r>
      <w:r>
        <w:t>。</w:t>
      </w:r>
    </w:p>
    <w:p>
      <w:pPr>
        <w:pStyle w:val="67"/>
        <w:ind w:firstLine="482"/>
      </w:pPr>
      <w:r>
        <w:rPr>
          <w:rFonts w:hint="eastAsia"/>
        </w:rPr>
        <w:t>3.2.6水平衡</w:t>
      </w:r>
    </w:p>
    <w:p>
      <w:pPr>
        <w:ind w:firstLine="480"/>
      </w:pPr>
      <w:r>
        <w:rPr>
          <w:rFonts w:hint="eastAsia"/>
        </w:rPr>
        <w:t xml:space="preserve"> 项目废水主要为生活污水，废水量约4t/d。项目实际水平衡见下图。</w:t>
      </w:r>
    </w:p>
    <w:p>
      <w:pPr>
        <w:ind w:firstLine="480"/>
      </w:pPr>
    </w:p>
    <w:p>
      <w:pPr>
        <w:ind w:left="0" w:leftChars="0" w:firstLine="0" w:firstLineChars="0"/>
        <w:rPr>
          <w:b/>
          <w:bCs/>
        </w:rPr>
      </w:pPr>
      <w:r>
        <w:object>
          <v:shape id="_x0000_i1025" o:spt="75" type="#_x0000_t75" style="height:152.25pt;width:451.5pt;" o:ole="t" filled="f" o:preferrelative="t" stroked="f" coordsize="21600,21600">
            <v:path/>
            <v:fill on="f" focussize="0,0"/>
            <v:stroke on="f" joinstyle="miter"/>
            <v:imagedata r:id="rId21" o:title=""/>
            <o:lock v:ext="edit" aspectratio="f"/>
            <w10:wrap type="none"/>
            <w10:anchorlock/>
          </v:shape>
          <o:OLEObject Type="Embed" ProgID="Visio.Drawing.11" ShapeID="_x0000_i1025" DrawAspect="Content" ObjectID="_1468075725" r:id="rId20">
            <o:LockedField>false</o:LockedField>
          </o:OLEObject>
        </w:object>
      </w:r>
      <w:r>
        <w:rPr>
          <w:rFonts w:hint="eastAsia"/>
        </w:rPr>
        <w:t xml:space="preserve">          </w:t>
      </w:r>
      <w:r>
        <w:rPr>
          <w:rFonts w:hint="eastAsia"/>
          <w:lang w:val="en-US" w:eastAsia="zh-CN"/>
        </w:rPr>
        <w:t xml:space="preserve"> </w:t>
      </w:r>
      <w:r>
        <w:rPr>
          <w:rFonts w:hint="eastAsia"/>
        </w:rPr>
        <w:t xml:space="preserve">  </w:t>
      </w:r>
      <w:r>
        <w:rPr>
          <w:b/>
          <w:bCs/>
        </w:rPr>
        <w:t>图3.2-1项目</w:t>
      </w:r>
      <w:r>
        <w:rPr>
          <w:rFonts w:hint="eastAsia"/>
          <w:b/>
          <w:bCs/>
        </w:rPr>
        <w:t>实际</w:t>
      </w:r>
      <w:r>
        <w:rPr>
          <w:b/>
          <w:bCs/>
        </w:rPr>
        <w:t>用排水平衡图   单位：m³/d</w:t>
      </w:r>
    </w:p>
    <w:p>
      <w:pPr>
        <w:pStyle w:val="67"/>
        <w:ind w:firstLine="482"/>
      </w:pPr>
      <w:r>
        <w:rPr>
          <w:rFonts w:hint="eastAsia"/>
        </w:rPr>
        <w:t>3.2.7主要生产工艺及产污节点</w:t>
      </w:r>
    </w:p>
    <w:p>
      <w:pPr>
        <w:ind w:firstLine="480"/>
        <w:sectPr>
          <w:pgSz w:w="11906" w:h="16838"/>
          <w:pgMar w:top="1440" w:right="1800" w:bottom="1440" w:left="1800" w:header="851" w:footer="992" w:gutter="0"/>
          <w:cols w:space="425" w:num="1"/>
          <w:docGrid w:type="lines" w:linePitch="326" w:charSpace="0"/>
        </w:sectPr>
      </w:pPr>
      <w:r>
        <w:rPr>
          <w:rFonts w:ascii="Times New Roman" w:hAnsi="Times New Roman" w:cs="Times New Roman"/>
          <w:bCs/>
        </w:rPr>
        <w:t>项目</w:t>
      </w:r>
      <w:r>
        <w:rPr>
          <w:rFonts w:hint="eastAsia" w:ascii="Times New Roman" w:hAnsi="Times New Roman" w:cs="Times New Roman"/>
          <w:bCs/>
        </w:rPr>
        <w:t>生产</w:t>
      </w:r>
      <w:r>
        <w:rPr>
          <w:rFonts w:ascii="Times New Roman" w:hAnsi="Times New Roman" w:cs="Times New Roman"/>
          <w:bCs/>
        </w:rPr>
        <w:t>工艺主要包括机加工（下料、机加工、焊接、抛丸）及涂装（喷漆、</w:t>
      </w:r>
      <w:r>
        <w:rPr>
          <w:rFonts w:hint="eastAsia" w:ascii="Times New Roman" w:hAnsi="Times New Roman" w:cs="Times New Roman"/>
          <w:bCs/>
        </w:rPr>
        <w:t>晾干或者喷漆、流平、烘干</w:t>
      </w:r>
      <w:r>
        <w:rPr>
          <w:rFonts w:ascii="Times New Roman" w:hAnsi="Times New Roman" w:cs="Times New Roman"/>
          <w:bCs/>
        </w:rPr>
        <w:t>），根据现场踏勘，</w:t>
      </w:r>
      <w:r>
        <w:t>项目</w:t>
      </w:r>
      <w:r>
        <w:rPr>
          <w:rFonts w:hint="eastAsia"/>
        </w:rPr>
        <w:t>喷漆自动化区（喷漆-流平-烘干一体自动线区）未建设</w:t>
      </w:r>
      <w:r>
        <w:rPr>
          <w:rFonts w:hint="eastAsia"/>
          <w:lang w:val="en-US" w:eastAsia="zh-CN"/>
        </w:rPr>
        <w:t>，</w:t>
      </w:r>
      <w:r>
        <w:rPr>
          <w:rFonts w:hint="eastAsia"/>
        </w:rPr>
        <w:t>其他工艺流程及产污节点与环评报告一致。</w:t>
      </w:r>
    </w:p>
    <w:p>
      <w:pPr>
        <w:ind w:firstLine="480"/>
        <w:rPr>
          <w:rFonts w:ascii="Times New Roman" w:hAnsi="Times New Roman" w:cs="Times New Roman"/>
          <w:bCs/>
        </w:rPr>
      </w:pPr>
      <w:r>
        <w:object>
          <v:shape id="_x0000_i1026" o:spt="75" type="#_x0000_t75" style="height:369.9pt;width:651.35pt;" o:ole="t" filled="f" o:preferrelative="t" stroked="f" coordsize="21600,21600">
            <v:path/>
            <v:fill on="f" focussize="0,0"/>
            <v:stroke on="f"/>
            <v:imagedata r:id="rId23" o:title=""/>
            <o:lock v:ext="edit" aspectratio="f"/>
            <w10:wrap type="none"/>
            <w10:anchorlock/>
          </v:shape>
          <o:OLEObject Type="Embed" ProgID="Visio.Drawing.11" ShapeID="_x0000_i1026" DrawAspect="Content" ObjectID="_1468075726" r:id="rId22">
            <o:LockedField>false</o:LockedField>
          </o:OLEObject>
        </w:object>
      </w:r>
    </w:p>
    <w:p>
      <w:pPr>
        <w:ind w:firstLine="480"/>
        <w:jc w:val="center"/>
        <w:rPr>
          <w:b/>
          <w:bCs/>
        </w:rPr>
        <w:sectPr>
          <w:pgSz w:w="16838" w:h="11906" w:orient="landscape"/>
          <w:pgMar w:top="1800" w:right="1440" w:bottom="1800" w:left="1440" w:header="851" w:footer="992" w:gutter="0"/>
          <w:cols w:space="425" w:num="1"/>
          <w:docGrid w:type="lines" w:linePitch="326" w:charSpace="0"/>
        </w:sectPr>
      </w:pPr>
      <w:r>
        <w:rPr>
          <w:b/>
          <w:bCs/>
        </w:rPr>
        <w:t>图3.</w:t>
      </w:r>
      <w:r>
        <w:rPr>
          <w:rFonts w:hint="eastAsia"/>
          <w:b/>
          <w:bCs/>
        </w:rPr>
        <w:t>2</w:t>
      </w:r>
      <w:r>
        <w:rPr>
          <w:b/>
          <w:bCs/>
        </w:rPr>
        <w:t>-</w:t>
      </w:r>
      <w:r>
        <w:rPr>
          <w:rFonts w:hint="eastAsia"/>
          <w:b/>
          <w:bCs/>
        </w:rPr>
        <w:t>2</w:t>
      </w:r>
      <w:r>
        <w:rPr>
          <w:b/>
          <w:bCs/>
        </w:rPr>
        <w:t xml:space="preserve">  项目生产工艺</w:t>
      </w:r>
      <w:r>
        <w:rPr>
          <w:rFonts w:hint="eastAsia"/>
          <w:b/>
          <w:bCs/>
        </w:rPr>
        <w:t>流程</w:t>
      </w:r>
      <w:r>
        <w:rPr>
          <w:b/>
          <w:bCs/>
        </w:rPr>
        <w:t>及产污流程图</w:t>
      </w:r>
    </w:p>
    <w:p>
      <w:pPr>
        <w:ind w:left="0" w:leftChars="0" w:firstLine="0" w:firstLineChars="0"/>
        <w:rPr>
          <w:b/>
          <w:bCs/>
        </w:rPr>
      </w:pPr>
      <w:r>
        <w:rPr>
          <w:rFonts w:hint="eastAsia"/>
          <w:b/>
          <w:bCs/>
        </w:rPr>
        <w:t>工艺流程说明：</w:t>
      </w:r>
    </w:p>
    <w:p>
      <w:pPr>
        <w:ind w:firstLine="480"/>
      </w:pPr>
      <w:r>
        <w:t>（1）下料</w:t>
      </w:r>
    </w:p>
    <w:p>
      <w:pPr>
        <w:ind w:firstLine="480"/>
      </w:pPr>
      <w:r>
        <w:t>根据设计图纸，采用激光切割机或</w:t>
      </w:r>
      <w:r>
        <w:rPr>
          <w:rFonts w:hint="eastAsia"/>
        </w:rPr>
        <w:t>等离子</w:t>
      </w:r>
      <w:r>
        <w:t>切割机</w:t>
      </w:r>
      <w:r>
        <w:rPr>
          <w:rFonts w:hint="eastAsia"/>
        </w:rPr>
        <w:t>或圆盘</w:t>
      </w:r>
      <w:r>
        <w:t>锯等进行下料处理。</w:t>
      </w:r>
    </w:p>
    <w:p>
      <w:pPr>
        <w:ind w:firstLine="480"/>
      </w:pPr>
      <w:r>
        <w:t>三废产排污情况：该工序产生</w:t>
      </w:r>
      <w:r>
        <w:rPr>
          <w:rFonts w:hint="eastAsia"/>
        </w:rPr>
        <w:t>废边角料</w:t>
      </w:r>
      <w:r>
        <w:t>S</w:t>
      </w:r>
      <w:r>
        <w:rPr>
          <w:rFonts w:hint="eastAsia"/>
        </w:rPr>
        <w:t>1</w:t>
      </w:r>
      <w:r>
        <w:t>，</w:t>
      </w:r>
      <w:r>
        <w:rPr>
          <w:rFonts w:hint="eastAsia"/>
        </w:rPr>
        <w:t>其中等离子切割和数控管相贯切割</w:t>
      </w:r>
      <w:r>
        <w:t>下料切割时产生的</w:t>
      </w:r>
      <w:r>
        <w:rPr>
          <w:rFonts w:hint="eastAsia"/>
        </w:rPr>
        <w:t>切割</w:t>
      </w:r>
      <w:r>
        <w:t>粉尘G1。</w:t>
      </w:r>
    </w:p>
    <w:p>
      <w:pPr>
        <w:ind w:firstLine="480"/>
      </w:pPr>
      <w:r>
        <w:t>（2）机加工</w:t>
      </w:r>
    </w:p>
    <w:p>
      <w:pPr>
        <w:ind w:firstLine="480"/>
        <w:rPr>
          <w:rFonts w:hint="eastAsia"/>
        </w:rPr>
      </w:pPr>
      <w:r>
        <w:t>根据设计要求，下料后采用</w:t>
      </w:r>
      <w:r>
        <w:rPr>
          <w:rFonts w:hint="eastAsia"/>
        </w:rPr>
        <w:t>车床、气动磨机、矫正机</w:t>
      </w:r>
      <w:r>
        <w:t>等设备进行</w:t>
      </w:r>
      <w:r>
        <w:rPr>
          <w:rFonts w:hint="eastAsia"/>
        </w:rPr>
        <w:t>机加工。</w:t>
      </w:r>
    </w:p>
    <w:p>
      <w:pPr>
        <w:ind w:firstLine="480"/>
      </w:pPr>
      <w:r>
        <w:t>三废产排污情况：该工序会产生废</w:t>
      </w:r>
      <w:r>
        <w:rPr>
          <w:rFonts w:hint="eastAsia"/>
        </w:rPr>
        <w:t>边角料</w:t>
      </w:r>
      <w:r>
        <w:t>料S</w:t>
      </w:r>
      <w:r>
        <w:rPr>
          <w:rFonts w:hint="eastAsia"/>
        </w:rPr>
        <w:t>1和废切削液S2</w:t>
      </w:r>
      <w:r>
        <w:t>。</w:t>
      </w:r>
    </w:p>
    <w:p>
      <w:pPr>
        <w:ind w:firstLine="480"/>
      </w:pPr>
      <w:r>
        <w:t>（3）焊接</w:t>
      </w:r>
    </w:p>
    <w:p>
      <w:pPr>
        <w:ind w:firstLine="480"/>
        <w:rPr>
          <w:rFonts w:hint="eastAsia"/>
        </w:rPr>
      </w:pPr>
      <w:r>
        <w:t>将机加工后的零部件及组件运至焊接工序进行部件拼点、部件焊接</w:t>
      </w:r>
      <w:r>
        <w:rPr>
          <w:rFonts w:hint="eastAsia"/>
        </w:rPr>
        <w:t>。</w:t>
      </w:r>
    </w:p>
    <w:p>
      <w:pPr>
        <w:ind w:firstLine="480"/>
      </w:pPr>
      <w:r>
        <w:t>三废产排污情况：该工序会产生</w:t>
      </w:r>
      <w:r>
        <w:rPr>
          <w:rFonts w:hint="eastAsia"/>
        </w:rPr>
        <w:t>焊渣</w:t>
      </w:r>
      <w:r>
        <w:t>S</w:t>
      </w:r>
      <w:r>
        <w:rPr>
          <w:rFonts w:hint="eastAsia"/>
        </w:rPr>
        <w:t>3</w:t>
      </w:r>
      <w:r>
        <w:t>和焊接烟尘G2。</w:t>
      </w:r>
    </w:p>
    <w:p>
      <w:pPr>
        <w:ind w:firstLine="480"/>
      </w:pPr>
      <w:r>
        <w:t>（4）抛丸</w:t>
      </w:r>
    </w:p>
    <w:p>
      <w:pPr>
        <w:ind w:firstLine="480"/>
      </w:pPr>
      <w:r>
        <w:t>车间设置抛丸机，工件送往单独的抛丸室内进行抛丸处理，抛丸室采用自动抛丸设备清除工件表面锈蚀、氧化皮等杂质，抛丸后的工件备用。</w:t>
      </w:r>
    </w:p>
    <w:p>
      <w:pPr>
        <w:ind w:firstLine="480"/>
      </w:pPr>
      <w:r>
        <w:t>三废产排污情况：该工序会产生废钢丸S</w:t>
      </w:r>
      <w:r>
        <w:rPr>
          <w:rFonts w:hint="eastAsia"/>
        </w:rPr>
        <w:t>4</w:t>
      </w:r>
      <w:r>
        <w:t>和抛丸粉尘G3。</w:t>
      </w:r>
    </w:p>
    <w:p>
      <w:pPr>
        <w:ind w:firstLine="480"/>
      </w:pPr>
      <w:r>
        <w:t>（</w:t>
      </w:r>
      <w:r>
        <w:rPr>
          <w:rFonts w:hint="eastAsia"/>
        </w:rPr>
        <w:t>5</w:t>
      </w:r>
      <w:r>
        <w:t>）调漆</w:t>
      </w:r>
    </w:p>
    <w:p>
      <w:pPr>
        <w:ind w:firstLine="480"/>
      </w:pPr>
      <w:r>
        <w:t>将</w:t>
      </w:r>
      <w:r>
        <w:rPr>
          <w:rFonts w:hint="eastAsia"/>
        </w:rPr>
        <w:t>油性漆和稀释剂、水性漆和水</w:t>
      </w:r>
      <w:r>
        <w:t>按一定比例</w:t>
      </w:r>
      <w:r>
        <w:rPr>
          <w:rFonts w:hint="eastAsia"/>
        </w:rPr>
        <w:t>人工</w:t>
      </w:r>
      <w:r>
        <w:t>混合成所需的油漆，此工段在密闭的喷漆</w:t>
      </w:r>
      <w:r>
        <w:rPr>
          <w:rFonts w:hint="eastAsia"/>
        </w:rPr>
        <w:t>室</w:t>
      </w:r>
      <w:r>
        <w:t>内进行。</w:t>
      </w:r>
    </w:p>
    <w:p>
      <w:pPr>
        <w:ind w:firstLine="480"/>
      </w:pPr>
      <w:r>
        <w:t>三废产排污情况：此过程会产生调漆废气G</w:t>
      </w:r>
      <w:r>
        <w:rPr>
          <w:rFonts w:hint="eastAsia"/>
        </w:rPr>
        <w:t>4、</w:t>
      </w:r>
      <w:r>
        <w:t>废</w:t>
      </w:r>
      <w:r>
        <w:rPr>
          <w:rFonts w:hint="eastAsia"/>
        </w:rPr>
        <w:t>水性</w:t>
      </w:r>
      <w:r>
        <w:t>漆桶S</w:t>
      </w:r>
      <w:r>
        <w:rPr>
          <w:rFonts w:hint="eastAsia"/>
        </w:rPr>
        <w:t>5、</w:t>
      </w:r>
      <w:r>
        <w:t>废</w:t>
      </w:r>
      <w:r>
        <w:rPr>
          <w:rFonts w:hint="eastAsia"/>
        </w:rPr>
        <w:t>油性</w:t>
      </w:r>
      <w:r>
        <w:t>漆桶S</w:t>
      </w:r>
      <w:r>
        <w:rPr>
          <w:rFonts w:hint="eastAsia"/>
        </w:rPr>
        <w:t>6、</w:t>
      </w:r>
      <w:r>
        <w:t>废</w:t>
      </w:r>
      <w:r>
        <w:rPr>
          <w:rFonts w:hint="eastAsia"/>
        </w:rPr>
        <w:t>稀释剂</w:t>
      </w:r>
      <w:r>
        <w:t>桶S</w:t>
      </w:r>
      <w:r>
        <w:rPr>
          <w:rFonts w:hint="eastAsia"/>
        </w:rPr>
        <w:t>7</w:t>
      </w:r>
      <w:r>
        <w:t>。</w:t>
      </w:r>
    </w:p>
    <w:p>
      <w:pPr>
        <w:ind w:firstLine="480"/>
      </w:pPr>
      <w:r>
        <w:t>（4）</w:t>
      </w:r>
      <w:r>
        <w:rPr>
          <w:rFonts w:hint="eastAsia"/>
        </w:rPr>
        <w:t>手动喷涂</w:t>
      </w:r>
    </w:p>
    <w:p>
      <w:pPr>
        <w:ind w:firstLine="480"/>
      </w:pPr>
      <w:r>
        <w:fldChar w:fldCharType="begin"/>
      </w:r>
      <w:r>
        <w:instrText xml:space="preserve"> = 1 \* GB3 \* MERGEFORMAT </w:instrText>
      </w:r>
      <w:r>
        <w:fldChar w:fldCharType="separate"/>
      </w:r>
      <w:r>
        <w:t>①</w:t>
      </w:r>
      <w:r>
        <w:fldChar w:fldCharType="end"/>
      </w:r>
      <w:r>
        <w:rPr>
          <w:rFonts w:hint="eastAsia"/>
        </w:rPr>
        <w:t>喷漆</w:t>
      </w:r>
    </w:p>
    <w:p>
      <w:pPr>
        <w:ind w:firstLine="480"/>
        <w:rPr>
          <w:rFonts w:hint="eastAsia"/>
        </w:rPr>
      </w:pPr>
      <w:r>
        <w:t>喷漆在专门的喷漆</w:t>
      </w:r>
      <w:r>
        <w:rPr>
          <w:rFonts w:hint="eastAsia"/>
        </w:rPr>
        <w:t>室</w:t>
      </w:r>
      <w:r>
        <w:t>内完成，喷漆采用人工高压无气</w:t>
      </w:r>
      <w:r>
        <w:rPr>
          <w:rFonts w:hint="eastAsia"/>
        </w:rPr>
        <w:t>静电</w:t>
      </w:r>
      <w:r>
        <w:t>喷涂</w:t>
      </w:r>
      <w:r>
        <w:rPr>
          <w:rFonts w:hint="eastAsia"/>
        </w:rPr>
        <w:t>。</w:t>
      </w:r>
    </w:p>
    <w:p>
      <w:pPr>
        <w:ind w:firstLine="480"/>
      </w:pPr>
      <w:r>
        <w:t>三废产排污情况：此过程会产生漆雾</w:t>
      </w:r>
      <w:r>
        <w:rPr>
          <w:rFonts w:hint="eastAsia"/>
        </w:rPr>
        <w:t>G5、</w:t>
      </w:r>
      <w:r>
        <w:t>有机废气G</w:t>
      </w:r>
      <w:r>
        <w:rPr>
          <w:rFonts w:hint="eastAsia"/>
        </w:rPr>
        <w:t>6</w:t>
      </w:r>
      <w:r>
        <w:t>以及漆渣S</w:t>
      </w:r>
      <w:r>
        <w:rPr>
          <w:rFonts w:hint="eastAsia"/>
        </w:rPr>
        <w:t>8</w:t>
      </w:r>
      <w:r>
        <w:t>。</w:t>
      </w:r>
    </w:p>
    <w:p>
      <w:pPr>
        <w:ind w:firstLine="480"/>
      </w:pPr>
      <w:r>
        <w:rPr>
          <w:rFonts w:hint="eastAsia"/>
        </w:rPr>
        <w:t xml:space="preserve">  </w:t>
      </w:r>
      <w:r>
        <w:rPr>
          <w:rFonts w:hint="eastAsia"/>
        </w:rPr>
        <w:fldChar w:fldCharType="begin"/>
      </w:r>
      <w:r>
        <w:rPr>
          <w:rFonts w:hint="eastAsia"/>
        </w:rPr>
        <w:instrText xml:space="preserve"> = 2 \* GB3 \* MERGEFORMAT </w:instrText>
      </w:r>
      <w:r>
        <w:rPr>
          <w:rFonts w:hint="eastAsia"/>
        </w:rPr>
        <w:fldChar w:fldCharType="separate"/>
      </w:r>
      <w:r>
        <w:t>②</w:t>
      </w:r>
      <w:r>
        <w:rPr>
          <w:rFonts w:hint="eastAsia"/>
        </w:rPr>
        <w:fldChar w:fldCharType="end"/>
      </w:r>
      <w:r>
        <w:rPr>
          <w:rFonts w:hint="eastAsia"/>
        </w:rPr>
        <w:t>晾干</w:t>
      </w:r>
    </w:p>
    <w:p>
      <w:pPr>
        <w:ind w:firstLine="480"/>
      </w:pPr>
      <w:r>
        <w:rPr>
          <w:rFonts w:hint="eastAsia"/>
        </w:rPr>
        <w:t xml:space="preserve">  喷漆后工件运至晾干室内进行晾干，晾干后即为成品。</w:t>
      </w:r>
    </w:p>
    <w:p>
      <w:pPr>
        <w:ind w:firstLine="480"/>
      </w:pPr>
      <w:r>
        <w:t>三废产排污情况：此过程会产生有机废气G</w:t>
      </w:r>
      <w:r>
        <w:rPr>
          <w:rFonts w:hint="eastAsia"/>
        </w:rPr>
        <w:t>6</w:t>
      </w:r>
      <w:r>
        <w:t>。</w:t>
      </w:r>
    </w:p>
    <w:p>
      <w:pPr>
        <w:ind w:firstLine="480"/>
      </w:pPr>
      <w:r>
        <w:rPr>
          <w:rFonts w:hint="eastAsia"/>
        </w:rPr>
        <w:t>备注：本项目不需要补漆。</w:t>
      </w:r>
    </w:p>
    <w:p>
      <w:pPr>
        <w:ind w:firstLine="480"/>
        <w:rPr>
          <w:rFonts w:hint="eastAsia"/>
        </w:rPr>
      </w:pPr>
    </w:p>
    <w:p>
      <w:pPr>
        <w:ind w:firstLine="480"/>
        <w:jc w:val="center"/>
        <w:rPr>
          <w:b/>
          <w:bCs/>
          <w:sz w:val="24"/>
          <w:szCs w:val="24"/>
        </w:rPr>
      </w:pPr>
      <w:r>
        <w:rPr>
          <w:b/>
          <w:bCs/>
          <w:sz w:val="24"/>
          <w:szCs w:val="24"/>
        </w:rPr>
        <w:t>表3.</w:t>
      </w:r>
      <w:r>
        <w:rPr>
          <w:rFonts w:hint="eastAsia"/>
          <w:b/>
          <w:bCs/>
          <w:sz w:val="24"/>
          <w:szCs w:val="24"/>
        </w:rPr>
        <w:t>2</w:t>
      </w:r>
      <w:r>
        <w:rPr>
          <w:b/>
          <w:bCs/>
          <w:sz w:val="24"/>
          <w:szCs w:val="24"/>
        </w:rPr>
        <w:t>-</w:t>
      </w:r>
      <w:r>
        <w:rPr>
          <w:rFonts w:hint="eastAsia"/>
          <w:b/>
          <w:bCs/>
          <w:sz w:val="24"/>
          <w:szCs w:val="24"/>
        </w:rPr>
        <w:t>6</w:t>
      </w:r>
      <w:r>
        <w:rPr>
          <w:b/>
          <w:bCs/>
          <w:sz w:val="24"/>
          <w:szCs w:val="24"/>
        </w:rPr>
        <w:t xml:space="preserve">  项目</w:t>
      </w:r>
      <w:r>
        <w:rPr>
          <w:rFonts w:hint="eastAsia"/>
          <w:b/>
          <w:bCs/>
          <w:sz w:val="24"/>
          <w:szCs w:val="24"/>
        </w:rPr>
        <w:t>营运期</w:t>
      </w:r>
      <w:r>
        <w:rPr>
          <w:b/>
          <w:bCs/>
          <w:sz w:val="24"/>
          <w:szCs w:val="24"/>
        </w:rPr>
        <w:t>主要污染物产生及治理措施一览表</w:t>
      </w:r>
    </w:p>
    <w:tbl>
      <w:tblPr>
        <w:tblStyle w:val="43"/>
        <w:tblW w:w="5078" w:type="pct"/>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0"/>
        <w:gridCol w:w="827"/>
        <w:gridCol w:w="1440"/>
        <w:gridCol w:w="1581"/>
        <w:gridCol w:w="1934"/>
        <w:gridCol w:w="1600"/>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4" w:hRule="atLeast"/>
          <w:tblHeader/>
          <w:jc w:val="center"/>
        </w:trPr>
        <w:tc>
          <w:tcPr>
            <w:tcW w:w="50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污染</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类别</w:t>
            </w: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产生工序</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污染物名称</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污染物编号</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治理措施</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废气</w:t>
            </w: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下料（等离子切割、数控管相贯切割机）</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切割粉尘</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G1</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滤筒除尘器（TA001、TA002、TA003、TA004）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焊接</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焊接烟尘</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G2</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滤筒除尘器（TA005、TA006、TA007、TA008）</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抛丸</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抛丸粉尘</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G3</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设备自带滤筒除尘器（TA009、TA010、TA011）</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 xml:space="preserve"> 调漆（油性漆调漆、</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 xml:space="preserve">水性漆调漆） </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有机废气</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（NMHC、二甲苯）</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G4</w:t>
            </w:r>
          </w:p>
        </w:tc>
        <w:tc>
          <w:tcPr>
            <w:tcW w:w="975"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干式过滤+活性炭吸附/脱附+催化燃烧（TA011）</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504"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手动喷涂</w:t>
            </w:r>
          </w:p>
        </w:tc>
        <w:tc>
          <w:tcPr>
            <w:tcW w:w="878"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喷漆</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漆雾、有机废气（NMHC、二甲苯）</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G5、G6</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504"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878"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晾干</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有机废气</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（NMHC、二甲苯）</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G6</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危废暂存间</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NMHC</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废水</w:t>
            </w: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职工生活污水</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COD、BOD5、NH3-N、SS、TP</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化粪池</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1" w:hRule="atLeast"/>
          <w:jc w:val="center"/>
        </w:trPr>
        <w:tc>
          <w:tcPr>
            <w:tcW w:w="500"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噪声</w:t>
            </w: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生产过程中的设备、风机等</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设备、风机噪声</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N</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隔声、减振、消声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1" w:hRule="atLeast"/>
          <w:jc w:val="center"/>
        </w:trPr>
        <w:tc>
          <w:tcPr>
            <w:tcW w:w="500"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固废</w:t>
            </w: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下料切割</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废边角料</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S1</w:t>
            </w:r>
          </w:p>
        </w:tc>
        <w:tc>
          <w:tcPr>
            <w:tcW w:w="975"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一般固废</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1"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机加工</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废边角料</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S1</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1"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焊接</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焊渣</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S3</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PrEx>
        <w:trPr>
          <w:trHeight w:val="331"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抛丸</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废钢丸</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S4</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1"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调漆</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废水性漆桶</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S5</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废切削液</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有机物</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S2</w:t>
            </w:r>
          </w:p>
        </w:tc>
        <w:tc>
          <w:tcPr>
            <w:tcW w:w="975"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危险固废</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调漆</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废油性漆桶</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S6</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废稀释剂桶</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S7</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喷漆</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漆渣</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S8</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废滤筒</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金属</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一般固废</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废过滤材料（废气处理装置）</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有机物</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危险固废</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废活性炭（废气处理装置）</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有机物</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废机油</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有机物</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滤筒除尘灰</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金属料</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restar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一般固废</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废催化剂（废气处理装置）</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金属</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生活垃圾</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纸屑、果皮等</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生活垃圾</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500" w:type="pct"/>
            <w:vMerge w:val="continue"/>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p>
        </w:tc>
        <w:tc>
          <w:tcPr>
            <w:tcW w:w="1382" w:type="pct"/>
            <w:gridSpan w:val="2"/>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含油抹布和手套</w:t>
            </w:r>
          </w:p>
        </w:tc>
        <w:tc>
          <w:tcPr>
            <w:tcW w:w="964"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有机物</w:t>
            </w:r>
          </w:p>
        </w:tc>
        <w:tc>
          <w:tcPr>
            <w:tcW w:w="1179"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w:t>
            </w:r>
          </w:p>
        </w:tc>
        <w:tc>
          <w:tcPr>
            <w:tcW w:w="975" w:type="pct"/>
            <w:tcBorders>
              <w:tl2br w:val="nil"/>
              <w:tr2bl w:val="nil"/>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color w:val="auto"/>
                <w:sz w:val="21"/>
                <w:szCs w:val="21"/>
              </w:rPr>
            </w:pPr>
            <w:r>
              <w:rPr>
                <w:rFonts w:hint="eastAsia"/>
                <w:color w:val="auto"/>
                <w:sz w:val="21"/>
                <w:szCs w:val="21"/>
              </w:rPr>
              <w:t>危险固废</w:t>
            </w:r>
          </w:p>
        </w:tc>
      </w:tr>
    </w:tbl>
    <w:p>
      <w:pPr>
        <w:ind w:firstLine="480"/>
        <w:rPr>
          <w:rFonts w:hint="eastAsia"/>
        </w:rPr>
      </w:pPr>
      <w:r>
        <w:rPr>
          <w:rFonts w:hint="eastAsia"/>
        </w:rPr>
        <w:t>综上，</w:t>
      </w:r>
      <w:r>
        <w:t>项目</w:t>
      </w:r>
      <w:r>
        <w:rPr>
          <w:rFonts w:hint="eastAsia"/>
        </w:rPr>
        <w:t>喷漆自动化区（喷漆-流平-烘干一体自动线区）未建设</w:t>
      </w:r>
      <w:r>
        <w:rPr>
          <w:rFonts w:hint="eastAsia"/>
          <w:lang w:val="en-US" w:eastAsia="zh-CN"/>
        </w:rPr>
        <w:t>，</w:t>
      </w:r>
      <w:r>
        <w:rPr>
          <w:rFonts w:hint="eastAsia"/>
        </w:rPr>
        <w:t>其他与环评报告工艺流程一致，无变化。</w:t>
      </w:r>
      <w:bookmarkStart w:id="14" w:name="_Toc512410250"/>
    </w:p>
    <w:p>
      <w:pPr>
        <w:pStyle w:val="62"/>
        <w:ind w:firstLine="643"/>
      </w:pPr>
      <w:bookmarkStart w:id="15" w:name="_Toc29537"/>
      <w:r>
        <w:rPr>
          <w:rFonts w:hint="eastAsia"/>
        </w:rPr>
        <w:t>3.</w:t>
      </w:r>
      <w:r>
        <w:t>3</w:t>
      </w:r>
      <w:r>
        <w:rPr>
          <w:rFonts w:hint="eastAsia"/>
        </w:rPr>
        <w:t xml:space="preserve"> 项目变动情况</w:t>
      </w:r>
      <w:bookmarkEnd w:id="14"/>
      <w:bookmarkEnd w:id="15"/>
    </w:p>
    <w:p>
      <w:pPr>
        <w:ind w:firstLine="480"/>
      </w:pPr>
      <w:r>
        <w:rPr>
          <w:rFonts w:hint="eastAsia"/>
          <w:lang w:val="en-US" w:eastAsia="zh-CN"/>
        </w:rPr>
        <w:t>项目主要建设内容为机加工和喷涂，喷涂包括手动喷涂和自动喷涂。目前</w:t>
      </w:r>
      <w:r>
        <w:t>项目</w:t>
      </w:r>
      <w:r>
        <w:rPr>
          <w:rFonts w:hint="eastAsia"/>
        </w:rPr>
        <w:t>喷漆自动化区（喷漆-流平-烘干一体自动线区）未建设</w:t>
      </w:r>
      <w:r>
        <w:rPr>
          <w:rFonts w:hint="eastAsia"/>
          <w:lang w:eastAsia="zh-CN"/>
        </w:rPr>
        <w:t>。</w:t>
      </w:r>
      <w:r>
        <w:rPr>
          <w:rFonts w:hint="eastAsia"/>
          <w:lang w:val="en-US" w:eastAsia="zh-CN"/>
        </w:rPr>
        <w:t>因此，本次拟对机加工和手动喷涂及配套</w:t>
      </w:r>
      <w:r>
        <w:rPr>
          <w:rFonts w:hint="eastAsia" w:ascii="Times New Roman" w:hAnsi="Times New Roman" w:eastAsia="宋体" w:cs="Times New Roman"/>
          <w:lang w:val="en-US" w:eastAsia="zh-CN" w:bidi="en-US"/>
        </w:rPr>
        <w:t>建设</w:t>
      </w:r>
      <w:r>
        <w:rPr>
          <w:rFonts w:hint="default" w:ascii="Times New Roman" w:hAnsi="Times New Roman" w:eastAsia="宋体" w:cs="Times New Roman"/>
          <w:kern w:val="0"/>
        </w:rPr>
        <w:t>环境保护设施</w:t>
      </w:r>
      <w:r>
        <w:rPr>
          <w:rFonts w:hint="default" w:ascii="Times New Roman" w:hAnsi="Times New Roman" w:eastAsia="宋体" w:cs="Times New Roman"/>
          <w:lang w:bidi="en-US"/>
        </w:rPr>
        <w:t xml:space="preserve">进行阶段性竣工环境保护验收。 </w:t>
      </w:r>
      <w:r>
        <w:rPr>
          <w:rFonts w:hint="eastAsia"/>
          <w:lang w:val="en-US" w:eastAsia="zh-CN"/>
        </w:rPr>
        <w:t>根据现场探勘，</w:t>
      </w:r>
      <w:r>
        <w:rPr>
          <w:rFonts w:hint="eastAsia"/>
        </w:rPr>
        <w:t>项目环境保护设施建设过程中不存在未按环境影响报告书及其备案表要求建成环境设施或者环境保护设施不能与主体工程同时投产或者使用等不满足验收条件的情况。</w:t>
      </w:r>
    </w:p>
    <w:p>
      <w:pPr>
        <w:pStyle w:val="62"/>
        <w:ind w:firstLine="643"/>
      </w:pPr>
      <w:bookmarkStart w:id="16" w:name="_Toc28089"/>
      <w:r>
        <w:rPr>
          <w:rFonts w:hint="eastAsia"/>
        </w:rPr>
        <w:t>3.</w:t>
      </w:r>
      <w:r>
        <w:t>4</w:t>
      </w:r>
      <w:r>
        <w:rPr>
          <w:rFonts w:hint="eastAsia"/>
        </w:rPr>
        <w:t xml:space="preserve"> 项目排污许可</w:t>
      </w:r>
      <w:r>
        <w:t>申报</w:t>
      </w:r>
      <w:r>
        <w:rPr>
          <w:rFonts w:hint="eastAsia"/>
        </w:rPr>
        <w:t>情况</w:t>
      </w:r>
      <w:bookmarkEnd w:id="16"/>
    </w:p>
    <w:p>
      <w:pPr>
        <w:ind w:firstLine="480"/>
        <w:rPr>
          <w:rFonts w:hint="default" w:eastAsiaTheme="minorEastAsia"/>
          <w:lang w:val="en-US" w:eastAsia="zh-CN"/>
        </w:rPr>
      </w:pPr>
      <w:r>
        <w:rPr>
          <w:rFonts w:hint="eastAsia"/>
        </w:rPr>
        <w:t>项目主要进行机加工和喷涂</w:t>
      </w:r>
      <w:r>
        <w:rPr>
          <w:rFonts w:hint="eastAsia"/>
          <w:lang w:eastAsia="zh-CN"/>
        </w:rPr>
        <w:t>，</w:t>
      </w:r>
      <w:r>
        <w:rPr>
          <w:rFonts w:hint="eastAsia"/>
        </w:rPr>
        <w:t>国民经济行业分类为“C3429 他金属加工机械制造”</w:t>
      </w:r>
      <w:r>
        <w:rPr>
          <w:rFonts w:hint="eastAsia"/>
          <w:lang w:eastAsia="zh-CN"/>
        </w:rPr>
        <w:t>。</w:t>
      </w:r>
      <w:r>
        <w:rPr>
          <w:rFonts w:hint="eastAsia"/>
        </w:rPr>
        <w:t>根据固定污染源排污许可分类管理名录（2019年版），排污许可类别应为“</w:t>
      </w:r>
      <w:r>
        <w:rPr>
          <w:rFonts w:hint="eastAsia"/>
          <w:lang w:val="en-US" w:eastAsia="zh-CN"/>
        </w:rPr>
        <w:t>简化管理</w:t>
      </w:r>
      <w:r>
        <w:rPr>
          <w:rFonts w:hint="eastAsia"/>
        </w:rPr>
        <w:t>”，</w:t>
      </w:r>
      <w:r>
        <w:rPr>
          <w:rFonts w:hint="eastAsia"/>
          <w:lang w:val="en-US" w:eastAsia="zh-CN"/>
        </w:rPr>
        <w:t>正在进行排污许可的申请。</w:t>
      </w:r>
    </w:p>
    <w:p>
      <w:pPr>
        <w:pStyle w:val="39"/>
        <w:ind w:firstLine="480"/>
        <w:rPr>
          <w:rFonts w:hint="eastAsia"/>
          <w:lang w:val="ru-RU"/>
        </w:rPr>
      </w:pPr>
    </w:p>
    <w:p>
      <w:pPr>
        <w:pStyle w:val="39"/>
        <w:ind w:firstLine="480"/>
        <w:rPr>
          <w:rFonts w:hint="eastAsia"/>
          <w:lang w:val="ru-RU"/>
        </w:rPr>
      </w:pPr>
    </w:p>
    <w:p>
      <w:pPr>
        <w:pStyle w:val="39"/>
        <w:ind w:firstLine="480"/>
        <w:rPr>
          <w:rFonts w:hint="eastAsia"/>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39"/>
        <w:ind w:firstLine="480"/>
        <w:rPr>
          <w:lang w:val="ru-RU"/>
        </w:rPr>
      </w:pPr>
    </w:p>
    <w:p>
      <w:pPr>
        <w:pStyle w:val="42"/>
      </w:pPr>
      <w:bookmarkStart w:id="17" w:name="_Toc3413"/>
      <w:r>
        <w:t>4</w:t>
      </w:r>
      <w:r>
        <w:rPr>
          <w:rFonts w:hint="eastAsia"/>
        </w:rPr>
        <w:t xml:space="preserve"> 环境保护设施</w:t>
      </w:r>
      <w:bookmarkEnd w:id="17"/>
    </w:p>
    <w:p>
      <w:pPr>
        <w:pStyle w:val="62"/>
        <w:ind w:firstLine="199" w:firstLineChars="62"/>
      </w:pPr>
      <w:bookmarkStart w:id="18" w:name="_Toc28808"/>
      <w:r>
        <w:t>4</w:t>
      </w:r>
      <w:r>
        <w:rPr>
          <w:rFonts w:hint="eastAsia"/>
        </w:rPr>
        <w:t>.1</w:t>
      </w:r>
      <w:r>
        <w:t xml:space="preserve"> 污染</w:t>
      </w:r>
      <w:r>
        <w:rPr>
          <w:rFonts w:hint="eastAsia"/>
        </w:rPr>
        <w:t>物</w:t>
      </w:r>
      <w:r>
        <w:t>治理措施</w:t>
      </w:r>
      <w:bookmarkEnd w:id="18"/>
    </w:p>
    <w:p>
      <w:pPr>
        <w:pStyle w:val="67"/>
        <w:ind w:firstLine="198" w:firstLineChars="82"/>
      </w:pPr>
      <w:r>
        <w:rPr>
          <w:rFonts w:hint="eastAsia"/>
        </w:rPr>
        <w:t>4.1.1</w:t>
      </w:r>
      <w:r>
        <w:t xml:space="preserve"> </w:t>
      </w:r>
      <w:r>
        <w:rPr>
          <w:rFonts w:hint="eastAsia"/>
        </w:rPr>
        <w:t>废水及</w:t>
      </w:r>
      <w:r>
        <w:t>污染治理措施</w:t>
      </w:r>
    </w:p>
    <w:p>
      <w:pPr>
        <w:ind w:firstLine="480"/>
        <w:jc w:val="both"/>
        <w:rPr>
          <w:rFonts w:ascii="Times New Roman" w:hAnsi="Times New Roman" w:cs="Times New Roman"/>
          <w:bCs/>
        </w:rPr>
      </w:pPr>
      <w:r>
        <w:rPr>
          <w:rFonts w:ascii="Times New Roman" w:hAnsi="Times New Roman" w:cs="Times New Roman"/>
          <w:bCs/>
        </w:rPr>
        <w:t>项目</w:t>
      </w:r>
      <w:r>
        <w:rPr>
          <w:rFonts w:hint="eastAsia" w:ascii="Times New Roman" w:hAnsi="Times New Roman" w:cs="Times New Roman"/>
          <w:bCs/>
        </w:rPr>
        <w:t>办公生活污水经化粪池预处理后，经</w:t>
      </w:r>
      <w:r>
        <w:rPr>
          <w:rFonts w:ascii="Times New Roman" w:hAnsi="Times New Roman" w:cs="Times New Roman"/>
          <w:bCs/>
        </w:rPr>
        <w:t>市政污水管网进入</w:t>
      </w:r>
      <w:r>
        <w:rPr>
          <w:rFonts w:hint="eastAsia" w:ascii="Times New Roman" w:hAnsi="Times New Roman" w:cs="Times New Roman"/>
          <w:bCs/>
        </w:rPr>
        <w:t>段园镇污水处理厂（袁庄矿污水处理厂）</w:t>
      </w:r>
      <w:r>
        <w:rPr>
          <w:rFonts w:ascii="Times New Roman" w:hAnsi="Times New Roman" w:cs="Times New Roman"/>
          <w:bCs/>
        </w:rPr>
        <w:t>进一步处理，</w:t>
      </w:r>
      <w:r>
        <w:rPr>
          <w:rFonts w:ascii="Times New Roman" w:hAnsi="Times New Roman" w:cs="Times New Roman"/>
        </w:rPr>
        <w:t>污水处理厂尾水水质执行《城镇污水处理厂污染物排放标准》（GB18918-2002）中的一级A标准后外排。</w:t>
      </w:r>
    </w:p>
    <w:p>
      <w:pPr>
        <w:pStyle w:val="67"/>
        <w:ind w:firstLine="198" w:firstLineChars="82"/>
      </w:pPr>
      <w:r>
        <w:t>4</w:t>
      </w:r>
      <w:r>
        <w:rPr>
          <w:rFonts w:hint="eastAsia"/>
        </w:rPr>
        <w:t>.</w:t>
      </w:r>
      <w:r>
        <w:t xml:space="preserve">1.2 </w:t>
      </w:r>
      <w:r>
        <w:rPr>
          <w:rFonts w:hint="eastAsia"/>
        </w:rPr>
        <w:t>废气及</w:t>
      </w:r>
      <w:r>
        <w:t>污染治理措施</w:t>
      </w:r>
    </w:p>
    <w:p>
      <w:pPr>
        <w:ind w:firstLine="480"/>
        <w:contextualSpacing/>
        <w:jc w:val="both"/>
        <w:rPr>
          <w:rFonts w:hint="eastAsia" w:ascii="Times New Roman" w:hAnsi="Times New Roman" w:cs="Times New Roman"/>
          <w:bCs/>
        </w:rPr>
      </w:pPr>
      <w:r>
        <w:rPr>
          <w:rFonts w:ascii="Times New Roman" w:hAnsi="Times New Roman" w:cs="Times New Roman"/>
          <w:bCs/>
        </w:rPr>
        <w:t>项目投产运行后产生的废气主要包括下料切割粉尘、焊接烟尘、抛丸粉尘、调漆</w:t>
      </w:r>
      <w:r>
        <w:rPr>
          <w:rFonts w:hint="eastAsia" w:ascii="Times New Roman" w:hAnsi="Times New Roman" w:cs="Times New Roman"/>
          <w:bCs/>
        </w:rPr>
        <w:t>有机废气</w:t>
      </w:r>
      <w:r>
        <w:rPr>
          <w:rFonts w:ascii="Times New Roman" w:hAnsi="Times New Roman" w:cs="Times New Roman"/>
          <w:bCs/>
        </w:rPr>
        <w:t>、喷漆</w:t>
      </w:r>
      <w:r>
        <w:rPr>
          <w:rFonts w:hint="eastAsia" w:ascii="Times New Roman" w:hAnsi="Times New Roman" w:cs="Times New Roman"/>
          <w:bCs/>
        </w:rPr>
        <w:t>漆雾、喷漆及晾干有机废气</w:t>
      </w:r>
      <w:r>
        <w:rPr>
          <w:rFonts w:ascii="Times New Roman" w:hAnsi="Times New Roman" w:cs="Times New Roman"/>
          <w:bCs/>
        </w:rPr>
        <w:t>、危废</w:t>
      </w:r>
      <w:r>
        <w:rPr>
          <w:rFonts w:hint="eastAsia" w:ascii="Times New Roman" w:hAnsi="Times New Roman" w:cs="Times New Roman"/>
          <w:bCs/>
        </w:rPr>
        <w:t>暂存</w:t>
      </w:r>
      <w:r>
        <w:rPr>
          <w:rFonts w:ascii="Times New Roman" w:hAnsi="Times New Roman" w:cs="Times New Roman"/>
          <w:bCs/>
        </w:rPr>
        <w:t>间</w:t>
      </w:r>
      <w:r>
        <w:rPr>
          <w:rFonts w:hint="eastAsia" w:ascii="Times New Roman" w:hAnsi="Times New Roman" w:cs="Times New Roman"/>
          <w:bCs/>
        </w:rPr>
        <w:t>有机</w:t>
      </w:r>
      <w:r>
        <w:rPr>
          <w:rFonts w:ascii="Times New Roman" w:hAnsi="Times New Roman" w:cs="Times New Roman"/>
          <w:bCs/>
        </w:rPr>
        <w:t>废气</w:t>
      </w:r>
      <w:r>
        <w:rPr>
          <w:rFonts w:hint="eastAsia" w:ascii="Times New Roman" w:hAnsi="Times New Roman" w:cs="Times New Roman"/>
          <w:bCs/>
        </w:rPr>
        <w:t>。</w:t>
      </w:r>
    </w:p>
    <w:p>
      <w:pPr>
        <w:ind w:firstLine="480"/>
        <w:contextualSpacing/>
        <w:jc w:val="both"/>
        <w:rPr>
          <w:rFonts w:hint="eastAsia" w:ascii="Times New Roman" w:hAnsi="Times New Roman" w:cs="Times New Roman"/>
          <w:bCs/>
        </w:rPr>
      </w:pPr>
      <w:r>
        <w:rPr>
          <w:rFonts w:hint="eastAsia" w:ascii="Times New Roman" w:hAnsi="Times New Roman" w:cs="Times New Roman"/>
          <w:bCs/>
        </w:rPr>
        <w:t>项目等离子下料切割产生的烟尘经集气罩收集后，引入3套滤筒除尘器处理；</w:t>
      </w:r>
      <w:r>
        <w:rPr>
          <w:rFonts w:ascii="Times New Roman" w:hAnsi="Times New Roman" w:cs="Times New Roman"/>
          <w:bCs/>
        </w:rPr>
        <w:t>自动焊接区、气保焊一区产生的焊接烟尘经集气罩收集</w:t>
      </w:r>
      <w:r>
        <w:rPr>
          <w:rFonts w:hint="eastAsia" w:ascii="Times New Roman" w:hAnsi="Times New Roman" w:cs="Times New Roman"/>
          <w:bCs/>
        </w:rPr>
        <w:t>后</w:t>
      </w:r>
      <w:r>
        <w:rPr>
          <w:rFonts w:ascii="Times New Roman" w:hAnsi="Times New Roman" w:cs="Times New Roman"/>
          <w:bCs/>
        </w:rPr>
        <w:t>，</w:t>
      </w:r>
      <w:r>
        <w:rPr>
          <w:rFonts w:hint="eastAsia" w:ascii="Times New Roman" w:hAnsi="Times New Roman" w:cs="Times New Roman"/>
          <w:bCs/>
        </w:rPr>
        <w:t>引入2</w:t>
      </w:r>
      <w:r>
        <w:rPr>
          <w:rFonts w:ascii="Times New Roman" w:hAnsi="Times New Roman" w:cs="Times New Roman"/>
          <w:bCs/>
        </w:rPr>
        <w:t>套滤筒除尘器处理；</w:t>
      </w:r>
      <w:r>
        <w:rPr>
          <w:rFonts w:hint="eastAsia" w:ascii="Times New Roman" w:hAnsi="Times New Roman" w:cs="Times New Roman"/>
          <w:bCs/>
        </w:rPr>
        <w:t>焊接平台微负压收集后，</w:t>
      </w:r>
      <w:r>
        <w:rPr>
          <w:rFonts w:ascii="Times New Roman" w:hAnsi="Times New Roman" w:cs="Times New Roman"/>
          <w:bCs/>
        </w:rPr>
        <w:t>引入1套滤筒除尘器处理</w:t>
      </w:r>
      <w:r>
        <w:rPr>
          <w:rFonts w:hint="eastAsia" w:ascii="Times New Roman" w:hAnsi="Times New Roman" w:cs="Times New Roman"/>
          <w:bCs/>
        </w:rPr>
        <w:t>；钢结构网架抛丸粉尘经自带滤筒除尘器处理，处理后集中由1根排气筒排放（DA001）；</w:t>
      </w:r>
    </w:p>
    <w:p>
      <w:pPr>
        <w:ind w:firstLine="480"/>
        <w:contextualSpacing/>
        <w:jc w:val="both"/>
        <w:rPr>
          <w:rFonts w:hint="eastAsia" w:ascii="Times New Roman" w:hAnsi="Times New Roman" w:cs="Times New Roman"/>
          <w:bCs/>
        </w:rPr>
      </w:pPr>
      <w:r>
        <w:rPr>
          <w:rFonts w:hint="eastAsia" w:ascii="Times New Roman" w:hAnsi="Times New Roman" w:cs="Times New Roman"/>
          <w:bCs/>
          <w:lang w:val="en-US" w:eastAsia="zh-CN"/>
        </w:rPr>
        <w:t>项目</w:t>
      </w:r>
      <w:r>
        <w:rPr>
          <w:rFonts w:hint="eastAsia" w:ascii="Times New Roman" w:hAnsi="Times New Roman" w:cs="Times New Roman"/>
          <w:bCs/>
        </w:rPr>
        <w:t>数控管相贯下料切割产生的烟尘经集气罩收集后，引入1套滤筒除尘器处理；气保焊二区</w:t>
      </w:r>
      <w:r>
        <w:rPr>
          <w:rFonts w:ascii="Times New Roman" w:hAnsi="Times New Roman" w:cs="Times New Roman"/>
          <w:bCs/>
        </w:rPr>
        <w:t>产生的焊接烟尘经集气罩收集</w:t>
      </w:r>
      <w:r>
        <w:rPr>
          <w:rFonts w:hint="eastAsia" w:ascii="Times New Roman" w:hAnsi="Times New Roman" w:cs="Times New Roman"/>
          <w:bCs/>
        </w:rPr>
        <w:t>后</w:t>
      </w:r>
      <w:r>
        <w:rPr>
          <w:rFonts w:ascii="Times New Roman" w:hAnsi="Times New Roman" w:cs="Times New Roman"/>
          <w:bCs/>
        </w:rPr>
        <w:t>，引入</w:t>
      </w:r>
      <w:r>
        <w:rPr>
          <w:rFonts w:hint="eastAsia" w:ascii="Times New Roman" w:hAnsi="Times New Roman" w:cs="Times New Roman"/>
          <w:bCs/>
        </w:rPr>
        <w:t>1</w:t>
      </w:r>
      <w:r>
        <w:rPr>
          <w:rFonts w:ascii="Times New Roman" w:hAnsi="Times New Roman" w:cs="Times New Roman"/>
          <w:bCs/>
        </w:rPr>
        <w:t>套滤筒除尘器处理</w:t>
      </w:r>
      <w:r>
        <w:rPr>
          <w:rFonts w:hint="eastAsia" w:ascii="Times New Roman" w:hAnsi="Times New Roman" w:cs="Times New Roman"/>
          <w:bCs/>
        </w:rPr>
        <w:t>；其他钢结构和机械加工件抛丸粉尘经自带滤筒除尘器处理，处理后集中由1根排气筒排放（DA002）；</w:t>
      </w:r>
    </w:p>
    <w:p>
      <w:pPr>
        <w:spacing w:line="440" w:lineRule="exact"/>
        <w:ind w:firstLine="480"/>
        <w:contextualSpacing/>
        <w:jc w:val="both"/>
        <w:rPr>
          <w:rFonts w:hint="eastAsia" w:ascii="Times New Roman" w:hAnsi="Times New Roman" w:cs="Times New Roman"/>
          <w:bCs/>
        </w:rPr>
      </w:pPr>
      <w:r>
        <w:rPr>
          <w:rFonts w:hint="eastAsia" w:ascii="Times New Roman" w:hAnsi="Times New Roman" w:cs="Times New Roman"/>
          <w:bCs/>
          <w:lang w:val="en-US" w:eastAsia="zh-CN"/>
        </w:rPr>
        <w:t>项目</w:t>
      </w:r>
      <w:r>
        <w:rPr>
          <w:rFonts w:hint="eastAsia" w:ascii="Times New Roman" w:hAnsi="Times New Roman" w:cs="Times New Roman"/>
          <w:bCs/>
        </w:rPr>
        <w:t>调漆、喷漆、晾干采取全密闭负压收集并连接管道输送至1套干式过滤+活性炭吸附/脱附+催化燃烧处理，处理后由1根15米高排气筒排放（DA003）；危废暂存间有机废气负压收集并连接管道依托1套干式过滤+活性炭吸附/脱附+催化燃烧处理，处理由15米高排气筒排放（DA003）。</w:t>
      </w:r>
    </w:p>
    <w:p>
      <w:pPr>
        <w:spacing w:line="440" w:lineRule="exact"/>
        <w:ind w:firstLine="480"/>
        <w:contextualSpacing/>
        <w:jc w:val="both"/>
        <w:rPr>
          <w:rFonts w:ascii="Times New Roman" w:hAnsi="Times New Roman" w:cs="Times New Roman"/>
        </w:rPr>
      </w:pPr>
      <w:r>
        <w:rPr>
          <w:rFonts w:ascii="Times New Roman" w:hAnsi="Times New Roman" w:cs="Times New Roman"/>
        </w:rPr>
        <w:t>项目废气处理后能够满足《大气污染物综合排放标准》（GB 16297-1996）、</w:t>
      </w:r>
      <w:r>
        <w:rPr>
          <w:rFonts w:hint="eastAsia" w:ascii="Times New Roman" w:hAnsi="Times New Roman" w:cs="Times New Roman"/>
        </w:rPr>
        <w:t>《工业炉窑大气污染物综合治理方案》（环大气[2019]56号）中推荐限值</w:t>
      </w:r>
      <w:r>
        <w:rPr>
          <w:rFonts w:hint="eastAsia" w:ascii="Times New Roman" w:hAnsi="Times New Roman" w:cs="Times New Roman"/>
          <w:snapToGrid w:val="0"/>
        </w:rPr>
        <w:t>以及</w:t>
      </w:r>
      <w:r>
        <w:rPr>
          <w:rFonts w:ascii="Times New Roman" w:hAnsi="Times New Roman" w:cs="Times New Roman"/>
          <w:snapToGrid w:val="0"/>
        </w:rPr>
        <w:t>《挥发性有机物无组织排放控制标准》（GB37822-2019）</w:t>
      </w:r>
      <w:r>
        <w:rPr>
          <w:rFonts w:hint="eastAsia" w:ascii="Times New Roman" w:hAnsi="Times New Roman" w:cs="Times New Roman"/>
          <w:snapToGrid w:val="0"/>
        </w:rPr>
        <w:t>控制要求</w:t>
      </w:r>
      <w:r>
        <w:rPr>
          <w:rFonts w:ascii="Times New Roman" w:hAnsi="Times New Roman" w:cs="Times New Roman"/>
        </w:rPr>
        <w:t>。</w:t>
      </w:r>
    </w:p>
    <w:tbl>
      <w:tblPr>
        <w:tblStyle w:val="4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91"/>
        <w:gridCol w:w="4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default" w:ascii="Times New Roman" w:hAnsi="Times New Roman" w:cs="Times New Roman"/>
                <w:vertAlign w:val="baseline"/>
                <w:lang w:val="en-US" w:eastAsia="zh-CN"/>
              </w:rPr>
            </w:pPr>
            <w:r>
              <w:drawing>
                <wp:inline distT="0" distB="0" distL="114300" distR="114300">
                  <wp:extent cx="2486025" cy="3339465"/>
                  <wp:effectExtent l="0" t="0" r="9525" b="1333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4"/>
                          <a:stretch>
                            <a:fillRect/>
                          </a:stretch>
                        </pic:blipFill>
                        <pic:spPr>
                          <a:xfrm>
                            <a:off x="0" y="0"/>
                            <a:ext cx="2486025" cy="3339465"/>
                          </a:xfrm>
                          <a:prstGeom prst="rect">
                            <a:avLst/>
                          </a:prstGeom>
                          <a:noFill/>
                          <a:ln>
                            <a:noFill/>
                          </a:ln>
                        </pic:spPr>
                      </pic:pic>
                    </a:graphicData>
                  </a:graphic>
                </wp:inline>
              </w:drawing>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default" w:ascii="Times New Roman" w:hAnsi="Times New Roman" w:cs="Times New Roman"/>
                <w:vertAlign w:val="baseline"/>
                <w:lang w:val="en-US" w:eastAsia="zh-CN"/>
              </w:rPr>
            </w:pPr>
            <w:r>
              <w:drawing>
                <wp:inline distT="0" distB="0" distL="114300" distR="114300">
                  <wp:extent cx="3474085" cy="3342640"/>
                  <wp:effectExtent l="0" t="0" r="12065" b="1016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5"/>
                          <a:stretch>
                            <a:fillRect/>
                          </a:stretch>
                        </pic:blipFill>
                        <pic:spPr>
                          <a:xfrm>
                            <a:off x="0" y="0"/>
                            <a:ext cx="3474085" cy="33426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right="0"/>
              <w:jc w:val="center"/>
              <w:rPr>
                <w:rFonts w:hint="default" w:eastAsiaTheme="minorEastAsia"/>
                <w:lang w:val="en-US" w:eastAsia="zh-CN"/>
              </w:rPr>
            </w:pPr>
            <w:r>
              <w:rPr>
                <w:rFonts w:hint="eastAsia"/>
                <w:lang w:val="en-US" w:eastAsia="zh-CN"/>
              </w:rPr>
              <w:t>滤筒除尘器</w:t>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right="0"/>
              <w:jc w:val="center"/>
              <w:rPr>
                <w:rFonts w:hint="default" w:eastAsiaTheme="minorEastAsia"/>
                <w:lang w:val="en-US" w:eastAsia="zh-CN"/>
              </w:rPr>
            </w:pPr>
            <w:r>
              <w:rPr>
                <w:rFonts w:hint="eastAsia"/>
                <w:lang w:val="en-US" w:eastAsia="zh-CN"/>
              </w:rPr>
              <w:t>滤筒除尘器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lang w:val="en-US" w:eastAsia="zh-CN"/>
              </w:rPr>
            </w:pPr>
            <w:r>
              <w:drawing>
                <wp:inline distT="0" distB="0" distL="114300" distR="114300">
                  <wp:extent cx="2402205" cy="4973320"/>
                  <wp:effectExtent l="0" t="0" r="17145" b="1778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6"/>
                          <a:stretch>
                            <a:fillRect/>
                          </a:stretch>
                        </pic:blipFill>
                        <pic:spPr>
                          <a:xfrm>
                            <a:off x="0" y="0"/>
                            <a:ext cx="2402205" cy="4973320"/>
                          </a:xfrm>
                          <a:prstGeom prst="rect">
                            <a:avLst/>
                          </a:prstGeom>
                          <a:noFill/>
                          <a:ln>
                            <a:noFill/>
                          </a:ln>
                        </pic:spPr>
                      </pic:pic>
                    </a:graphicData>
                  </a:graphic>
                </wp:inline>
              </w:drawing>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lang w:val="en-US" w:eastAsia="zh-CN"/>
              </w:rPr>
            </w:pPr>
            <w:r>
              <w:drawing>
                <wp:inline distT="0" distB="0" distL="114300" distR="114300">
                  <wp:extent cx="2731135" cy="5025390"/>
                  <wp:effectExtent l="0" t="0" r="12065"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27"/>
                          <a:stretch>
                            <a:fillRect/>
                          </a:stretch>
                        </pic:blipFill>
                        <pic:spPr>
                          <a:xfrm>
                            <a:off x="0" y="0"/>
                            <a:ext cx="2731135" cy="502539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center"/>
              <w:rPr>
                <w:rFonts w:hint="default" w:eastAsiaTheme="minorEastAsia"/>
                <w:lang w:val="en-US" w:eastAsia="zh-CN"/>
              </w:rPr>
            </w:pPr>
            <w:r>
              <w:rPr>
                <w:rFonts w:hint="eastAsia"/>
                <w:lang w:val="en-US" w:eastAsia="zh-CN"/>
              </w:rPr>
              <w:t>废气收集装置</w:t>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1440" w:firstLineChars="600"/>
              <w:jc w:val="both"/>
              <w:rPr>
                <w:rFonts w:hint="default" w:eastAsiaTheme="minorEastAsia"/>
                <w:lang w:val="en-US" w:eastAsia="zh-CN"/>
              </w:rPr>
            </w:pPr>
            <w:r>
              <w:rPr>
                <w:rFonts w:hint="eastAsia"/>
                <w:lang w:val="en-US" w:eastAsia="zh-CN"/>
              </w:rPr>
              <w:t>抛丸收集装置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2"/>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lang w:val="en-US" w:eastAsia="zh-CN"/>
              </w:rPr>
            </w:pPr>
            <w:r>
              <w:drawing>
                <wp:inline distT="0" distB="0" distL="114300" distR="114300">
                  <wp:extent cx="5274310" cy="2359025"/>
                  <wp:effectExtent l="0" t="0" r="2540" b="317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28"/>
                          <a:stretch>
                            <a:fillRect/>
                          </a:stretch>
                        </pic:blipFill>
                        <pic:spPr>
                          <a:xfrm>
                            <a:off x="0" y="0"/>
                            <a:ext cx="5274310" cy="23590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2"/>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right="0"/>
              <w:jc w:val="center"/>
              <w:rPr>
                <w:rFonts w:hint="default"/>
                <w:lang w:val="en-US" w:eastAsia="zh-CN"/>
              </w:rPr>
            </w:pPr>
            <w:r>
              <w:rPr>
                <w:rFonts w:hint="eastAsia"/>
                <w:lang w:val="en-US" w:eastAsia="zh-CN"/>
              </w:rPr>
              <w:t>喷漆室及晾干区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lang w:val="en-US" w:eastAsia="zh-CN"/>
              </w:rPr>
            </w:pPr>
            <w:r>
              <w:drawing>
                <wp:inline distT="0" distB="0" distL="114300" distR="114300">
                  <wp:extent cx="2531745" cy="5321935"/>
                  <wp:effectExtent l="0" t="0" r="1905" b="1206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9"/>
                          <a:stretch>
                            <a:fillRect/>
                          </a:stretch>
                        </pic:blipFill>
                        <pic:spPr>
                          <a:xfrm>
                            <a:off x="0" y="0"/>
                            <a:ext cx="2531745" cy="5321935"/>
                          </a:xfrm>
                          <a:prstGeom prst="rect">
                            <a:avLst/>
                          </a:prstGeom>
                          <a:noFill/>
                          <a:ln>
                            <a:noFill/>
                          </a:ln>
                        </pic:spPr>
                      </pic:pic>
                    </a:graphicData>
                  </a:graphic>
                </wp:inline>
              </w:drawing>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lang w:val="en-US" w:eastAsia="zh-CN"/>
              </w:rPr>
            </w:pPr>
            <w:r>
              <w:drawing>
                <wp:inline distT="0" distB="0" distL="114300" distR="114300">
                  <wp:extent cx="3029585" cy="5278755"/>
                  <wp:effectExtent l="0" t="0" r="18415" b="1714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30"/>
                          <a:stretch>
                            <a:fillRect/>
                          </a:stretch>
                        </pic:blipFill>
                        <pic:spPr>
                          <a:xfrm>
                            <a:off x="0" y="0"/>
                            <a:ext cx="3029585" cy="52787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49"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leftChars="0" w:right="0" w:firstLine="0" w:firstLineChars="0"/>
              <w:jc w:val="both"/>
              <w:rPr>
                <w:rFonts w:hint="eastAsia" w:eastAsiaTheme="minorEastAsia"/>
                <w:lang w:val="en-US" w:eastAsia="zh-CN"/>
              </w:rPr>
            </w:pPr>
            <w:r>
              <w:rPr>
                <w:rFonts w:hint="eastAsia" w:ascii="Times New Roman" w:hAnsi="Times New Roman" w:cs="Times New Roman"/>
                <w:bCs/>
              </w:rPr>
              <w:t>干式过滤+活性炭吸附/脱附+催化燃烧</w:t>
            </w:r>
            <w:r>
              <w:rPr>
                <w:rFonts w:hint="eastAsia" w:ascii="Times New Roman" w:hAnsi="Times New Roman" w:cs="Times New Roman"/>
                <w:bCs/>
                <w:lang w:val="en-US" w:eastAsia="zh-CN"/>
              </w:rPr>
              <w:t>装置</w:t>
            </w:r>
          </w:p>
        </w:tc>
        <w:tc>
          <w:tcPr>
            <w:tcW w:w="2650" w:type="pct"/>
            <w:tcBorders>
              <w:top w:val="dotted" w:color="auto" w:sz="4" w:space="0"/>
              <w:left w:val="dotted" w:color="auto" w:sz="4" w:space="0"/>
              <w:bottom w:val="dotted" w:color="auto" w:sz="4" w:space="0"/>
              <w:right w:val="dotted" w:color="auto" w:sz="4" w:space="0"/>
            </w:tcBorders>
          </w:tcPr>
          <w:p>
            <w:pPr>
              <w:keepNext w:val="0"/>
              <w:keepLines w:val="0"/>
              <w:suppressLineNumbers w:val="0"/>
              <w:spacing w:before="0" w:beforeAutospacing="0" w:after="0" w:afterAutospacing="0"/>
              <w:ind w:left="0" w:right="0"/>
              <w:jc w:val="center"/>
              <w:rPr>
                <w:rFonts w:hint="default"/>
                <w:lang w:val="en-US" w:eastAsia="zh-CN"/>
              </w:rPr>
            </w:pPr>
            <w:r>
              <w:rPr>
                <w:rFonts w:hint="eastAsia"/>
                <w:lang w:val="en-US" w:eastAsia="zh-CN"/>
              </w:rPr>
              <w:t>滤筒除尘器+排气筒</w:t>
            </w:r>
          </w:p>
        </w:tc>
      </w:tr>
    </w:tbl>
    <w:p>
      <w:pPr>
        <w:spacing w:line="440" w:lineRule="exact"/>
        <w:ind w:firstLine="480"/>
        <w:contextualSpacing/>
        <w:jc w:val="center"/>
        <w:rPr>
          <w:rFonts w:hint="default" w:ascii="Times New Roman" w:hAnsi="Times New Roman" w:cs="Times New Roman"/>
          <w:b/>
          <w:bCs/>
          <w:snapToGrid w:val="0"/>
          <w:lang w:val="en-US" w:eastAsia="zh-CN"/>
        </w:rPr>
      </w:pPr>
      <w:r>
        <w:rPr>
          <w:rFonts w:hint="default" w:ascii="Times New Roman" w:hAnsi="Times New Roman" w:cs="Times New Roman"/>
          <w:b/>
          <w:bCs/>
          <w:snapToGrid w:val="0"/>
          <w:lang w:val="en-US" w:eastAsia="zh-CN"/>
        </w:rPr>
        <w:t>图4.1-</w:t>
      </w:r>
      <w:r>
        <w:rPr>
          <w:rFonts w:hint="eastAsia" w:ascii="Times New Roman" w:hAnsi="Times New Roman" w:cs="Times New Roman"/>
          <w:b/>
          <w:bCs/>
          <w:snapToGrid w:val="0"/>
          <w:lang w:val="en-US" w:eastAsia="zh-CN"/>
        </w:rPr>
        <w:t>1</w:t>
      </w:r>
      <w:r>
        <w:rPr>
          <w:rFonts w:hint="default" w:ascii="Times New Roman" w:hAnsi="Times New Roman" w:cs="Times New Roman"/>
          <w:b/>
          <w:bCs/>
          <w:snapToGrid w:val="0"/>
          <w:lang w:val="en-US" w:eastAsia="zh-CN"/>
        </w:rPr>
        <w:t xml:space="preserve"> 废气处理设施图</w:t>
      </w:r>
    </w:p>
    <w:p>
      <w:pPr>
        <w:pStyle w:val="20"/>
      </w:pPr>
    </w:p>
    <w:p>
      <w:pPr>
        <w:pStyle w:val="67"/>
        <w:ind w:firstLine="198" w:firstLineChars="82"/>
      </w:pPr>
      <w:r>
        <w:t>4</w:t>
      </w:r>
      <w:r>
        <w:rPr>
          <w:rFonts w:hint="eastAsia"/>
        </w:rPr>
        <w:t>.</w:t>
      </w:r>
      <w:r>
        <w:t xml:space="preserve">1.3 </w:t>
      </w:r>
      <w:r>
        <w:rPr>
          <w:rFonts w:hint="eastAsia"/>
        </w:rPr>
        <w:t>噪声及</w:t>
      </w:r>
      <w:r>
        <w:t>污染治理措施</w:t>
      </w:r>
    </w:p>
    <w:p>
      <w:pPr>
        <w:ind w:firstLine="480"/>
        <w:rPr>
          <w:rFonts w:ascii="Times New Roman" w:hAnsi="Times New Roman" w:cs="Times New Roman"/>
        </w:rPr>
      </w:pPr>
      <w:bookmarkStart w:id="19" w:name="_Hlk493092989"/>
      <w:r>
        <w:rPr>
          <w:rFonts w:ascii="Times New Roman" w:hAnsi="Times New Roman" w:cs="Times New Roman"/>
        </w:rPr>
        <w:t>项目运营后，噪声设备主要包括抛丸机、空压机、</w:t>
      </w:r>
      <w:r>
        <w:rPr>
          <w:rFonts w:hint="eastAsia" w:ascii="Times New Roman" w:hAnsi="Times New Roman" w:cs="Times New Roman"/>
        </w:rPr>
        <w:t>数控激光切割机、等离子切割机、圆盘锯等</w:t>
      </w:r>
      <w:r>
        <w:rPr>
          <w:rFonts w:ascii="Times New Roman" w:hAnsi="Times New Roman" w:cs="Times New Roman"/>
        </w:rPr>
        <w:t>均产生机械噪声，噪声源强约75-90dB（A）。</w:t>
      </w:r>
      <w:bookmarkEnd w:id="19"/>
    </w:p>
    <w:p>
      <w:pPr>
        <w:ind w:firstLine="480"/>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项目</w:t>
      </w:r>
      <w:r>
        <w:rPr>
          <w:rFonts w:hint="eastAsia" w:ascii="Times New Roman" w:hAnsi="Times New Roman" w:cs="Times New Roman"/>
        </w:rPr>
        <w:t>生产</w:t>
      </w:r>
      <w:r>
        <w:rPr>
          <w:rFonts w:hint="eastAsia" w:ascii="Times New Roman" w:hAnsi="Times New Roman" w:cs="Times New Roman"/>
          <w:lang w:val="en-US" w:eastAsia="zh-CN"/>
        </w:rPr>
        <w:t>设备</w:t>
      </w:r>
      <w:r>
        <w:rPr>
          <w:rFonts w:hint="eastAsia" w:ascii="Times New Roman" w:hAnsi="Times New Roman" w:cs="Times New Roman"/>
        </w:rPr>
        <w:t>设置单独基础，并加设减振垫，以防治振动产生噪音；管道与风机口采用软连接，风机加装消声器；车间门窗、墙体等按照环保要求设计，可有效防止噪声的扩散和传播。</w:t>
      </w:r>
      <w:r>
        <w:rPr>
          <w:rFonts w:hint="eastAsia" w:ascii="Times New Roman" w:hAnsi="Times New Roman" w:cs="Times New Roman"/>
          <w:lang w:val="en-US" w:eastAsia="zh-CN"/>
        </w:rPr>
        <w:t>采取以上措施后，项目</w:t>
      </w:r>
      <w:r>
        <w:t>各厂界噪声等效声级昼间值均低于6</w:t>
      </w:r>
      <w:r>
        <w:rPr>
          <w:rFonts w:hint="eastAsia"/>
          <w:lang w:val="en-US" w:eastAsia="zh-CN"/>
        </w:rPr>
        <w:t>0</w:t>
      </w:r>
      <w:r>
        <w:t>dB(A)，夜间值均低于5</w:t>
      </w:r>
      <w:r>
        <w:rPr>
          <w:rFonts w:hint="eastAsia"/>
          <w:lang w:val="en-US" w:eastAsia="zh-CN"/>
        </w:rPr>
        <w:t>0</w:t>
      </w:r>
      <w:r>
        <w:t>dB(A)，</w:t>
      </w:r>
      <w:r>
        <w:rPr>
          <w:rFonts w:hint="eastAsia"/>
        </w:rPr>
        <w:t>能够</w:t>
      </w:r>
      <w:r>
        <w:t>满足《工业企业厂界环境噪声排放标准》（GB12348-2008）</w:t>
      </w:r>
      <w:r>
        <w:rPr>
          <w:rFonts w:hint="eastAsia"/>
          <w:lang w:val="en-US" w:eastAsia="zh-CN"/>
        </w:rPr>
        <w:t>2</w:t>
      </w:r>
      <w:r>
        <w:t>类标准要求</w:t>
      </w:r>
      <w:r>
        <w:rPr>
          <w:rFonts w:hint="eastAsia"/>
          <w:lang w:eastAsia="zh-CN"/>
        </w:rPr>
        <w:t>；</w:t>
      </w:r>
      <w:r>
        <w:rPr>
          <w:rFonts w:hint="eastAsia"/>
          <w:lang w:val="en-US" w:eastAsia="zh-CN"/>
        </w:rPr>
        <w:t>敏感点姚楼村和姚楼小学</w:t>
      </w:r>
      <w:r>
        <w:rPr>
          <w:rFonts w:hint="eastAsia" w:ascii="Times New Roman" w:hAnsi="Times New Roman" w:cs="Times New Roman"/>
          <w:snapToGrid w:val="0"/>
          <w:color w:val="auto"/>
          <w:lang w:val="en-US" w:eastAsia="zh-CN"/>
        </w:rPr>
        <w:t>昼、夜声环境</w:t>
      </w:r>
      <w:r>
        <w:rPr>
          <w:rFonts w:ascii="Times New Roman" w:hAnsi="Times New Roman" w:eastAsia="宋体"/>
          <w:color w:val="auto"/>
          <w:sz w:val="24"/>
          <w:szCs w:val="24"/>
        </w:rPr>
        <w:t>《声环境质量标准》（GB3096-2008）2类标准</w:t>
      </w:r>
      <w:r>
        <w:rPr>
          <w:rFonts w:hint="eastAsia" w:ascii="Times New Roman" w:hAnsi="Times New Roman" w:eastAsia="宋体"/>
          <w:color w:val="auto"/>
          <w:sz w:val="24"/>
          <w:szCs w:val="24"/>
          <w:lang w:eastAsia="zh-CN"/>
        </w:rPr>
        <w:t>。</w:t>
      </w:r>
    </w:p>
    <w:p>
      <w:pPr>
        <w:pStyle w:val="67"/>
        <w:ind w:left="0" w:leftChars="0" w:firstLine="0" w:firstLineChars="0"/>
      </w:pPr>
      <w:r>
        <w:rPr>
          <w:rFonts w:hint="eastAsia"/>
        </w:rPr>
        <w:t>4.</w:t>
      </w:r>
      <w:r>
        <w:t xml:space="preserve">1.4 </w:t>
      </w:r>
      <w:r>
        <w:rPr>
          <w:rFonts w:hint="eastAsia"/>
        </w:rPr>
        <w:t>固废及</w:t>
      </w:r>
      <w:r>
        <w:t>污染治理措施</w:t>
      </w:r>
    </w:p>
    <w:p>
      <w:pPr>
        <w:ind w:left="0" w:leftChars="0" w:firstLine="720" w:firstLineChars="300"/>
        <w:rPr>
          <w:rFonts w:hint="eastAsia"/>
        </w:rPr>
      </w:pPr>
      <w:r>
        <w:rPr>
          <w:rFonts w:hint="eastAsia" w:ascii="宋体" w:hAnsi="宋体"/>
          <w:kern w:val="0"/>
        </w:rPr>
        <w:t>建项目</w:t>
      </w:r>
      <w:r>
        <w:rPr>
          <w:rFonts w:hint="eastAsia" w:ascii="宋体" w:hAnsi="宋体"/>
          <w:bCs/>
          <w:kern w:val="0"/>
        </w:rPr>
        <w:t>营运期</w:t>
      </w:r>
      <w:r>
        <w:rPr>
          <w:rFonts w:hint="eastAsia"/>
        </w:rPr>
        <w:t>产生的固体废弃物为生活垃圾、一般固废和危险废物。</w:t>
      </w:r>
    </w:p>
    <w:p>
      <w:pPr>
        <w:ind w:firstLine="480"/>
        <w:jc w:val="center"/>
        <w:rPr>
          <w:rFonts w:hint="eastAsia"/>
          <w:b/>
          <w:bCs/>
        </w:rPr>
      </w:pPr>
      <w:r>
        <w:rPr>
          <w:rFonts w:hint="eastAsia"/>
          <w:b/>
          <w:bCs/>
        </w:rPr>
        <w:t>表</w:t>
      </w:r>
      <w:r>
        <w:rPr>
          <w:rFonts w:hint="eastAsia"/>
          <w:b/>
          <w:bCs/>
          <w:lang w:val="en-US" w:eastAsia="zh-CN"/>
        </w:rPr>
        <w:t>4.1-1</w:t>
      </w:r>
      <w:r>
        <w:rPr>
          <w:rFonts w:hint="eastAsia"/>
          <w:b/>
          <w:bCs/>
        </w:rPr>
        <w:t xml:space="preserve"> 项目固体废物产生及处理处置情况</w:t>
      </w:r>
    </w:p>
    <w:tbl>
      <w:tblPr>
        <w:tblStyle w:val="43"/>
        <w:tblW w:w="4996" w:type="pct"/>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37"/>
        <w:gridCol w:w="637"/>
        <w:gridCol w:w="638"/>
        <w:gridCol w:w="638"/>
        <w:gridCol w:w="781"/>
        <w:gridCol w:w="962"/>
        <w:gridCol w:w="1351"/>
        <w:gridCol w:w="1080"/>
        <w:gridCol w:w="699"/>
        <w:gridCol w:w="64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98"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序号</w:t>
            </w:r>
          </w:p>
        </w:tc>
        <w:tc>
          <w:tcPr>
            <w:tcW w:w="398"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固废</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名称</w:t>
            </w:r>
          </w:p>
        </w:tc>
        <w:tc>
          <w:tcPr>
            <w:tcW w:w="398"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属性（危险废物、一般工业固体废物或待鉴别）</w:t>
            </w:r>
          </w:p>
        </w:tc>
        <w:tc>
          <w:tcPr>
            <w:tcW w:w="398"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产生工序</w:t>
            </w:r>
          </w:p>
        </w:tc>
        <w:tc>
          <w:tcPr>
            <w:tcW w:w="487"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危险</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特性</w:t>
            </w:r>
          </w:p>
        </w:tc>
        <w:tc>
          <w:tcPr>
            <w:tcW w:w="599"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废物</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类别</w:t>
            </w:r>
          </w:p>
        </w:tc>
        <w:tc>
          <w:tcPr>
            <w:tcW w:w="840" w:type="pct"/>
            <w:tcBorders>
              <w:top w:val="single" w:color="auto" w:sz="12"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废物代码</w:t>
            </w:r>
          </w:p>
        </w:tc>
        <w:tc>
          <w:tcPr>
            <w:tcW w:w="672" w:type="pct"/>
            <w:tcBorders>
              <w:top w:val="single" w:color="auto" w:sz="12"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环评报告</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产生量（t/a）</w:t>
            </w:r>
          </w:p>
        </w:tc>
        <w:tc>
          <w:tcPr>
            <w:tcW w:w="404" w:type="pct"/>
            <w:tcBorders>
              <w:top w:val="single" w:color="auto" w:sz="12" w:space="0"/>
              <w:left w:val="single" w:color="auto" w:sz="6"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实际产生量（t/a）</w:t>
            </w:r>
          </w:p>
        </w:tc>
        <w:tc>
          <w:tcPr>
            <w:tcW w:w="404" w:type="pct"/>
            <w:tcBorders>
              <w:top w:val="single" w:color="auto" w:sz="12" w:space="0"/>
              <w:left w:val="single" w:color="auto" w:sz="6"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rPr>
              <w:t>处理处置方法</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废油性漆桶、废稀释剂桶</w:t>
            </w:r>
          </w:p>
        </w:tc>
        <w:tc>
          <w:tcPr>
            <w:tcW w:w="398" w:type="pct"/>
            <w:vMerge w:val="restart"/>
            <w:tcBorders>
              <w:top w:val="single" w:color="auto" w:sz="4" w:space="0"/>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危险废物</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调漆</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T/In</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HW49</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900-041-49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w:t>
            </w:r>
          </w:p>
        </w:tc>
        <w:tc>
          <w:tcPr>
            <w:tcW w:w="672" w:type="dxa"/>
            <w:tcBorders>
              <w:top w:val="single" w:color="auto" w:sz="4" w:space="0"/>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w:t>
            </w:r>
          </w:p>
        </w:tc>
        <w:tc>
          <w:tcPr>
            <w:tcW w:w="404" w:type="pct"/>
            <w:vMerge w:val="restart"/>
            <w:tcBorders>
              <w:top w:val="single" w:color="auto" w:sz="4" w:space="0"/>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分类收集后，委托有资质单位安全处置</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漆渣</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喷涂</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T，I</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HW12</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900-252-12</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0.299</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0.299</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废过滤材料</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废气处理</w:t>
            </w:r>
            <w:r>
              <w:rPr>
                <w:rFonts w:hint="eastAsia" w:ascii="Times New Roman" w:hAnsi="Times New Roman" w:eastAsia="宋体" w:cs="Times New Roman"/>
                <w:color w:val="auto"/>
                <w:sz w:val="21"/>
                <w:szCs w:val="21"/>
                <w:lang w:val="en-US" w:eastAsia="zh-CN"/>
              </w:rPr>
              <w:t>装置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HW49</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900-039-49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13.89</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13.89</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4</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废活性炭</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废气处理</w:t>
            </w:r>
            <w:r>
              <w:rPr>
                <w:rFonts w:hint="eastAsia" w:ascii="Times New Roman" w:hAnsi="Times New Roman" w:eastAsia="宋体" w:cs="Times New Roman"/>
                <w:color w:val="auto"/>
                <w:sz w:val="21"/>
                <w:szCs w:val="21"/>
                <w:lang w:val="en-US" w:eastAsia="zh-CN"/>
              </w:rPr>
              <w:t>装置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HW49</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900-039-49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2.876</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2.876</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废切削液</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机加工</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HW09</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900-006-09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废机油</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设备保养维修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T，I</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HW08</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900-214-08</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0.5</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含油抹布和手套</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机加工、设备保养</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维修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T/In</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HW49</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900-041-49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404" w:type="pct"/>
            <w:vMerge w:val="restart"/>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交由环卫部门处理</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生活垃圾</w:t>
            </w:r>
          </w:p>
        </w:tc>
        <w:tc>
          <w:tcPr>
            <w:tcW w:w="398" w:type="pct"/>
            <w:vMerge w:val="restart"/>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一般工业固体废物</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办公、生活</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348-999-99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废边角料</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切割和机加工</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348-999-99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20</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20</w:t>
            </w:r>
          </w:p>
        </w:tc>
        <w:tc>
          <w:tcPr>
            <w:tcW w:w="404" w:type="pct"/>
            <w:vMerge w:val="restart"/>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收集后外售</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废钢丸</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抛丸</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348-999-99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2.5</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2.5</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废催化剂</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废气处理</w:t>
            </w:r>
            <w:r>
              <w:rPr>
                <w:rFonts w:hint="eastAsia" w:ascii="Times New Roman" w:hAnsi="Times New Roman" w:eastAsia="宋体" w:cs="Times New Roman"/>
                <w:color w:val="auto"/>
                <w:sz w:val="21"/>
                <w:szCs w:val="21"/>
                <w:lang w:val="en-US" w:eastAsia="zh-CN"/>
              </w:rPr>
              <w:t>装置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12</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废水性漆桶</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调漆</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348-999-99</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404" w:type="pct"/>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生产厂家回收</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13</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废滤筒</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废气处理</w:t>
            </w:r>
            <w:r>
              <w:rPr>
                <w:rFonts w:hint="eastAsia" w:ascii="Times New Roman" w:hAnsi="Times New Roman" w:eastAsia="宋体" w:cs="Times New Roman"/>
                <w:color w:val="auto"/>
                <w:sz w:val="21"/>
                <w:szCs w:val="21"/>
                <w:lang w:val="en-US" w:eastAsia="zh-CN"/>
              </w:rPr>
              <w:t>装置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348-999-66</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0.1</w:t>
            </w:r>
          </w:p>
        </w:tc>
        <w:tc>
          <w:tcPr>
            <w:tcW w:w="404" w:type="pct"/>
            <w:vMerge w:val="restart"/>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收集后外售</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14</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滤筒除尘灰</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废气处理</w:t>
            </w:r>
            <w:r>
              <w:rPr>
                <w:rFonts w:hint="eastAsia" w:ascii="Times New Roman" w:hAnsi="Times New Roman" w:eastAsia="宋体" w:cs="Times New Roman"/>
                <w:color w:val="auto"/>
                <w:sz w:val="21"/>
                <w:szCs w:val="21"/>
                <w:lang w:val="en-US" w:eastAsia="zh-CN"/>
              </w:rPr>
              <w:t>装置</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348-999-66</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21.9709</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21.9709</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w:t>
            </w: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焊渣</w:t>
            </w:r>
          </w:p>
        </w:tc>
        <w:tc>
          <w:tcPr>
            <w:tcW w:w="398" w:type="pct"/>
            <w:vMerge w:val="continue"/>
            <w:tcBorders>
              <w:left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398"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焊接</w:t>
            </w:r>
          </w:p>
        </w:tc>
        <w:tc>
          <w:tcPr>
            <w:tcW w:w="487"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599"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w:t>
            </w:r>
          </w:p>
        </w:tc>
        <w:tc>
          <w:tcPr>
            <w:tcW w:w="840" w:type="pct"/>
            <w:tcBorders>
              <w:top w:val="single" w:color="auto" w:sz="4" w:space="0"/>
              <w:left w:val="single" w:color="auto" w:sz="4" w:space="0"/>
              <w:bottom w:val="single" w:color="auto" w:sz="4"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348-999-66</w:t>
            </w:r>
          </w:p>
        </w:tc>
        <w:tc>
          <w:tcPr>
            <w:tcW w:w="672" w:type="pct"/>
            <w:tcBorders>
              <w:top w:val="single" w:color="auto" w:sz="4" w:space="0"/>
              <w:left w:val="single" w:color="auto" w:sz="4" w:space="0"/>
              <w:bottom w:val="single" w:color="auto" w:sz="4" w:space="0"/>
              <w:right w:val="single" w:color="auto" w:sz="6"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672" w:type="dxa"/>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0.3</w:t>
            </w:r>
          </w:p>
        </w:tc>
        <w:tc>
          <w:tcPr>
            <w:tcW w:w="404" w:type="pct"/>
            <w:vMerge w:val="continue"/>
            <w:tcBorders>
              <w:left w:val="single" w:color="auto" w:sz="6" w:space="0"/>
              <w:right w:val="single" w:color="auto"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bl>
    <w:p>
      <w:pPr>
        <w:ind w:firstLine="480"/>
        <w:rPr>
          <w:rFonts w:hint="default" w:eastAsiaTheme="minorEastAsia"/>
          <w:color w:val="auto"/>
          <w:kern w:val="0"/>
          <w:lang w:val="en-US" w:eastAsia="zh-CN"/>
        </w:rPr>
      </w:pPr>
      <w:r>
        <w:rPr>
          <w:rFonts w:hint="default" w:ascii="Times New Roman" w:hAnsi="Times New Roman" w:cs="Times New Roman"/>
          <w:b w:val="0"/>
          <w:color w:val="auto"/>
          <w:szCs w:val="24"/>
          <w:lang w:val="en-US" w:eastAsia="zh-CN"/>
        </w:rPr>
        <w:t>项目在厂房外东南侧设置20m</w:t>
      </w:r>
      <w:r>
        <w:rPr>
          <w:rFonts w:hint="default" w:ascii="Times New Roman" w:hAnsi="Times New Roman" w:cs="Times New Roman"/>
          <w:b w:val="0"/>
          <w:color w:val="auto"/>
          <w:szCs w:val="24"/>
          <w:vertAlign w:val="superscript"/>
          <w:lang w:val="en-US" w:eastAsia="zh-CN"/>
        </w:rPr>
        <w:t>2</w:t>
      </w:r>
      <w:r>
        <w:rPr>
          <w:rFonts w:hint="default" w:ascii="Times New Roman" w:hAnsi="Times New Roman" w:cs="Times New Roman"/>
          <w:b w:val="0"/>
          <w:color w:val="auto"/>
          <w:szCs w:val="24"/>
          <w:lang w:val="en-US" w:eastAsia="zh-CN"/>
        </w:rPr>
        <w:t>危废暂存间，</w:t>
      </w:r>
      <w:r>
        <w:rPr>
          <w:rFonts w:hint="eastAsia"/>
          <w:color w:val="auto"/>
          <w:kern w:val="0"/>
        </w:rPr>
        <w:t>已采取地面水泥</w:t>
      </w:r>
      <w:r>
        <w:rPr>
          <w:color w:val="auto"/>
          <w:kern w:val="0"/>
        </w:rPr>
        <w:t>硬化</w:t>
      </w:r>
      <w:r>
        <w:rPr>
          <w:rFonts w:hint="eastAsia"/>
          <w:color w:val="auto"/>
          <w:kern w:val="0"/>
        </w:rPr>
        <w:t>，</w:t>
      </w:r>
      <w:r>
        <w:rPr>
          <w:color w:val="auto"/>
          <w:kern w:val="0"/>
        </w:rPr>
        <w:t>并采用环氧树脂</w:t>
      </w:r>
      <w:r>
        <w:rPr>
          <w:rFonts w:hint="eastAsia"/>
          <w:color w:val="auto"/>
          <w:kern w:val="0"/>
        </w:rPr>
        <w:t>涂覆，液体</w:t>
      </w:r>
      <w:r>
        <w:rPr>
          <w:color w:val="auto"/>
          <w:kern w:val="0"/>
        </w:rPr>
        <w:t>贮存区</w:t>
      </w:r>
      <w:r>
        <w:rPr>
          <w:rFonts w:hint="eastAsia"/>
          <w:color w:val="auto"/>
          <w:kern w:val="0"/>
        </w:rPr>
        <w:t>四周设置了</w:t>
      </w:r>
      <w:r>
        <w:rPr>
          <w:color w:val="auto"/>
          <w:kern w:val="0"/>
        </w:rPr>
        <w:t>集液沟（</w:t>
      </w:r>
      <w:r>
        <w:rPr>
          <w:rFonts w:hint="eastAsia"/>
          <w:color w:val="auto"/>
          <w:kern w:val="0"/>
        </w:rPr>
        <w:t>见</w:t>
      </w:r>
      <w:r>
        <w:rPr>
          <w:color w:val="auto"/>
          <w:kern w:val="0"/>
        </w:rPr>
        <w:t>下图）</w:t>
      </w:r>
      <w:r>
        <w:rPr>
          <w:rFonts w:hint="eastAsia"/>
          <w:color w:val="auto"/>
          <w:kern w:val="0"/>
        </w:rPr>
        <w:t>。</w:t>
      </w:r>
      <w:r>
        <w:rPr>
          <w:rFonts w:hint="eastAsia"/>
          <w:color w:val="auto"/>
          <w:kern w:val="0"/>
          <w:lang w:val="en-US" w:eastAsia="zh-CN"/>
        </w:rPr>
        <w:t>危废暂存间</w:t>
      </w:r>
      <w:r>
        <w:rPr>
          <w:rFonts w:hint="default" w:ascii="Times New Roman" w:hAnsi="Times New Roman" w:cs="Times New Roman"/>
          <w:b w:val="0"/>
          <w:color w:val="auto"/>
          <w:szCs w:val="24"/>
          <w:lang w:val="en-US" w:eastAsia="zh-CN"/>
        </w:rPr>
        <w:t>最大贮存量为20t，本项目危废产生量为</w:t>
      </w:r>
      <w:r>
        <w:rPr>
          <w:rFonts w:hint="eastAsia" w:ascii="Times New Roman" w:hAnsi="Times New Roman" w:cs="Times New Roman"/>
          <w:b w:val="0"/>
          <w:color w:val="auto"/>
          <w:szCs w:val="24"/>
          <w:lang w:val="en-US" w:eastAsia="zh-CN"/>
        </w:rPr>
        <w:t>20.365</w:t>
      </w:r>
      <w:r>
        <w:rPr>
          <w:rFonts w:hint="default" w:ascii="Times New Roman" w:hAnsi="Times New Roman" w:cs="Times New Roman"/>
          <w:b w:val="0"/>
          <w:color w:val="auto"/>
          <w:szCs w:val="24"/>
          <w:lang w:val="en-US" w:eastAsia="zh-CN"/>
        </w:rPr>
        <w:t>t/a，每半年周转一次，</w:t>
      </w:r>
      <w:r>
        <w:rPr>
          <w:color w:val="auto"/>
          <w:kern w:val="0"/>
        </w:rPr>
        <w:t>交</w:t>
      </w:r>
      <w:r>
        <w:rPr>
          <w:rFonts w:hint="eastAsia"/>
          <w:color w:val="auto"/>
          <w:kern w:val="0"/>
          <w:lang w:val="en-US" w:eastAsia="zh-CN"/>
        </w:rPr>
        <w:t>由威立雅环境服务（淮北）有限公司</w:t>
      </w:r>
      <w:r>
        <w:rPr>
          <w:color w:val="auto"/>
          <w:kern w:val="0"/>
        </w:rPr>
        <w:t>处理</w:t>
      </w:r>
      <w:r>
        <w:rPr>
          <w:rFonts w:hint="eastAsia"/>
          <w:color w:val="auto"/>
          <w:kern w:val="0"/>
        </w:rPr>
        <w:t>。</w:t>
      </w:r>
    </w:p>
    <w:tbl>
      <w:tblPr>
        <w:tblStyle w:val="44"/>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8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544" w:hRule="atLeast"/>
          <w:jc w:val="center"/>
        </w:trPr>
        <w:tc>
          <w:tcPr>
            <w:tcW w:w="5000" w:type="pct"/>
          </w:tcPr>
          <w:p>
            <w:pPr>
              <w:ind w:left="0" w:leftChars="0" w:firstLine="0" w:firstLineChars="0"/>
              <w:jc w:val="both"/>
              <w:rPr>
                <w:rFonts w:ascii="Times New Roman" w:hAnsi="Times New Roman" w:eastAsia="宋体" w:cs="Times New Roman"/>
                <w:kern w:val="0"/>
              </w:rPr>
            </w:pPr>
            <w:r>
              <w:drawing>
                <wp:inline distT="0" distB="0" distL="114300" distR="114300">
                  <wp:extent cx="5268595" cy="5466715"/>
                  <wp:effectExtent l="0" t="0" r="8255" b="63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31"/>
                          <a:stretch>
                            <a:fillRect/>
                          </a:stretch>
                        </pic:blipFill>
                        <pic:spPr>
                          <a:xfrm>
                            <a:off x="0" y="0"/>
                            <a:ext cx="5268595" cy="546671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44" w:hRule="atLeast"/>
          <w:jc w:val="center"/>
        </w:trPr>
        <w:tc>
          <w:tcPr>
            <w:tcW w:w="5000" w:type="pct"/>
          </w:tcPr>
          <w:p>
            <w:pPr>
              <w:ind w:left="0" w:leftChars="0" w:firstLine="0" w:firstLineChars="0"/>
              <w:jc w:val="both"/>
            </w:pPr>
            <w:r>
              <w:drawing>
                <wp:inline distT="0" distB="0" distL="114300" distR="114300">
                  <wp:extent cx="5269865" cy="3994150"/>
                  <wp:effectExtent l="0" t="0" r="6985" b="635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32"/>
                          <a:stretch>
                            <a:fillRect/>
                          </a:stretch>
                        </pic:blipFill>
                        <pic:spPr>
                          <a:xfrm>
                            <a:off x="0" y="0"/>
                            <a:ext cx="5269865" cy="39941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4" w:hRule="exact"/>
          <w:jc w:val="center"/>
        </w:trPr>
        <w:tc>
          <w:tcPr>
            <w:tcW w:w="5000" w:type="pct"/>
          </w:tcPr>
          <w:p>
            <w:pPr>
              <w:ind w:firstLine="480"/>
              <w:jc w:val="center"/>
              <w:rPr>
                <w:kern w:val="0"/>
              </w:rPr>
            </w:pPr>
            <w:r>
              <w:rPr>
                <w:rFonts w:hint="eastAsia"/>
                <w:b/>
                <w:bCs/>
                <w:kern w:val="0"/>
              </w:rPr>
              <w:t>项目</w:t>
            </w:r>
            <w:r>
              <w:rPr>
                <w:b/>
                <w:bCs/>
                <w:kern w:val="0"/>
              </w:rPr>
              <w:t>危废间建设情况</w:t>
            </w:r>
          </w:p>
        </w:tc>
      </w:tr>
    </w:tbl>
    <w:p>
      <w:pPr>
        <w:pStyle w:val="62"/>
        <w:ind w:left="0" w:leftChars="0" w:firstLine="0" w:firstLineChars="0"/>
      </w:pPr>
      <w:bookmarkStart w:id="20" w:name="_Toc30473"/>
      <w:r>
        <w:rPr>
          <w:rFonts w:hint="eastAsia"/>
        </w:rPr>
        <w:t>4.2其他环境保护设施</w:t>
      </w:r>
      <w:bookmarkEnd w:id="20"/>
    </w:p>
    <w:p>
      <w:pPr>
        <w:pStyle w:val="67"/>
        <w:ind w:left="0" w:leftChars="0" w:firstLine="0" w:firstLineChars="0"/>
      </w:pPr>
      <w:r>
        <w:rPr>
          <w:rFonts w:hint="eastAsia"/>
        </w:rPr>
        <w:t>4.2.1环境风险防范设施</w:t>
      </w:r>
    </w:p>
    <w:p>
      <w:pPr>
        <w:ind w:firstLine="480"/>
        <w:rPr>
          <w:kern w:val="0"/>
        </w:rPr>
      </w:pPr>
      <w:r>
        <w:t>项目</w:t>
      </w:r>
      <w:r>
        <w:rPr>
          <w:rFonts w:hint="eastAsia"/>
        </w:rPr>
        <w:t>依托安徽正民重工科技有限公司事故池（容积250</w:t>
      </w:r>
      <w:r>
        <w:t>m³</w:t>
      </w:r>
      <w:r>
        <w:rPr>
          <w:rFonts w:hint="eastAsia"/>
        </w:rPr>
        <w:t>）</w:t>
      </w:r>
      <w:r>
        <w:t>，</w:t>
      </w:r>
      <w:r>
        <w:rPr>
          <w:kern w:val="0"/>
        </w:rPr>
        <w:t>用于储存厂区内发生火灾事故后产生的消防废水。</w:t>
      </w:r>
      <w:r>
        <w:rPr>
          <w:rFonts w:hint="eastAsia"/>
        </w:rPr>
        <w:t>企业</w:t>
      </w:r>
      <w:r>
        <w:rPr>
          <w:rFonts w:hint="eastAsia"/>
          <w:lang w:val="en-US" w:eastAsia="zh-CN"/>
        </w:rPr>
        <w:t>正在编制</w:t>
      </w:r>
      <w:r>
        <w:rPr>
          <w:lang w:val="zh-CN"/>
        </w:rPr>
        <w:t>突发环境</w:t>
      </w:r>
      <w:r>
        <w:rPr>
          <w:rFonts w:hint="eastAsia"/>
          <w:lang w:val="zh-CN"/>
        </w:rPr>
        <w:t>事件</w:t>
      </w:r>
      <w:r>
        <w:rPr>
          <w:lang w:val="zh-CN"/>
        </w:rPr>
        <w:t>应急预案。</w:t>
      </w:r>
    </w:p>
    <w:p>
      <w:pPr>
        <w:pStyle w:val="62"/>
        <w:ind w:left="0" w:leftChars="0" w:firstLine="0" w:firstLineChars="0"/>
      </w:pPr>
      <w:bookmarkStart w:id="21" w:name="_Toc12460"/>
      <w:r>
        <w:t>4</w:t>
      </w:r>
      <w:r>
        <w:rPr>
          <w:rFonts w:hint="eastAsia"/>
        </w:rPr>
        <w:t>.</w:t>
      </w:r>
      <w:r>
        <w:rPr>
          <w:rFonts w:hint="eastAsia"/>
          <w:lang w:val="en-US"/>
        </w:rPr>
        <w:t>3</w:t>
      </w:r>
      <w:r>
        <w:t xml:space="preserve"> </w:t>
      </w:r>
      <w:r>
        <w:rPr>
          <w:rFonts w:hint="eastAsia"/>
        </w:rPr>
        <w:t>环保设施投资</w:t>
      </w:r>
      <w:r>
        <w:t>及“</w:t>
      </w:r>
      <w:r>
        <w:rPr>
          <w:rFonts w:hint="eastAsia"/>
        </w:rPr>
        <w:t>三同时</w:t>
      </w:r>
      <w:r>
        <w:t>”</w:t>
      </w:r>
      <w:r>
        <w:rPr>
          <w:rFonts w:hint="eastAsia"/>
        </w:rPr>
        <w:t>落实情况</w:t>
      </w:r>
      <w:bookmarkEnd w:id="21"/>
    </w:p>
    <w:p>
      <w:pPr>
        <w:pStyle w:val="67"/>
        <w:ind w:left="0" w:leftChars="0" w:firstLine="0" w:firstLineChars="0"/>
      </w:pPr>
      <w:r>
        <w:rPr>
          <w:rFonts w:hint="eastAsia"/>
        </w:rPr>
        <w:t>4.3.1</w:t>
      </w:r>
      <w:r>
        <w:t xml:space="preserve"> </w:t>
      </w:r>
      <w:r>
        <w:rPr>
          <w:rFonts w:hint="eastAsia"/>
        </w:rPr>
        <w:t>环保设施投资</w:t>
      </w:r>
      <w:r>
        <w:t>情况</w:t>
      </w:r>
    </w:p>
    <w:p>
      <w:pPr>
        <w:ind w:firstLine="480"/>
      </w:pPr>
      <w:r>
        <w:rPr>
          <w:rFonts w:hint="eastAsia"/>
        </w:rPr>
        <w:t>项目计划</w:t>
      </w:r>
      <w:r>
        <w:t>总投资</w:t>
      </w:r>
      <w:r>
        <w:rPr>
          <w:rFonts w:hint="eastAsia"/>
          <w:kern w:val="0"/>
          <w:shd w:val="clear" w:color="auto" w:fill="FFFFFF"/>
          <w:lang w:val="en-US" w:eastAsia="zh-CN"/>
        </w:rPr>
        <w:t>3000</w:t>
      </w:r>
      <w:r>
        <w:rPr>
          <w:rFonts w:hAnsi="宋体"/>
          <w:kern w:val="0"/>
          <w:shd w:val="clear" w:color="auto" w:fill="FFFFFF"/>
        </w:rPr>
        <w:t>万元</w:t>
      </w:r>
      <w:r>
        <w:t>，</w:t>
      </w:r>
      <w:r>
        <w:rPr>
          <w:rFonts w:hint="eastAsia"/>
        </w:rPr>
        <w:t>实际总投资</w:t>
      </w:r>
      <w:r>
        <w:rPr>
          <w:rFonts w:hint="eastAsia"/>
          <w:lang w:val="en-US" w:eastAsia="zh-CN"/>
        </w:rPr>
        <w:t>2800</w:t>
      </w:r>
      <w:r>
        <w:rPr>
          <w:rFonts w:hint="eastAsia"/>
        </w:rPr>
        <w:t>万元，计划环保投资</w:t>
      </w:r>
      <w:r>
        <w:rPr>
          <w:rFonts w:hint="eastAsia"/>
          <w:lang w:val="en-US" w:eastAsia="zh-CN"/>
        </w:rPr>
        <w:t>198</w:t>
      </w:r>
      <w:r>
        <w:rPr>
          <w:rFonts w:hint="eastAsia"/>
        </w:rPr>
        <w:t>万元，实际环保投资140万元，占实际总投资</w:t>
      </w:r>
      <w:r>
        <w:rPr>
          <w:rFonts w:hint="eastAsia"/>
          <w:lang w:val="en-US" w:eastAsia="zh-CN"/>
        </w:rPr>
        <w:t>5</w:t>
      </w:r>
      <w:r>
        <w:rPr>
          <w:rFonts w:hint="eastAsia"/>
        </w:rPr>
        <w:t>%。</w:t>
      </w:r>
    </w:p>
    <w:p>
      <w:pPr>
        <w:ind w:left="720" w:leftChars="300" w:firstLine="480" w:firstLineChars="200"/>
        <w:rPr>
          <w:rFonts w:hint="eastAsia"/>
        </w:rPr>
        <w:sectPr>
          <w:headerReference r:id="rId13" w:type="default"/>
          <w:pgSz w:w="11906" w:h="16838"/>
          <w:pgMar w:top="1440" w:right="1800" w:bottom="1440" w:left="2040" w:header="851" w:footer="992" w:gutter="0"/>
          <w:cols w:space="425" w:num="1"/>
          <w:docGrid w:type="lines" w:linePitch="312" w:charSpace="0"/>
        </w:sectPr>
      </w:pPr>
    </w:p>
    <w:p>
      <w:pPr>
        <w:pStyle w:val="19"/>
        <w:spacing w:line="240" w:lineRule="auto"/>
        <w:ind w:firstLine="0"/>
        <w:jc w:val="center"/>
        <w:rPr>
          <w:rFonts w:ascii="Times New Roman" w:hAnsi="Times New Roman" w:eastAsia="宋体"/>
          <w:b/>
          <w:color w:val="auto"/>
          <w:sz w:val="24"/>
          <w:szCs w:val="24"/>
        </w:rPr>
      </w:pPr>
      <w:r>
        <w:rPr>
          <w:rFonts w:ascii="Times New Roman" w:hAnsi="Times New Roman" w:eastAsia="宋体"/>
          <w:b/>
          <w:color w:val="auto"/>
          <w:sz w:val="24"/>
          <w:szCs w:val="24"/>
        </w:rPr>
        <w:t>表</w:t>
      </w:r>
      <w:r>
        <w:rPr>
          <w:rFonts w:hint="eastAsia" w:ascii="Times New Roman" w:hAnsi="Times New Roman" w:eastAsia="宋体"/>
          <w:b/>
          <w:color w:val="auto"/>
          <w:sz w:val="24"/>
          <w:szCs w:val="24"/>
          <w:lang w:val="en-US" w:eastAsia="zh-CN"/>
        </w:rPr>
        <w:t>4.3-1</w:t>
      </w:r>
      <w:r>
        <w:rPr>
          <w:rFonts w:ascii="Times New Roman" w:hAnsi="Times New Roman" w:eastAsia="宋体"/>
          <w:b/>
          <w:color w:val="auto"/>
          <w:sz w:val="24"/>
          <w:szCs w:val="24"/>
        </w:rPr>
        <w:t xml:space="preserve"> </w:t>
      </w:r>
      <w:r>
        <w:rPr>
          <w:rFonts w:hint="eastAsia" w:ascii="Times New Roman" w:hAnsi="Times New Roman" w:eastAsia="宋体"/>
          <w:b/>
          <w:color w:val="auto"/>
          <w:sz w:val="24"/>
          <w:szCs w:val="24"/>
        </w:rPr>
        <w:t xml:space="preserve"> 项目</w:t>
      </w:r>
      <w:r>
        <w:rPr>
          <w:rFonts w:ascii="Times New Roman" w:hAnsi="Times New Roman" w:eastAsia="宋体"/>
          <w:b/>
          <w:color w:val="auto"/>
          <w:sz w:val="24"/>
          <w:szCs w:val="24"/>
        </w:rPr>
        <w:t>环保设施</w:t>
      </w:r>
      <w:r>
        <w:rPr>
          <w:rFonts w:hint="eastAsia" w:ascii="Times New Roman" w:hAnsi="Times New Roman" w:eastAsia="宋体"/>
          <w:b/>
          <w:color w:val="auto"/>
          <w:sz w:val="24"/>
          <w:szCs w:val="24"/>
          <w:lang w:val="en-US" w:eastAsia="zh-CN"/>
        </w:rPr>
        <w:t>投资</w:t>
      </w:r>
      <w:r>
        <w:rPr>
          <w:rFonts w:ascii="Times New Roman" w:hAnsi="Times New Roman" w:eastAsia="宋体"/>
          <w:b/>
          <w:color w:val="auto"/>
          <w:sz w:val="24"/>
          <w:szCs w:val="24"/>
        </w:rPr>
        <w:t>一览表</w:t>
      </w:r>
    </w:p>
    <w:tbl>
      <w:tblPr>
        <w:tblStyle w:val="43"/>
        <w:tblW w:w="5023"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05"/>
        <w:gridCol w:w="2922"/>
        <w:gridCol w:w="3"/>
        <w:gridCol w:w="3248"/>
        <w:gridCol w:w="2852"/>
        <w:gridCol w:w="1547"/>
        <w:gridCol w:w="155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Header/>
        </w:trPr>
        <w:tc>
          <w:tcPr>
            <w:tcW w:w="679"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类别</w:t>
            </w: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污染源</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治理措施</w:t>
            </w:r>
          </w:p>
        </w:tc>
        <w:tc>
          <w:tcPr>
            <w:tcW w:w="551" w:type="pct"/>
            <w:noWrap w:val="0"/>
            <w:vAlign w:val="center"/>
          </w:tcPr>
          <w:p>
            <w:pPr>
              <w:pStyle w:val="78"/>
              <w:keepNext w:val="0"/>
              <w:keepLines w:val="0"/>
              <w:suppressLineNumbers w:val="0"/>
              <w:spacing w:before="0" w:beforeAutospacing="0" w:after="0" w:afterAutospacing="0" w:line="240" w:lineRule="auto"/>
              <w:ind w:left="0" w:leftChars="0" w:right="0" w:firstLine="0" w:firstLineChars="0"/>
              <w:jc w:val="center"/>
              <w:rPr>
                <w:rFonts w:hint="eastAsia"/>
                <w:color w:val="auto"/>
                <w:kern w:val="2"/>
                <w:lang w:val="en-US" w:eastAsia="zh-CN"/>
              </w:rPr>
            </w:pPr>
            <w:r>
              <w:rPr>
                <w:rFonts w:hint="eastAsia"/>
                <w:color w:val="auto"/>
                <w:kern w:val="2"/>
                <w:lang w:val="en-US" w:eastAsia="zh-CN"/>
              </w:rPr>
              <w:t>环评报告</w:t>
            </w:r>
          </w:p>
          <w:p>
            <w:pPr>
              <w:pStyle w:val="78"/>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sz w:val="21"/>
                <w:szCs w:val="21"/>
              </w:rPr>
            </w:pPr>
            <w:r>
              <w:rPr>
                <w:rFonts w:hint="eastAsia"/>
                <w:color w:val="auto"/>
                <w:kern w:val="2"/>
                <w:lang w:val="en-US" w:eastAsia="zh-CN"/>
              </w:rPr>
              <w:t>投资（万元）</w:t>
            </w:r>
          </w:p>
        </w:tc>
        <w:tc>
          <w:tcPr>
            <w:tcW w:w="554" w:type="pct"/>
            <w:noWrap w:val="0"/>
            <w:vAlign w:val="center"/>
          </w:tcPr>
          <w:p>
            <w:pPr>
              <w:pStyle w:val="78"/>
              <w:keepNext w:val="0"/>
              <w:keepLines w:val="0"/>
              <w:suppressLineNumbers w:val="0"/>
              <w:spacing w:before="0" w:beforeAutospacing="0" w:after="0" w:afterAutospacing="0" w:line="240" w:lineRule="auto"/>
              <w:ind w:left="0" w:leftChars="0" w:right="0" w:firstLine="420" w:firstLineChars="200"/>
              <w:jc w:val="center"/>
              <w:rPr>
                <w:rFonts w:hint="eastAsia"/>
                <w:color w:val="auto"/>
                <w:kern w:val="2"/>
                <w:lang w:val="en-US" w:eastAsia="zh-CN"/>
              </w:rPr>
            </w:pPr>
            <w:r>
              <w:rPr>
                <w:rFonts w:hint="eastAsia"/>
                <w:color w:val="auto"/>
                <w:kern w:val="2"/>
                <w:lang w:val="en-US" w:eastAsia="zh-CN"/>
              </w:rPr>
              <w:t>实际投资</w:t>
            </w:r>
          </w:p>
          <w:p>
            <w:pPr>
              <w:pStyle w:val="78"/>
              <w:keepNext w:val="0"/>
              <w:keepLines w:val="0"/>
              <w:suppressLineNumbers w:val="0"/>
              <w:spacing w:before="0" w:beforeAutospacing="0" w:after="0" w:afterAutospacing="0" w:line="240" w:lineRule="auto"/>
              <w:ind w:left="0" w:leftChars="0" w:right="0" w:rightChars="0" w:firstLine="420" w:firstLineChars="200"/>
              <w:jc w:val="center"/>
              <w:rPr>
                <w:rFonts w:hint="eastAsia" w:ascii="Times New Roman" w:hAnsi="Times New Roman" w:eastAsia="宋体" w:cs="Times New Roman"/>
                <w:color w:val="auto"/>
                <w:sz w:val="21"/>
                <w:szCs w:val="21"/>
              </w:rPr>
            </w:pPr>
            <w:r>
              <w:rPr>
                <w:rFonts w:hint="eastAsia"/>
                <w:color w:val="auto"/>
                <w:kern w:val="2"/>
                <w:lang w:val="en-US" w:eastAsia="zh-CN"/>
              </w:rPr>
              <w:t>（万元）</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679"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废气</w:t>
            </w: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rPr>
              <w:t>下料切割</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焊接</w:t>
            </w:r>
          </w:p>
        </w:tc>
        <w:tc>
          <w:tcPr>
            <w:tcW w:w="1158"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经</w:t>
            </w:r>
            <w:r>
              <w:rPr>
                <w:rFonts w:hint="eastAsia" w:ascii="Times New Roman" w:hAnsi="Times New Roman" w:eastAsia="宋体" w:cs="Times New Roman"/>
                <w:color w:val="auto"/>
                <w:sz w:val="21"/>
                <w:szCs w:val="21"/>
                <w:lang w:val="en-US" w:eastAsia="zh-CN"/>
              </w:rPr>
              <w:t>8</w:t>
            </w:r>
            <w:r>
              <w:rPr>
                <w:rFonts w:hint="eastAsia" w:ascii="Times New Roman" w:hAnsi="Times New Roman" w:eastAsia="宋体" w:cs="Times New Roman"/>
                <w:color w:val="auto"/>
                <w:sz w:val="21"/>
                <w:szCs w:val="21"/>
              </w:rPr>
              <w:t>套滤筒除尘器处理</w:t>
            </w:r>
          </w:p>
        </w:tc>
        <w:tc>
          <w:tcPr>
            <w:tcW w:w="1016"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通过15m高排气筒排放（DA00</w:t>
            </w:r>
            <w:r>
              <w:rPr>
                <w:rFonts w:hint="eastAsia" w:ascii="Times New Roman" w:hAnsi="Times New Roman" w:eastAsia="宋体" w:cs="Times New Roman"/>
                <w:color w:val="auto"/>
                <w:sz w:val="21"/>
                <w:szCs w:val="21"/>
                <w:lang w:val="en-US" w:eastAsia="zh-CN"/>
              </w:rPr>
              <w:t>1、DA002</w:t>
            </w:r>
            <w:r>
              <w:rPr>
                <w:rFonts w:hint="eastAsia" w:ascii="Times New Roman" w:hAnsi="Times New Roman" w:eastAsia="宋体" w:cs="Times New Roman"/>
                <w:color w:val="auto"/>
                <w:sz w:val="21"/>
                <w:szCs w:val="21"/>
              </w:rPr>
              <w:t>）；</w:t>
            </w:r>
          </w:p>
        </w:tc>
        <w:tc>
          <w:tcPr>
            <w:tcW w:w="551" w:type="pct"/>
            <w:tcBorders>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8</w:t>
            </w:r>
          </w:p>
        </w:tc>
        <w:tc>
          <w:tcPr>
            <w:tcW w:w="554" w:type="pct"/>
            <w:tcBorders>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7"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抛丸</w:t>
            </w:r>
          </w:p>
        </w:tc>
        <w:tc>
          <w:tcPr>
            <w:tcW w:w="1158"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设备自带滤筒除尘器处理</w:t>
            </w:r>
          </w:p>
        </w:tc>
        <w:tc>
          <w:tcPr>
            <w:tcW w:w="1016"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p>
        </w:tc>
        <w:tc>
          <w:tcPr>
            <w:tcW w:w="551" w:type="pct"/>
            <w:tcBorders>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4</w:t>
            </w:r>
          </w:p>
        </w:tc>
        <w:tc>
          <w:tcPr>
            <w:tcW w:w="554" w:type="pct"/>
            <w:tcBorders>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1" w:type="pct"/>
            <w:tcBorders>
              <w:top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调漆、喷漆、晾干</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喷漆室、晾干室全密闭，负压收集并连接管道输送至</w:t>
            </w:r>
            <w:r>
              <w:rPr>
                <w:rFonts w:hint="eastAsia" w:ascii="Times New Roman" w:hAnsi="Times New Roman" w:eastAsia="宋体" w:cs="Times New Roman"/>
                <w:color w:val="auto"/>
                <w:sz w:val="21"/>
                <w:szCs w:val="21"/>
                <w:lang w:val="en-US" w:eastAsia="zh-CN"/>
              </w:rPr>
              <w:t>1套“</w:t>
            </w:r>
            <w:r>
              <w:rPr>
                <w:rFonts w:hint="eastAsia" w:ascii="Times New Roman" w:hAnsi="Times New Roman" w:eastAsia="宋体" w:cs="Times New Roman"/>
                <w:color w:val="auto"/>
                <w:sz w:val="21"/>
                <w:szCs w:val="21"/>
              </w:rPr>
              <w:t>干式过滤+活性炭吸附/脱附+催化燃烧</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装置处理，处理后</w:t>
            </w:r>
            <w:r>
              <w:rPr>
                <w:rFonts w:hint="eastAsia" w:ascii="Times New Roman" w:hAnsi="Times New Roman" w:eastAsia="宋体" w:cs="Times New Roman"/>
                <w:color w:val="auto"/>
                <w:sz w:val="21"/>
                <w:szCs w:val="21"/>
              </w:rPr>
              <w:t>通过15米高（DA00</w:t>
            </w:r>
            <w:r>
              <w:rPr>
                <w:rFonts w:hint="eastAsia" w:ascii="Times New Roman" w:hAnsi="Times New Roman" w:eastAsia="宋体" w:cs="Times New Roman"/>
                <w:color w:val="auto"/>
                <w:sz w:val="21"/>
                <w:szCs w:val="21"/>
                <w:lang w:val="en-US" w:eastAsia="zh-CN"/>
              </w:rPr>
              <w:t>3</w:t>
            </w:r>
            <w:r>
              <w:rPr>
                <w:rFonts w:hint="eastAsia" w:ascii="Times New Roman" w:hAnsi="Times New Roman" w:eastAsia="宋体" w:cs="Times New Roman"/>
                <w:color w:val="auto"/>
                <w:sz w:val="21"/>
                <w:szCs w:val="21"/>
              </w:rPr>
              <w:t>）排气筒</w:t>
            </w:r>
          </w:p>
        </w:tc>
        <w:tc>
          <w:tcPr>
            <w:tcW w:w="551"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554"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危废间</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微</w:t>
            </w:r>
            <w:r>
              <w:rPr>
                <w:rFonts w:hint="eastAsia" w:ascii="Times New Roman" w:hAnsi="Times New Roman" w:eastAsia="宋体" w:cs="Times New Roman"/>
                <w:color w:val="auto"/>
                <w:sz w:val="21"/>
                <w:szCs w:val="21"/>
              </w:rPr>
              <w:t>负压收集</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依托1套“</w:t>
            </w:r>
            <w:r>
              <w:rPr>
                <w:rFonts w:hint="eastAsia" w:ascii="Times New Roman" w:hAnsi="Times New Roman" w:eastAsia="宋体" w:cs="Times New Roman"/>
                <w:color w:val="auto"/>
                <w:sz w:val="21"/>
                <w:szCs w:val="21"/>
              </w:rPr>
              <w:t>干式过滤+活性炭吸附/脱附+催化燃烧</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装置处理，处理后</w:t>
            </w:r>
            <w:r>
              <w:rPr>
                <w:rFonts w:hint="eastAsia" w:ascii="Times New Roman" w:hAnsi="Times New Roman" w:eastAsia="宋体" w:cs="Times New Roman"/>
                <w:color w:val="auto"/>
                <w:sz w:val="21"/>
                <w:szCs w:val="21"/>
              </w:rPr>
              <w:t>通过15米高（DA00</w:t>
            </w:r>
            <w:r>
              <w:rPr>
                <w:rFonts w:hint="eastAsia" w:ascii="Times New Roman" w:hAnsi="Times New Roman" w:eastAsia="宋体" w:cs="Times New Roman"/>
                <w:color w:val="auto"/>
                <w:sz w:val="21"/>
                <w:szCs w:val="21"/>
                <w:lang w:val="en-US" w:eastAsia="zh-CN"/>
              </w:rPr>
              <w:t>3</w:t>
            </w:r>
            <w:r>
              <w:rPr>
                <w:rFonts w:hint="eastAsia" w:ascii="Times New Roman" w:hAnsi="Times New Roman" w:eastAsia="宋体" w:cs="Times New Roman"/>
                <w:color w:val="auto"/>
                <w:sz w:val="21"/>
                <w:szCs w:val="21"/>
              </w:rPr>
              <w:t>）排气筒</w:t>
            </w:r>
          </w:p>
        </w:tc>
        <w:tc>
          <w:tcPr>
            <w:tcW w:w="551"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val="en-US" w:eastAsia="zh-CN"/>
              </w:rPr>
              <w:t>2</w:t>
            </w:r>
          </w:p>
        </w:tc>
        <w:tc>
          <w:tcPr>
            <w:tcW w:w="554"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天然气燃烧</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cs="Times New Roman"/>
                <w:bCs/>
                <w:color w:val="auto"/>
                <w:sz w:val="21"/>
                <w:szCs w:val="21"/>
              </w:rPr>
              <w:t>由1</w:t>
            </w:r>
            <w:r>
              <w:rPr>
                <w:rFonts w:ascii="Times New Roman" w:hAnsi="Times New Roman" w:cs="Times New Roman"/>
                <w:bCs/>
                <w:color w:val="auto"/>
                <w:sz w:val="21"/>
                <w:szCs w:val="21"/>
              </w:rPr>
              <w:t>根15m高排气筒排放</w:t>
            </w:r>
            <w:r>
              <w:rPr>
                <w:rFonts w:hint="eastAsia" w:ascii="Times New Roman" w:hAnsi="Times New Roman" w:cs="Times New Roman"/>
                <w:bCs/>
                <w:color w:val="auto"/>
                <w:sz w:val="21"/>
                <w:szCs w:val="21"/>
              </w:rPr>
              <w:t>（DA00</w:t>
            </w:r>
            <w:r>
              <w:rPr>
                <w:rFonts w:hint="eastAsia" w:ascii="Times New Roman" w:hAnsi="Times New Roman" w:cs="Times New Roman"/>
                <w:bCs/>
                <w:color w:val="auto"/>
                <w:sz w:val="21"/>
                <w:szCs w:val="21"/>
                <w:lang w:val="en-US" w:eastAsia="zh-CN"/>
              </w:rPr>
              <w:t>4</w:t>
            </w:r>
            <w:r>
              <w:rPr>
                <w:rFonts w:hint="eastAsia" w:ascii="Times New Roman" w:hAnsi="Times New Roman" w:cs="Times New Roman"/>
                <w:bCs/>
                <w:color w:val="auto"/>
                <w:sz w:val="21"/>
                <w:szCs w:val="21"/>
              </w:rPr>
              <w:t>）</w:t>
            </w:r>
          </w:p>
        </w:tc>
        <w:tc>
          <w:tcPr>
            <w:tcW w:w="551"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554"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679" w:type="pct"/>
            <w:tcBorders>
              <w:top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废水</w:t>
            </w:r>
          </w:p>
        </w:tc>
        <w:tc>
          <w:tcPr>
            <w:tcW w:w="1041" w:type="pct"/>
            <w:tcBorders>
              <w:top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生活污水</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依托安徽正民万基重钢科技有限公司</w:t>
            </w:r>
            <w:r>
              <w:rPr>
                <w:rFonts w:hint="eastAsia" w:ascii="Times New Roman" w:hAnsi="Times New Roman" w:eastAsia="宋体" w:cs="Times New Roman"/>
                <w:color w:val="auto"/>
                <w:sz w:val="21"/>
                <w:szCs w:val="21"/>
                <w:lang w:val="en-US" w:eastAsia="zh-CN"/>
              </w:rPr>
              <w:t>污水管网及化粪池</w:t>
            </w:r>
          </w:p>
        </w:tc>
        <w:tc>
          <w:tcPr>
            <w:tcW w:w="551"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0</w:t>
            </w:r>
          </w:p>
        </w:tc>
        <w:tc>
          <w:tcPr>
            <w:tcW w:w="554" w:type="pct"/>
            <w:tcBorders>
              <w:top w:val="single" w:color="000000" w:sz="4" w:space="0"/>
              <w:bottom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5" w:hRule="atLeast"/>
        </w:trPr>
        <w:tc>
          <w:tcPr>
            <w:tcW w:w="679"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噪声</w:t>
            </w:r>
          </w:p>
        </w:tc>
        <w:tc>
          <w:tcPr>
            <w:tcW w:w="104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抛丸机、空压机、</w:t>
            </w:r>
          </w:p>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切割机等</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低噪声设备、基础减振、合理布局、加强绿化等</w:t>
            </w:r>
          </w:p>
        </w:tc>
        <w:tc>
          <w:tcPr>
            <w:tcW w:w="551" w:type="pct"/>
            <w:tcBorders>
              <w:top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w:t>
            </w:r>
          </w:p>
        </w:tc>
        <w:tc>
          <w:tcPr>
            <w:tcW w:w="554" w:type="pct"/>
            <w:tcBorders>
              <w:top w:val="single" w:color="000000" w:sz="4" w:space="0"/>
            </w:tcBorders>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9" w:hRule="atLeast"/>
        </w:trPr>
        <w:tc>
          <w:tcPr>
            <w:tcW w:w="679"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固废</w:t>
            </w:r>
          </w:p>
        </w:tc>
        <w:tc>
          <w:tcPr>
            <w:tcW w:w="1042"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一般工业固废</w:t>
            </w:r>
          </w:p>
        </w:tc>
        <w:tc>
          <w:tcPr>
            <w:tcW w:w="2173"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一般固废暂存场所（20m</w:t>
            </w:r>
            <w:r>
              <w:rPr>
                <w:rFonts w:hint="eastAsia" w:ascii="Times New Roman" w:hAnsi="Times New Roman" w:eastAsia="宋体" w:cs="Times New Roman"/>
                <w:color w:val="auto"/>
                <w:sz w:val="21"/>
                <w:szCs w:val="21"/>
                <w:vertAlign w:val="superscript"/>
              </w:rPr>
              <w:t>2</w:t>
            </w:r>
            <w:r>
              <w:rPr>
                <w:rFonts w:hint="eastAsia" w:ascii="Times New Roman" w:hAnsi="Times New Roman" w:eastAsia="宋体" w:cs="Times New Roman"/>
                <w:color w:val="auto"/>
                <w:sz w:val="21"/>
                <w:szCs w:val="21"/>
              </w:rPr>
              <w:t>），外售综合利用或合理处置</w:t>
            </w:r>
          </w:p>
        </w:tc>
        <w:tc>
          <w:tcPr>
            <w:tcW w:w="551"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8</w:t>
            </w:r>
          </w:p>
        </w:tc>
        <w:tc>
          <w:tcPr>
            <w:tcW w:w="554"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4"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2"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危险废物</w:t>
            </w:r>
          </w:p>
        </w:tc>
        <w:tc>
          <w:tcPr>
            <w:tcW w:w="2173"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危险废物暂存场所（20m</w:t>
            </w:r>
            <w:r>
              <w:rPr>
                <w:rFonts w:hint="eastAsia" w:ascii="Times New Roman" w:hAnsi="Times New Roman" w:eastAsia="宋体" w:cs="Times New Roman"/>
                <w:color w:val="auto"/>
                <w:sz w:val="21"/>
                <w:szCs w:val="21"/>
                <w:vertAlign w:val="baseline"/>
              </w:rPr>
              <w:t>2</w:t>
            </w:r>
            <w:r>
              <w:rPr>
                <w:rFonts w:hint="eastAsia" w:ascii="Times New Roman" w:hAnsi="Times New Roman" w:eastAsia="宋体" w:cs="Times New Roman"/>
                <w:color w:val="auto"/>
                <w:sz w:val="21"/>
                <w:szCs w:val="21"/>
              </w:rPr>
              <w:t>），危险固废交由有资质单位安全处置</w:t>
            </w:r>
          </w:p>
        </w:tc>
        <w:tc>
          <w:tcPr>
            <w:tcW w:w="551"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554"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2"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生活垃圾、含油抹布和手套</w:t>
            </w:r>
          </w:p>
        </w:tc>
        <w:tc>
          <w:tcPr>
            <w:tcW w:w="2173"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定期交由环卫部门处理</w:t>
            </w:r>
          </w:p>
        </w:tc>
        <w:tc>
          <w:tcPr>
            <w:tcW w:w="551"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554"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74" w:hRule="atLeast"/>
        </w:trPr>
        <w:tc>
          <w:tcPr>
            <w:tcW w:w="679"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地下水、土壤</w:t>
            </w:r>
          </w:p>
        </w:tc>
        <w:tc>
          <w:tcPr>
            <w:tcW w:w="3215" w:type="pct"/>
            <w:gridSpan w:val="4"/>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分区防渗，其中喷涂封闭区、油漆库、危废暂存间为重点防渗区；抛丸、切割、焊接、加工区、一般工业固废贮存场所等为一般防渗区；办公区为简单防渗区；</w:t>
            </w:r>
          </w:p>
        </w:tc>
        <w:tc>
          <w:tcPr>
            <w:tcW w:w="55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100</w:t>
            </w:r>
          </w:p>
        </w:tc>
        <w:tc>
          <w:tcPr>
            <w:tcW w:w="554"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52</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2" w:hRule="atLeast"/>
        </w:trPr>
        <w:tc>
          <w:tcPr>
            <w:tcW w:w="679"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排污口规范化设置</w:t>
            </w:r>
          </w:p>
        </w:tc>
        <w:tc>
          <w:tcPr>
            <w:tcW w:w="3215" w:type="pct"/>
            <w:gridSpan w:val="4"/>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污水排放口依托安徽正民万基重钢科技有限公司，不单独设排放口，设置</w:t>
            </w:r>
            <w:r>
              <w:rPr>
                <w:rFonts w:hint="eastAsia" w:ascii="Times New Roman" w:hAnsi="Times New Roman" w:eastAsia="宋体" w:cs="Times New Roman"/>
                <w:color w:val="auto"/>
                <w:sz w:val="21"/>
                <w:szCs w:val="21"/>
                <w:lang w:val="en-US" w:eastAsia="zh-CN"/>
              </w:rPr>
              <w:t>4</w:t>
            </w:r>
            <w:r>
              <w:rPr>
                <w:rFonts w:hint="eastAsia" w:ascii="Times New Roman" w:hAnsi="Times New Roman" w:eastAsia="宋体" w:cs="Times New Roman"/>
                <w:color w:val="auto"/>
                <w:sz w:val="21"/>
                <w:szCs w:val="21"/>
              </w:rPr>
              <w:t>个排气筒，废气、噪声设置环境保护图形标志牌。</w:t>
            </w:r>
          </w:p>
        </w:tc>
        <w:tc>
          <w:tcPr>
            <w:tcW w:w="55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10</w:t>
            </w:r>
          </w:p>
        </w:tc>
        <w:tc>
          <w:tcPr>
            <w:tcW w:w="554"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679"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风险防范措施</w:t>
            </w:r>
          </w:p>
        </w:tc>
        <w:tc>
          <w:tcPr>
            <w:tcW w:w="1041"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环境风险应急预案</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制定应急预案并实施演练，配备必要的应急监测仪器</w:t>
            </w:r>
          </w:p>
        </w:tc>
        <w:tc>
          <w:tcPr>
            <w:tcW w:w="551"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15</w:t>
            </w:r>
          </w:p>
        </w:tc>
        <w:tc>
          <w:tcPr>
            <w:tcW w:w="554" w:type="pct"/>
            <w:vMerge w:val="restar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679"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1041"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both"/>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托安徽正民重工科技有限公司事故池（容积250</w:t>
            </w:r>
            <w:r>
              <w:rPr>
                <w:rFonts w:hint="eastAsia" w:ascii="Times New Roman" w:hAnsi="Times New Roman" w:eastAsia="宋体" w:cs="Times New Roman"/>
                <w:color w:val="auto"/>
                <w:sz w:val="21"/>
                <w:szCs w:val="21"/>
              </w:rPr>
              <w:t>m³</w:t>
            </w:r>
            <w:r>
              <w:rPr>
                <w:rFonts w:hint="eastAsia"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rPr>
              <w:t>，职工培训、公众教育等</w:t>
            </w:r>
          </w:p>
        </w:tc>
        <w:tc>
          <w:tcPr>
            <w:tcW w:w="551"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c>
          <w:tcPr>
            <w:tcW w:w="554" w:type="pct"/>
            <w:vMerge w:val="continue"/>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1720" w:type="pct"/>
            <w:gridSpan w:val="2"/>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合计</w:t>
            </w:r>
          </w:p>
        </w:tc>
        <w:tc>
          <w:tcPr>
            <w:tcW w:w="2174" w:type="pct"/>
            <w:gridSpan w:val="3"/>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51"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198</w:t>
            </w:r>
          </w:p>
        </w:tc>
        <w:tc>
          <w:tcPr>
            <w:tcW w:w="554" w:type="pct"/>
            <w:noWrap w:val="0"/>
            <w:vAlign w:val="center"/>
          </w:tcPr>
          <w:p>
            <w:pPr>
              <w:pStyle w:val="111"/>
              <w:keepNext w:val="0"/>
              <w:keepLines w:val="0"/>
              <w:suppressLineNumbers w:val="0"/>
              <w:adjustRightIn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140</w:t>
            </w:r>
          </w:p>
        </w:tc>
      </w:tr>
    </w:tbl>
    <w:p>
      <w:pPr>
        <w:pStyle w:val="67"/>
        <w:ind w:firstLine="482"/>
      </w:pPr>
      <w:r>
        <w:rPr>
          <w:rFonts w:hint="eastAsia"/>
        </w:rPr>
        <w:t>4.3.1</w:t>
      </w:r>
      <w:r>
        <w:t xml:space="preserve"> </w:t>
      </w:r>
      <w:r>
        <w:rPr>
          <w:rFonts w:hint="eastAsia"/>
        </w:rPr>
        <w:t>环保设施“三同时”落实</w:t>
      </w:r>
      <w:r>
        <w:t>情况</w:t>
      </w:r>
    </w:p>
    <w:p>
      <w:pPr>
        <w:ind w:firstLine="480"/>
      </w:pPr>
      <w:r>
        <w:rPr>
          <w:rFonts w:hint="eastAsia"/>
        </w:rPr>
        <w:t>项目</w:t>
      </w:r>
      <w:r>
        <w:t>环保设施及三同时落实情况如下。</w:t>
      </w:r>
    </w:p>
    <w:p>
      <w:pPr>
        <w:ind w:firstLine="4337" w:firstLineChars="1800"/>
        <w:rPr>
          <w:b/>
          <w:bCs/>
          <w:sz w:val="24"/>
          <w:szCs w:val="24"/>
        </w:rPr>
      </w:pPr>
      <w:r>
        <w:rPr>
          <w:b/>
          <w:bCs/>
          <w:sz w:val="24"/>
          <w:szCs w:val="24"/>
        </w:rPr>
        <w:t>表4.</w:t>
      </w:r>
      <w:r>
        <w:rPr>
          <w:rFonts w:hint="eastAsia"/>
          <w:b/>
          <w:bCs/>
          <w:sz w:val="24"/>
          <w:szCs w:val="24"/>
        </w:rPr>
        <w:t>3-2</w:t>
      </w:r>
      <w:r>
        <w:rPr>
          <w:b/>
          <w:bCs/>
          <w:sz w:val="24"/>
          <w:szCs w:val="24"/>
        </w:rPr>
        <w:t xml:space="preserve">  </w:t>
      </w:r>
      <w:r>
        <w:rPr>
          <w:rFonts w:hint="eastAsia"/>
          <w:b/>
          <w:bCs/>
          <w:sz w:val="24"/>
          <w:szCs w:val="24"/>
        </w:rPr>
        <w:t>项目环保设施“三同时”落实</w:t>
      </w:r>
      <w:r>
        <w:rPr>
          <w:b/>
          <w:bCs/>
          <w:sz w:val="24"/>
          <w:szCs w:val="24"/>
        </w:rPr>
        <w:t>情况一览表</w:t>
      </w:r>
    </w:p>
    <w:tbl>
      <w:tblPr>
        <w:tblStyle w:val="43"/>
        <w:tblW w:w="4999"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06"/>
        <w:gridCol w:w="2269"/>
        <w:gridCol w:w="964"/>
        <w:gridCol w:w="743"/>
        <w:gridCol w:w="2532"/>
        <w:gridCol w:w="2277"/>
        <w:gridCol w:w="367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Header/>
        </w:trPr>
        <w:tc>
          <w:tcPr>
            <w:tcW w:w="53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类别</w:t>
            </w: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污染源</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污染物</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治理措施</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rPr>
              <w:t>落实情况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539"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废气</w:t>
            </w: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rPr>
              <w:t>下料切割</w:t>
            </w:r>
            <w:r>
              <w:rPr>
                <w:rFonts w:hint="eastAsia"/>
                <w:b w:val="0"/>
                <w:bCs/>
                <w:sz w:val="21"/>
                <w:szCs w:val="21"/>
                <w:lang w:eastAsia="zh-CN"/>
              </w:rPr>
              <w:t>、</w:t>
            </w:r>
            <w:r>
              <w:rPr>
                <w:rFonts w:hint="eastAsia"/>
                <w:b w:val="0"/>
                <w:bCs/>
                <w:sz w:val="21"/>
                <w:szCs w:val="21"/>
                <w:lang w:val="en-US" w:eastAsia="zh-CN"/>
              </w:rPr>
              <w:t>焊接</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颗粒物</w:t>
            </w:r>
          </w:p>
        </w:tc>
        <w:tc>
          <w:tcPr>
            <w:tcW w:w="906"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default"/>
                <w:b w:val="0"/>
                <w:bCs/>
                <w:sz w:val="21"/>
                <w:szCs w:val="21"/>
              </w:rPr>
              <w:t>经</w:t>
            </w:r>
            <w:r>
              <w:rPr>
                <w:rFonts w:hint="eastAsia"/>
                <w:b w:val="0"/>
                <w:bCs/>
                <w:sz w:val="21"/>
                <w:szCs w:val="21"/>
                <w:lang w:val="en-US" w:eastAsia="zh-CN"/>
              </w:rPr>
              <w:t>8</w:t>
            </w:r>
            <w:r>
              <w:rPr>
                <w:rFonts w:hint="eastAsia"/>
                <w:b w:val="0"/>
                <w:bCs/>
                <w:sz w:val="21"/>
                <w:szCs w:val="21"/>
              </w:rPr>
              <w:t>套滤筒</w:t>
            </w:r>
            <w:r>
              <w:rPr>
                <w:rFonts w:hint="default"/>
                <w:b w:val="0"/>
                <w:bCs/>
                <w:sz w:val="21"/>
                <w:szCs w:val="21"/>
              </w:rPr>
              <w:t>除尘器处理</w:t>
            </w:r>
          </w:p>
        </w:tc>
        <w:tc>
          <w:tcPr>
            <w:tcW w:w="815"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通过15m高排气筒排放</w:t>
            </w:r>
            <w:r>
              <w:rPr>
                <w:rFonts w:hint="eastAsia"/>
                <w:b w:val="0"/>
                <w:bCs/>
                <w:sz w:val="21"/>
                <w:szCs w:val="21"/>
              </w:rPr>
              <w:t>（DA00</w:t>
            </w:r>
            <w:r>
              <w:rPr>
                <w:rFonts w:hint="eastAsia"/>
                <w:b w:val="0"/>
                <w:bCs/>
                <w:sz w:val="21"/>
                <w:szCs w:val="21"/>
                <w:lang w:val="en-US" w:eastAsia="zh-CN"/>
              </w:rPr>
              <w:t>1、DA002</w:t>
            </w:r>
            <w:r>
              <w:rPr>
                <w:rFonts w:hint="eastAsia"/>
                <w:b w:val="0"/>
                <w:bCs/>
                <w:sz w:val="21"/>
                <w:szCs w:val="21"/>
              </w:rPr>
              <w:t>）；</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7"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抛丸</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颗粒物</w:t>
            </w:r>
          </w:p>
        </w:tc>
        <w:tc>
          <w:tcPr>
            <w:tcW w:w="906"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设备自带滤筒除尘器处理</w:t>
            </w:r>
          </w:p>
        </w:tc>
        <w:tc>
          <w:tcPr>
            <w:tcW w:w="815"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2"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812" w:type="pct"/>
            <w:tcBorders>
              <w:top w:val="single" w:color="000000" w:sz="4" w:space="0"/>
            </w:tcBorders>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调漆、</w:t>
            </w:r>
            <w:r>
              <w:rPr>
                <w:rFonts w:hint="default"/>
                <w:b w:val="0"/>
                <w:bCs/>
                <w:sz w:val="21"/>
                <w:szCs w:val="21"/>
              </w:rPr>
              <w:t>喷漆、</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晾干/</w:t>
            </w:r>
            <w:r>
              <w:rPr>
                <w:rFonts w:hint="default"/>
                <w:b w:val="0"/>
                <w:bCs/>
                <w:sz w:val="21"/>
                <w:szCs w:val="21"/>
              </w:rPr>
              <w:t>流平</w:t>
            </w:r>
            <w:r>
              <w:rPr>
                <w:rFonts w:hint="eastAsia"/>
                <w:b w:val="0"/>
                <w:bCs/>
                <w:sz w:val="21"/>
                <w:szCs w:val="21"/>
              </w:rPr>
              <w:t>-</w:t>
            </w:r>
            <w:r>
              <w:rPr>
                <w:rFonts w:hint="default"/>
                <w:b w:val="0"/>
                <w:bCs/>
                <w:sz w:val="21"/>
                <w:szCs w:val="21"/>
              </w:rPr>
              <w:t>烘干</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漆雾（颗粒物）、非甲烷总烃、</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二甲苯</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b w:val="0"/>
                <w:bCs/>
                <w:sz w:val="21"/>
                <w:szCs w:val="21"/>
              </w:rPr>
            </w:pPr>
            <w:r>
              <w:rPr>
                <w:rFonts w:hint="eastAsia"/>
                <w:b w:val="0"/>
                <w:bCs/>
                <w:sz w:val="21"/>
                <w:szCs w:val="21"/>
              </w:rPr>
              <w:t>喷漆室、晾干室全密闭，负压收集并连接管道输送至</w:t>
            </w:r>
            <w:r>
              <w:rPr>
                <w:rFonts w:hint="eastAsia"/>
                <w:b w:val="0"/>
                <w:bCs/>
                <w:sz w:val="21"/>
                <w:szCs w:val="21"/>
                <w:lang w:val="en-US" w:eastAsia="zh-CN"/>
              </w:rPr>
              <w:t>1套“</w:t>
            </w:r>
            <w:r>
              <w:rPr>
                <w:rFonts w:hint="eastAsia"/>
                <w:b w:val="0"/>
                <w:bCs/>
                <w:sz w:val="21"/>
                <w:szCs w:val="21"/>
              </w:rPr>
              <w:t>干式过滤+活性炭吸附/脱附+催化燃烧</w:t>
            </w:r>
            <w:r>
              <w:rPr>
                <w:rFonts w:hint="eastAsia"/>
                <w:b w:val="0"/>
                <w:bCs/>
                <w:sz w:val="21"/>
                <w:szCs w:val="21"/>
                <w:lang w:eastAsia="zh-CN"/>
              </w:rPr>
              <w:t>”</w:t>
            </w:r>
            <w:r>
              <w:rPr>
                <w:rFonts w:hint="eastAsia"/>
                <w:b w:val="0"/>
                <w:bCs/>
                <w:sz w:val="21"/>
                <w:szCs w:val="21"/>
                <w:lang w:val="en-US" w:eastAsia="zh-CN"/>
              </w:rPr>
              <w:t>装置处理，处理后</w:t>
            </w:r>
            <w:r>
              <w:rPr>
                <w:rFonts w:hint="eastAsia"/>
                <w:b w:val="0"/>
                <w:bCs/>
                <w:sz w:val="21"/>
                <w:szCs w:val="21"/>
              </w:rPr>
              <w:t>通过15米高（DA00</w:t>
            </w:r>
            <w:r>
              <w:rPr>
                <w:rFonts w:hint="eastAsia"/>
                <w:b w:val="0"/>
                <w:bCs/>
                <w:sz w:val="21"/>
                <w:szCs w:val="21"/>
                <w:lang w:val="en-US" w:eastAsia="zh-CN"/>
              </w:rPr>
              <w:t>3</w:t>
            </w:r>
            <w:r>
              <w:rPr>
                <w:rFonts w:hint="eastAsia"/>
                <w:b w:val="0"/>
                <w:bCs/>
                <w:sz w:val="21"/>
                <w:szCs w:val="21"/>
              </w:rPr>
              <w:t>）排气筒</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危废间</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非甲烷总烃</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微</w:t>
            </w:r>
            <w:r>
              <w:rPr>
                <w:rFonts w:hint="eastAsia"/>
                <w:b w:val="0"/>
                <w:bCs/>
                <w:sz w:val="21"/>
                <w:szCs w:val="21"/>
              </w:rPr>
              <w:t>负压收集</w:t>
            </w:r>
            <w:r>
              <w:rPr>
                <w:rFonts w:hint="eastAsia"/>
                <w:b w:val="0"/>
                <w:bCs/>
                <w:sz w:val="21"/>
                <w:szCs w:val="21"/>
                <w:lang w:eastAsia="zh-CN"/>
              </w:rPr>
              <w:t>，</w:t>
            </w:r>
            <w:r>
              <w:rPr>
                <w:rFonts w:hint="eastAsia"/>
                <w:b w:val="0"/>
                <w:bCs/>
                <w:sz w:val="21"/>
                <w:szCs w:val="21"/>
                <w:lang w:val="en-US" w:eastAsia="zh-CN"/>
              </w:rPr>
              <w:t>依托1套“</w:t>
            </w:r>
            <w:r>
              <w:rPr>
                <w:rFonts w:hint="eastAsia"/>
                <w:b w:val="0"/>
                <w:bCs/>
                <w:sz w:val="21"/>
                <w:szCs w:val="21"/>
              </w:rPr>
              <w:t>干式过滤+活性炭吸附/脱附+催化燃烧</w:t>
            </w:r>
            <w:r>
              <w:rPr>
                <w:rFonts w:hint="eastAsia"/>
                <w:b w:val="0"/>
                <w:bCs/>
                <w:sz w:val="21"/>
                <w:szCs w:val="21"/>
                <w:lang w:eastAsia="zh-CN"/>
              </w:rPr>
              <w:t>”</w:t>
            </w:r>
            <w:r>
              <w:rPr>
                <w:rFonts w:hint="eastAsia"/>
                <w:b w:val="0"/>
                <w:bCs/>
                <w:sz w:val="21"/>
                <w:szCs w:val="21"/>
                <w:lang w:val="en-US" w:eastAsia="zh-CN"/>
              </w:rPr>
              <w:t>装置处理，处理后</w:t>
            </w:r>
            <w:r>
              <w:rPr>
                <w:rFonts w:hint="eastAsia"/>
                <w:b w:val="0"/>
                <w:bCs/>
                <w:sz w:val="21"/>
                <w:szCs w:val="21"/>
              </w:rPr>
              <w:t>通过15米高（DA00</w:t>
            </w:r>
            <w:r>
              <w:rPr>
                <w:rFonts w:hint="eastAsia"/>
                <w:b w:val="0"/>
                <w:bCs/>
                <w:sz w:val="21"/>
                <w:szCs w:val="21"/>
                <w:lang w:val="en-US" w:eastAsia="zh-CN"/>
              </w:rPr>
              <w:t>3</w:t>
            </w:r>
            <w:r>
              <w:rPr>
                <w:rFonts w:hint="eastAsia"/>
                <w:b w:val="0"/>
                <w:bCs/>
                <w:sz w:val="21"/>
                <w:szCs w:val="21"/>
              </w:rPr>
              <w:t>）排气筒</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eastAsia="zh-CN"/>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天然气燃烧</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烟尘、SO2、NOX</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由1</w:t>
            </w:r>
            <w:r>
              <w:rPr>
                <w:rFonts w:hint="default"/>
                <w:b w:val="0"/>
                <w:bCs/>
                <w:sz w:val="21"/>
                <w:szCs w:val="21"/>
              </w:rPr>
              <w:t>根15m高排气筒排放</w:t>
            </w:r>
            <w:r>
              <w:rPr>
                <w:rFonts w:hint="eastAsia"/>
                <w:b w:val="0"/>
                <w:bCs/>
                <w:sz w:val="21"/>
                <w:szCs w:val="21"/>
              </w:rPr>
              <w:t>（DA00</w:t>
            </w:r>
            <w:r>
              <w:rPr>
                <w:rFonts w:hint="eastAsia"/>
                <w:b w:val="0"/>
                <w:bCs/>
                <w:sz w:val="21"/>
                <w:szCs w:val="21"/>
                <w:lang w:val="en-US" w:eastAsia="zh-CN"/>
              </w:rPr>
              <w:t>4</w:t>
            </w:r>
            <w:r>
              <w:rPr>
                <w:rFonts w:hint="eastAsia"/>
                <w:b w:val="0"/>
                <w:bCs/>
                <w:sz w:val="21"/>
                <w:szCs w:val="21"/>
              </w:rPr>
              <w:t>）；</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未建设，不在本次验收范围内</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39" w:type="pct"/>
            <w:tcBorders>
              <w:top w:val="single" w:color="000000" w:sz="4" w:space="0"/>
            </w:tcBorders>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废水</w:t>
            </w:r>
          </w:p>
        </w:tc>
        <w:tc>
          <w:tcPr>
            <w:tcW w:w="812" w:type="pct"/>
            <w:tcBorders>
              <w:top w:val="single" w:color="000000" w:sz="4" w:space="0"/>
            </w:tcBorders>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生活污水</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rPr>
              <w:t>COD、BOD5、SS、NH3-N</w:t>
            </w:r>
            <w:r>
              <w:rPr>
                <w:rFonts w:hint="eastAsia"/>
                <w:b w:val="0"/>
                <w:bCs/>
                <w:sz w:val="21"/>
                <w:szCs w:val="21"/>
              </w:rPr>
              <w:t>、TP</w:t>
            </w:r>
            <w:r>
              <w:rPr>
                <w:rFonts w:hint="eastAsia"/>
                <w:b w:val="0"/>
                <w:bCs/>
                <w:sz w:val="21"/>
                <w:szCs w:val="21"/>
                <w:lang w:eastAsia="zh-CN"/>
              </w:rPr>
              <w:t>、</w:t>
            </w:r>
            <w:r>
              <w:rPr>
                <w:rFonts w:hint="eastAsia"/>
                <w:b w:val="0"/>
                <w:bCs/>
                <w:sz w:val="21"/>
                <w:szCs w:val="21"/>
                <w:lang w:val="en-US" w:eastAsia="zh-CN"/>
              </w:rPr>
              <w:t>TN</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rPr>
              <w:t>依托安徽正民万基重钢科技有限公司</w:t>
            </w:r>
            <w:r>
              <w:rPr>
                <w:rFonts w:hint="eastAsia"/>
                <w:b w:val="0"/>
                <w:bCs/>
                <w:sz w:val="21"/>
                <w:szCs w:val="21"/>
                <w:lang w:val="en-US" w:eastAsia="zh-CN"/>
              </w:rPr>
              <w:t>污水管网及</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化粪池</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315" w:type="pct"/>
            <w:tcBorders>
              <w:top w:val="single" w:color="000000" w:sz="4" w:space="0"/>
            </w:tcBorders>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35" w:hRule="atLeast"/>
        </w:trPr>
        <w:tc>
          <w:tcPr>
            <w:tcW w:w="53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噪声</w:t>
            </w:r>
          </w:p>
        </w:tc>
        <w:tc>
          <w:tcPr>
            <w:tcW w:w="812"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抛丸机、空压机、</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切割机等</w:t>
            </w:r>
          </w:p>
        </w:tc>
        <w:tc>
          <w:tcPr>
            <w:tcW w:w="610"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噪声</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低噪声设备、基础</w:t>
            </w:r>
            <w:r>
              <w:rPr>
                <w:rFonts w:hint="eastAsia"/>
                <w:b w:val="0"/>
                <w:bCs/>
                <w:sz w:val="21"/>
                <w:szCs w:val="21"/>
              </w:rPr>
              <w:t>减振</w:t>
            </w:r>
            <w:r>
              <w:rPr>
                <w:rFonts w:hint="default"/>
                <w:b w:val="0"/>
                <w:bCs/>
                <w:sz w:val="21"/>
                <w:szCs w:val="21"/>
              </w:rPr>
              <w:t>、合理布局、加强绿化等</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9" w:hRule="atLeast"/>
        </w:trPr>
        <w:tc>
          <w:tcPr>
            <w:tcW w:w="539"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固废</w:t>
            </w:r>
          </w:p>
        </w:tc>
        <w:tc>
          <w:tcPr>
            <w:tcW w:w="1423" w:type="pct"/>
            <w:gridSpan w:val="3"/>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一般工业固废</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一般固废暂存场所</w:t>
            </w:r>
            <w:r>
              <w:rPr>
                <w:rFonts w:hint="eastAsia"/>
                <w:b w:val="0"/>
                <w:bCs/>
                <w:sz w:val="21"/>
                <w:szCs w:val="21"/>
              </w:rPr>
              <w:t>（20m2）</w:t>
            </w:r>
            <w:r>
              <w:rPr>
                <w:rFonts w:hint="default"/>
                <w:b w:val="0"/>
                <w:bCs/>
                <w:sz w:val="21"/>
                <w:szCs w:val="21"/>
              </w:rPr>
              <w:t>，外售综合利用或合理处置</w:t>
            </w:r>
          </w:p>
        </w:tc>
        <w:tc>
          <w:tcPr>
            <w:tcW w:w="1315"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4"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423" w:type="pct"/>
            <w:gridSpan w:val="3"/>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危险废物</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危险废物暂存场所</w:t>
            </w:r>
            <w:r>
              <w:rPr>
                <w:rFonts w:hint="eastAsia"/>
                <w:b w:val="0"/>
                <w:bCs/>
                <w:sz w:val="21"/>
                <w:szCs w:val="21"/>
              </w:rPr>
              <w:t>（20m2）</w:t>
            </w:r>
            <w:r>
              <w:rPr>
                <w:rFonts w:hint="default"/>
                <w:b w:val="0"/>
                <w:bCs/>
                <w:sz w:val="21"/>
                <w:szCs w:val="21"/>
              </w:rPr>
              <w:t>，危险固废交由有资质单位安全处置</w:t>
            </w:r>
          </w:p>
        </w:tc>
        <w:tc>
          <w:tcPr>
            <w:tcW w:w="1315"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423" w:type="pct"/>
            <w:gridSpan w:val="3"/>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生活垃圾、</w:t>
            </w:r>
            <w:r>
              <w:rPr>
                <w:rFonts w:hint="eastAsia"/>
                <w:b w:val="0"/>
                <w:bCs/>
                <w:sz w:val="21"/>
                <w:szCs w:val="21"/>
              </w:rPr>
              <w:t>含油抹布和手套</w:t>
            </w:r>
          </w:p>
        </w:tc>
        <w:tc>
          <w:tcPr>
            <w:tcW w:w="1721"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定期交由环卫部门处理</w:t>
            </w:r>
          </w:p>
        </w:tc>
        <w:tc>
          <w:tcPr>
            <w:tcW w:w="1315"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PrEx>
        <w:trPr>
          <w:trHeight w:val="1274" w:hRule="atLeast"/>
        </w:trPr>
        <w:tc>
          <w:tcPr>
            <w:tcW w:w="53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地下水、土壤</w:t>
            </w:r>
          </w:p>
        </w:tc>
        <w:tc>
          <w:tcPr>
            <w:tcW w:w="3144" w:type="pct"/>
            <w:gridSpan w:val="5"/>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b w:val="0"/>
                <w:bCs/>
                <w:sz w:val="21"/>
                <w:szCs w:val="21"/>
              </w:rPr>
            </w:pPr>
            <w:r>
              <w:rPr>
                <w:rFonts w:hint="eastAsia"/>
                <w:b w:val="0"/>
                <w:bCs/>
                <w:sz w:val="21"/>
                <w:szCs w:val="21"/>
              </w:rPr>
              <w:t>分区防渗</w:t>
            </w:r>
            <w:r>
              <w:rPr>
                <w:rFonts w:hint="default"/>
                <w:b w:val="0"/>
                <w:bCs/>
                <w:sz w:val="21"/>
                <w:szCs w:val="21"/>
              </w:rPr>
              <w:t>，其中</w:t>
            </w:r>
            <w:r>
              <w:rPr>
                <w:rFonts w:hint="eastAsia"/>
                <w:b w:val="0"/>
                <w:bCs/>
                <w:sz w:val="21"/>
                <w:szCs w:val="21"/>
              </w:rPr>
              <w:t>喷涂封闭区、油漆库、危废暂存间</w:t>
            </w:r>
            <w:r>
              <w:rPr>
                <w:rFonts w:hint="default"/>
                <w:b w:val="0"/>
                <w:bCs/>
                <w:sz w:val="21"/>
                <w:szCs w:val="21"/>
              </w:rPr>
              <w:t>为重点防渗区</w:t>
            </w:r>
            <w:r>
              <w:rPr>
                <w:rFonts w:hint="eastAsia"/>
                <w:b w:val="0"/>
                <w:bCs/>
                <w:sz w:val="21"/>
                <w:szCs w:val="21"/>
              </w:rPr>
              <w:t>；</w:t>
            </w:r>
            <w:r>
              <w:rPr>
                <w:rFonts w:hint="default"/>
                <w:b w:val="0"/>
                <w:bCs/>
                <w:sz w:val="21"/>
                <w:szCs w:val="21"/>
              </w:rPr>
              <w:t>抛丸、切割、焊接</w:t>
            </w:r>
            <w:r>
              <w:rPr>
                <w:rFonts w:hint="eastAsia"/>
                <w:b w:val="0"/>
                <w:bCs/>
                <w:sz w:val="21"/>
                <w:szCs w:val="21"/>
              </w:rPr>
              <w:t>、加工区、</w:t>
            </w:r>
            <w:r>
              <w:rPr>
                <w:rFonts w:hint="default"/>
                <w:b w:val="0"/>
                <w:bCs/>
                <w:sz w:val="21"/>
                <w:szCs w:val="21"/>
              </w:rPr>
              <w:t>一般工业固废贮存场所</w:t>
            </w:r>
            <w:r>
              <w:rPr>
                <w:rFonts w:hint="eastAsia"/>
                <w:b w:val="0"/>
                <w:bCs/>
                <w:sz w:val="21"/>
                <w:szCs w:val="21"/>
              </w:rPr>
              <w:t>等</w:t>
            </w:r>
            <w:r>
              <w:rPr>
                <w:rFonts w:hint="default"/>
                <w:b w:val="0"/>
                <w:bCs/>
                <w:sz w:val="21"/>
                <w:szCs w:val="21"/>
              </w:rPr>
              <w:t>为一般防渗区；</w:t>
            </w:r>
            <w:r>
              <w:rPr>
                <w:rFonts w:hint="eastAsia"/>
                <w:b w:val="0"/>
                <w:bCs/>
                <w:sz w:val="21"/>
                <w:szCs w:val="21"/>
              </w:rPr>
              <w:t>办公区为简单防渗区；</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2" w:hRule="atLeast"/>
        </w:trPr>
        <w:tc>
          <w:tcPr>
            <w:tcW w:w="53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排污口规范化</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设置</w:t>
            </w:r>
          </w:p>
        </w:tc>
        <w:tc>
          <w:tcPr>
            <w:tcW w:w="3144" w:type="pct"/>
            <w:gridSpan w:val="5"/>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default"/>
                <w:b w:val="0"/>
                <w:bCs/>
                <w:sz w:val="21"/>
                <w:szCs w:val="21"/>
              </w:rPr>
            </w:pPr>
            <w:r>
              <w:rPr>
                <w:rFonts w:hint="default"/>
                <w:b w:val="0"/>
                <w:bCs/>
                <w:sz w:val="21"/>
                <w:szCs w:val="21"/>
              </w:rPr>
              <w:t>污水排放口依托安徽正民万基重钢科技有限公司，不单独设排放口，设置</w:t>
            </w:r>
            <w:r>
              <w:rPr>
                <w:rFonts w:hint="eastAsia"/>
                <w:b w:val="0"/>
                <w:bCs/>
                <w:sz w:val="21"/>
                <w:szCs w:val="21"/>
                <w:lang w:val="en-US" w:eastAsia="zh-CN"/>
              </w:rPr>
              <w:t>4</w:t>
            </w:r>
            <w:r>
              <w:rPr>
                <w:rFonts w:hint="default"/>
                <w:b w:val="0"/>
                <w:bCs/>
                <w:sz w:val="21"/>
                <w:szCs w:val="21"/>
              </w:rPr>
              <w:t>个排气筒，废气、噪声设置环境保护图形标志牌。</w:t>
            </w:r>
          </w:p>
        </w:tc>
        <w:tc>
          <w:tcPr>
            <w:tcW w:w="131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已落实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39"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风险防范措施</w:t>
            </w:r>
          </w:p>
        </w:tc>
        <w:tc>
          <w:tcPr>
            <w:tcW w:w="812"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环境风险应急预案</w:t>
            </w:r>
          </w:p>
        </w:tc>
        <w:tc>
          <w:tcPr>
            <w:tcW w:w="34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应急预案</w:t>
            </w:r>
          </w:p>
        </w:tc>
        <w:tc>
          <w:tcPr>
            <w:tcW w:w="1986" w:type="pct"/>
            <w:gridSpan w:val="3"/>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制定应急预案并实施演练，配备必要的应急监测仪器</w:t>
            </w:r>
          </w:p>
        </w:tc>
        <w:tc>
          <w:tcPr>
            <w:tcW w:w="1315"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color w:val="FF0000"/>
                <w:sz w:val="21"/>
                <w:szCs w:val="21"/>
                <w:lang w:val="en-US" w:eastAsia="zh-CN"/>
              </w:rPr>
              <w:t>突发环境时间应急预案已编制完</w:t>
            </w:r>
            <w:r>
              <w:rPr>
                <w:rFonts w:hint="eastAsia"/>
                <w:b w:val="0"/>
                <w:bCs/>
                <w:sz w:val="21"/>
                <w:szCs w:val="21"/>
                <w:lang w:val="en-US" w:eastAsia="zh-CN"/>
              </w:rPr>
              <w:t>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7" w:hRule="atLeast"/>
        </w:trPr>
        <w:tc>
          <w:tcPr>
            <w:tcW w:w="539"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812"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34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其它</w:t>
            </w:r>
          </w:p>
        </w:tc>
        <w:tc>
          <w:tcPr>
            <w:tcW w:w="1986" w:type="pct"/>
            <w:gridSpan w:val="3"/>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依托安徽正民重工科技有限公司事故池（容积250</w:t>
            </w:r>
            <w:r>
              <w:rPr>
                <w:rFonts w:hint="default"/>
                <w:b w:val="0"/>
                <w:bCs/>
                <w:sz w:val="21"/>
                <w:szCs w:val="21"/>
              </w:rPr>
              <w:t>m³</w:t>
            </w:r>
            <w:r>
              <w:rPr>
                <w:rFonts w:hint="eastAsia"/>
                <w:b w:val="0"/>
                <w:bCs/>
                <w:sz w:val="21"/>
                <w:szCs w:val="21"/>
                <w:lang w:val="en-US" w:eastAsia="zh-CN"/>
              </w:rPr>
              <w:t>）</w:t>
            </w:r>
            <w:r>
              <w:rPr>
                <w:rFonts w:hint="eastAsia"/>
                <w:b w:val="0"/>
                <w:bCs/>
                <w:sz w:val="21"/>
                <w:szCs w:val="21"/>
              </w:rPr>
              <w:t>，</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职工培训、公众教育等</w:t>
            </w:r>
          </w:p>
        </w:tc>
        <w:tc>
          <w:tcPr>
            <w:tcW w:w="1315"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r>
    </w:tbl>
    <w:p>
      <w:pPr>
        <w:ind w:firstLine="4320" w:firstLineChars="1800"/>
        <w:sectPr>
          <w:pgSz w:w="16838" w:h="11906" w:orient="landscape"/>
          <w:pgMar w:top="1800" w:right="1440" w:bottom="1800" w:left="1440" w:header="851" w:footer="992" w:gutter="0"/>
          <w:cols w:space="425" w:num="1"/>
          <w:docGrid w:type="lines" w:linePitch="312" w:charSpace="0"/>
        </w:sectPr>
      </w:pPr>
    </w:p>
    <w:p>
      <w:pPr>
        <w:pStyle w:val="42"/>
      </w:pPr>
      <w:bookmarkStart w:id="22" w:name="_Toc17407"/>
      <w:r>
        <w:rPr>
          <w:rFonts w:hint="eastAsia"/>
          <w:lang w:val="en-US"/>
        </w:rPr>
        <w:t>5</w:t>
      </w:r>
      <w:r>
        <w:rPr>
          <w:rFonts w:hint="eastAsia"/>
        </w:rPr>
        <w:t>环评结论及</w:t>
      </w:r>
      <w:r>
        <w:t>批复要求</w:t>
      </w:r>
      <w:bookmarkEnd w:id="22"/>
    </w:p>
    <w:p>
      <w:pPr>
        <w:pStyle w:val="62"/>
        <w:ind w:left="0" w:leftChars="0" w:firstLine="0" w:firstLineChars="0"/>
      </w:pPr>
      <w:bookmarkStart w:id="23" w:name="_Toc4670"/>
      <w:r>
        <w:t>5</w:t>
      </w:r>
      <w:r>
        <w:rPr>
          <w:rFonts w:hint="eastAsia"/>
        </w:rPr>
        <w:t>.1</w:t>
      </w:r>
      <w:r>
        <w:t xml:space="preserve"> </w:t>
      </w:r>
      <w:r>
        <w:rPr>
          <w:rFonts w:hint="eastAsia"/>
        </w:rPr>
        <w:t>环评要求</w:t>
      </w:r>
      <w:r>
        <w:t>及</w:t>
      </w:r>
      <w:r>
        <w:rPr>
          <w:rFonts w:hint="eastAsia"/>
        </w:rPr>
        <w:t>主要结论</w:t>
      </w:r>
      <w:bookmarkEnd w:id="23"/>
    </w:p>
    <w:p>
      <w:pPr>
        <w:rPr>
          <w:b/>
          <w:bCs/>
        </w:rPr>
      </w:pPr>
      <w:r>
        <w:rPr>
          <w:b/>
          <w:bCs/>
        </w:rPr>
        <w:t>1. 产业政策</w:t>
      </w:r>
      <w:r>
        <w:rPr>
          <w:rFonts w:hint="eastAsia"/>
          <w:b/>
          <w:bCs/>
        </w:rPr>
        <w:t>要求</w:t>
      </w:r>
    </w:p>
    <w:p>
      <w:r>
        <w:t>根据《产业结构调整指导目录（2019年本）》，项目不属于其中的鼓励类、限制类、淘汰类项目，属于允许类项目。项目不属于《市场准入负面清单（2022年版）》和《安徽省节能减排及应对气候变化工作领导小组关于印发安徽省“两高”项目管理目录（试行）的通知》（皖节能[2022]2号）中的行业。</w:t>
      </w:r>
      <w:r>
        <w:rPr>
          <w:rFonts w:hint="eastAsia"/>
        </w:rPr>
        <w:t>且</w:t>
      </w:r>
      <w:r>
        <w:t>根据《安徽省工业和信息产业结构调整指导目录》（2007年本），本项目不属于其中的鼓励类、限制类、淘汰类项目，为允许类项目。</w:t>
      </w:r>
    </w:p>
    <w:p>
      <w:pPr>
        <w:pStyle w:val="128"/>
        <w:widowControl w:val="0"/>
        <w:autoSpaceDE w:val="0"/>
        <w:autoSpaceDN w:val="0"/>
        <w:adjustRightInd w:val="0"/>
        <w:spacing w:before="0" w:after="0" w:line="360" w:lineRule="auto"/>
        <w:ind w:firstLine="480" w:firstLineChars="200"/>
        <w:rPr>
          <w:rFonts w:eastAsia="宋体"/>
          <w:sz w:val="24"/>
          <w:szCs w:val="24"/>
          <w:lang w:eastAsia="zh-CN"/>
        </w:rPr>
      </w:pPr>
      <w:r>
        <w:rPr>
          <w:rFonts w:eastAsia="宋体"/>
          <w:sz w:val="24"/>
          <w:szCs w:val="24"/>
          <w:lang w:eastAsia="zh-CN"/>
        </w:rPr>
        <w:t>因此，项目建设符合国家和</w:t>
      </w:r>
      <w:r>
        <w:rPr>
          <w:rFonts w:hint="eastAsia" w:eastAsia="宋体"/>
          <w:sz w:val="24"/>
          <w:szCs w:val="24"/>
          <w:lang w:eastAsia="zh-CN"/>
        </w:rPr>
        <w:t>地方</w:t>
      </w:r>
      <w:r>
        <w:rPr>
          <w:rFonts w:eastAsia="宋体"/>
          <w:sz w:val="24"/>
          <w:szCs w:val="24"/>
          <w:lang w:eastAsia="zh-CN"/>
        </w:rPr>
        <w:t>产业政策。</w:t>
      </w:r>
    </w:p>
    <w:p>
      <w:pPr>
        <w:rPr>
          <w:rFonts w:hAnsi="宋体"/>
          <w:b/>
          <w:bCs/>
        </w:rPr>
      </w:pPr>
      <w:r>
        <w:rPr>
          <w:b/>
          <w:bCs/>
        </w:rPr>
        <w:t>2</w:t>
      </w:r>
      <w:r>
        <w:rPr>
          <w:rFonts w:hint="eastAsia"/>
          <w:b/>
          <w:bCs/>
        </w:rPr>
        <w:t>、规划及选址合理性</w:t>
      </w:r>
    </w:p>
    <w:p>
      <w:r>
        <w:t>根据《</w:t>
      </w:r>
      <w:r>
        <w:rPr>
          <w:rFonts w:hint="eastAsia"/>
        </w:rPr>
        <w:t>段园工业集中区规划环评</w:t>
      </w:r>
      <w:r>
        <w:t>》</w:t>
      </w:r>
      <w:r>
        <w:rPr>
          <w:rFonts w:hint="eastAsia"/>
        </w:rPr>
        <w:t>及审查意见可知</w:t>
      </w:r>
      <w:r>
        <w:t>，</w:t>
      </w:r>
      <w:r>
        <w:rPr>
          <w:rFonts w:hint="eastAsia"/>
        </w:rPr>
        <w:t>园区</w:t>
      </w:r>
      <w:r>
        <w:t>规划重点发展机械制造产业、新材料和现代物流服务业，配套发展商贸地产业。</w:t>
      </w:r>
      <w:r>
        <w:rPr>
          <w:rFonts w:hint="eastAsia"/>
        </w:rPr>
        <w:t>本项目属于机械制造产业，符合园区主导产业。</w:t>
      </w:r>
    </w:p>
    <w:p>
      <w:pPr>
        <w:rPr>
          <w:b/>
          <w:bCs/>
        </w:rPr>
      </w:pPr>
      <w:r>
        <w:rPr>
          <w:rFonts w:hint="eastAsia"/>
          <w:b/>
          <w:bCs/>
        </w:rPr>
        <w:t>3、环境质量现状评价结论</w:t>
      </w:r>
    </w:p>
    <w:p>
      <w:r>
        <w:rPr>
          <w:rFonts w:hint="eastAsia"/>
        </w:rPr>
        <w:t>项目所在区域达标判断：</w:t>
      </w:r>
      <w:r>
        <w:t>根据20</w:t>
      </w:r>
      <w:r>
        <w:rPr>
          <w:rFonts w:hint="eastAsia"/>
        </w:rPr>
        <w:t>22</w:t>
      </w:r>
      <w:r>
        <w:t>年</w:t>
      </w:r>
      <w:r>
        <w:rPr>
          <w:rFonts w:hint="eastAsia"/>
        </w:rPr>
        <w:t>淮北市</w:t>
      </w:r>
      <w:r>
        <w:t>环境质量公报可知，评价区大气中NO</w:t>
      </w:r>
      <w:r>
        <w:rPr>
          <w:vertAlign w:val="subscript"/>
        </w:rPr>
        <w:t>2</w:t>
      </w:r>
      <w:r>
        <w:t>、SO</w:t>
      </w:r>
      <w:r>
        <w:rPr>
          <w:vertAlign w:val="subscript"/>
        </w:rPr>
        <w:t>2</w:t>
      </w:r>
      <w:r>
        <w:t>、CO、PM</w:t>
      </w:r>
      <w:r>
        <w:rPr>
          <w:vertAlign w:val="subscript"/>
        </w:rPr>
        <w:t>10</w:t>
      </w:r>
      <w:r>
        <w:t>年平均浓度值均满足《环境空气质量标准》（GB3095-2012）中二级标准，PM</w:t>
      </w:r>
      <w:r>
        <w:rPr>
          <w:vertAlign w:val="subscript"/>
        </w:rPr>
        <w:t>2.5</w:t>
      </w:r>
      <w:r>
        <w:t>、O</w:t>
      </w:r>
      <w:r>
        <w:rPr>
          <w:vertAlign w:val="subscript"/>
        </w:rPr>
        <w:t>3</w:t>
      </w:r>
      <w:r>
        <w:t>浓度值</w:t>
      </w:r>
      <w:r>
        <w:rPr>
          <w:rFonts w:hint="eastAsia"/>
        </w:rPr>
        <w:t>不</w:t>
      </w:r>
      <w:r>
        <w:t>满足《环境空气质量标准》(GB3095-2012)中二级标准，</w:t>
      </w:r>
      <w:r>
        <w:rPr>
          <w:rFonts w:hint="eastAsia"/>
        </w:rPr>
        <w:t>淮北市</w:t>
      </w:r>
      <w:r>
        <w:t>为环境空气质量</w:t>
      </w:r>
      <w:r>
        <w:rPr>
          <w:rFonts w:hint="eastAsia"/>
        </w:rPr>
        <w:t>不</w:t>
      </w:r>
      <w:r>
        <w:t>达标区。项目特征因子二甲苯满足《环境影响评价技术导则 大气环境》（HJ2.2-2018）附录D中的参考限值；NMHC满足《大气污染物综合排放标准详解》中推荐浓度限值；</w:t>
      </w:r>
      <w:r>
        <w:rPr>
          <w:rFonts w:hint="eastAsia"/>
        </w:rPr>
        <w:t>下风向敏感点姚楼村TSP满足《环境空气质量标准》（GB3095-2012）中二级浓度限值；</w:t>
      </w:r>
      <w:r>
        <w:t xml:space="preserve"> 项目区域地表水三龙支河规划区边界上游和规划区边界下游、两姜河规划区边界上游和规划区边界下游、解放河</w:t>
      </w:r>
      <w:r>
        <w:rPr>
          <w:rFonts w:hint="eastAsia"/>
        </w:rPr>
        <w:t>段园镇污水处理厂（袁庄矿污水处理厂）</w:t>
      </w:r>
      <w:r>
        <w:t>上游500m、下游500m、下游1500m及解放河</w:t>
      </w:r>
      <w:r>
        <w:rPr>
          <w:rFonts w:hint="eastAsia"/>
        </w:rPr>
        <w:t>段园镇污水处理厂（袁庄矿污水处理厂）</w:t>
      </w:r>
      <w:r>
        <w:t>排口下游支流断面各监测因子中，三龙支河和解放河部分监测断面COD和NH</w:t>
      </w:r>
      <w:r>
        <w:rPr>
          <w:vertAlign w:val="subscript"/>
        </w:rPr>
        <w:t>3</w:t>
      </w:r>
      <w:r>
        <w:t>-N有超标现象，最大超标倍数分别为0.23和0.21，其余监测指标均满足《地表水环境质量标准》（GB 3838-2002）中Ⅳ类标准要求；项目所在区域评价范围内各监测点位各项指标均能满足《地下水质量标准》（GB/T14848-2017）的Ⅲ类要求；项目厂界</w:t>
      </w:r>
      <w:r>
        <w:rPr>
          <w:rFonts w:hint="eastAsia"/>
        </w:rPr>
        <w:t>和敏感目标</w:t>
      </w:r>
      <w:r>
        <w:t>声环境较好，各测点</w:t>
      </w:r>
      <w:r>
        <w:rPr>
          <w:rFonts w:hint="eastAsia"/>
        </w:rPr>
        <w:t>声环境质量</w:t>
      </w:r>
      <w:r>
        <w:t>均</w:t>
      </w:r>
      <w:r>
        <w:rPr>
          <w:rFonts w:hint="eastAsia"/>
        </w:rPr>
        <w:t>满足</w:t>
      </w:r>
      <w:r>
        <w:t>《声环境质量标准》（GB3096-2008）</w:t>
      </w:r>
      <w:r>
        <w:rPr>
          <w:rFonts w:hint="eastAsia"/>
        </w:rPr>
        <w:t>2</w:t>
      </w:r>
      <w:r>
        <w:t>类区标准。</w:t>
      </w:r>
      <w:r>
        <w:rPr>
          <w:rFonts w:hint="eastAsia"/>
        </w:rPr>
        <w:t>项目区外土壤</w:t>
      </w:r>
      <w:r>
        <w:t>满足</w:t>
      </w:r>
      <w:r>
        <w:rPr>
          <w:rFonts w:hint="eastAsia"/>
        </w:rPr>
        <w:t>《土壤环境质量 农用地土壤污染风险管控标准（试行）》（GB 15618-2018）中农用地土壤污染风险筛选值</w:t>
      </w:r>
      <w:r>
        <w:t>相关标准质量要求；</w:t>
      </w:r>
      <w:r>
        <w:rPr>
          <w:rFonts w:hint="eastAsia"/>
        </w:rPr>
        <w:t>项目区内土壤</w:t>
      </w:r>
      <w:r>
        <w:t>《土壤环境质量</w:t>
      </w:r>
      <w:r>
        <w:rPr>
          <w:rFonts w:hint="eastAsia"/>
        </w:rPr>
        <w:t xml:space="preserve">  </w:t>
      </w:r>
      <w:r>
        <w:t>建设用地土壤污染风险管控标准</w:t>
      </w:r>
      <w:r>
        <w:rPr>
          <w:rFonts w:hint="eastAsia"/>
        </w:rPr>
        <w:t>（试行）</w:t>
      </w:r>
      <w:r>
        <w:t>》（GB36600-2018）中第二类用地筛选值相关标准质量要求</w:t>
      </w:r>
      <w:r>
        <w:rPr>
          <w:rFonts w:hint="eastAsia"/>
        </w:rPr>
        <w:t>。</w:t>
      </w:r>
    </w:p>
    <w:p>
      <w:pPr>
        <w:rPr>
          <w:b/>
          <w:bCs/>
        </w:rPr>
      </w:pPr>
      <w:r>
        <w:rPr>
          <w:b/>
          <w:bCs/>
        </w:rPr>
        <w:t>4</w:t>
      </w:r>
      <w:r>
        <w:rPr>
          <w:rFonts w:hint="eastAsia"/>
          <w:b/>
          <w:bCs/>
        </w:rPr>
        <w:t>、</w:t>
      </w:r>
      <w:r>
        <w:rPr>
          <w:b/>
          <w:bCs/>
        </w:rPr>
        <w:t>营运期环境影响分析</w:t>
      </w:r>
    </w:p>
    <w:p>
      <w:pPr>
        <w:rPr>
          <w:lang w:val="zh-CN"/>
        </w:rPr>
      </w:pPr>
      <w:r>
        <w:rPr>
          <w:lang w:val="zh-CN"/>
        </w:rPr>
        <w:t>（1）大气环境</w:t>
      </w:r>
    </w:p>
    <w:p>
      <w:r>
        <w:t>项目投产运行后产生的废气主要包括下料切割粉尘、焊接烟尘、抛丸粉尘、调漆</w:t>
      </w:r>
      <w:r>
        <w:rPr>
          <w:rFonts w:hint="eastAsia"/>
        </w:rPr>
        <w:t>有机废气</w:t>
      </w:r>
      <w:r>
        <w:t>、喷漆</w:t>
      </w:r>
      <w:r>
        <w:rPr>
          <w:rFonts w:hint="eastAsia"/>
        </w:rPr>
        <w:t>漆雾、喷漆及晾干有机废气</w:t>
      </w:r>
      <w:r>
        <w:t>、危废</w:t>
      </w:r>
      <w:r>
        <w:rPr>
          <w:rFonts w:hint="eastAsia"/>
        </w:rPr>
        <w:t>暂存</w:t>
      </w:r>
      <w:r>
        <w:t>间</w:t>
      </w:r>
      <w:r>
        <w:rPr>
          <w:rFonts w:hint="eastAsia"/>
        </w:rPr>
        <w:t>有机</w:t>
      </w:r>
      <w:r>
        <w:t>废气</w:t>
      </w:r>
      <w:r>
        <w:rPr>
          <w:rFonts w:hint="eastAsia"/>
        </w:rPr>
        <w:t>。</w:t>
      </w:r>
    </w:p>
    <w:p>
      <w:r>
        <w:rPr>
          <w:rFonts w:hint="eastAsia"/>
        </w:rPr>
        <w:t>项目等离子下料切割产生的烟尘经集气罩收集后，引入3套滤筒除尘器处理；</w:t>
      </w:r>
      <w:r>
        <w:t>自动焊接区、气保焊一区产生的焊接烟尘经集气罩收集</w:t>
      </w:r>
      <w:r>
        <w:rPr>
          <w:rFonts w:hint="eastAsia"/>
        </w:rPr>
        <w:t>后</w:t>
      </w:r>
      <w:r>
        <w:t>，</w:t>
      </w:r>
      <w:r>
        <w:rPr>
          <w:rFonts w:hint="eastAsia"/>
        </w:rPr>
        <w:t>引入2</w:t>
      </w:r>
      <w:r>
        <w:t>套滤筒除尘器处理；</w:t>
      </w:r>
      <w:r>
        <w:rPr>
          <w:rFonts w:hint="eastAsia"/>
        </w:rPr>
        <w:t>焊接平台微负压收集后，</w:t>
      </w:r>
      <w:r>
        <w:t>引入1套滤筒除尘器处理</w:t>
      </w:r>
      <w:r>
        <w:rPr>
          <w:rFonts w:hint="eastAsia"/>
        </w:rPr>
        <w:t>；钢结构网架抛丸粉尘经自带滤筒除尘器处理，处理后集中由1根排气筒排放（DA001）；数控管相贯下料切割产生的烟尘经集气罩收集后，引入1套滤筒除尘器处理；气保焊二区</w:t>
      </w:r>
      <w:r>
        <w:t>产生的焊接烟尘经集气罩收集</w:t>
      </w:r>
      <w:r>
        <w:rPr>
          <w:rFonts w:hint="eastAsia"/>
        </w:rPr>
        <w:t>后</w:t>
      </w:r>
      <w:r>
        <w:t>，引入</w:t>
      </w:r>
      <w:r>
        <w:rPr>
          <w:rFonts w:hint="eastAsia"/>
        </w:rPr>
        <w:t>1</w:t>
      </w:r>
      <w:r>
        <w:t>套滤筒除尘器处理</w:t>
      </w:r>
      <w:r>
        <w:rPr>
          <w:rFonts w:hint="eastAsia"/>
        </w:rPr>
        <w:t>；其他钢结构和机械加工件抛丸粉尘经自带滤筒除尘器处理，处理后集中由1根排气筒排放（DA002）；调漆、喷漆、晾干采取全密闭负压收集并连接管道输送至1套干式过滤+活性炭吸附/脱附+催化燃烧处理，处理后由1根15米高排气筒排放（DA003）；危废暂存间有机废气负压收集并连接管道依托1套干式过滤+活性炭吸附/脱附+催化燃烧处理，处理由15米高排气筒排放（DA003）。</w:t>
      </w:r>
    </w:p>
    <w:p>
      <w:r>
        <w:t>项目废气处理后能够满足《大气污染物综合排放标准》（GB 16297-1996）、</w:t>
      </w:r>
      <w:r>
        <w:rPr>
          <w:snapToGrid w:val="0"/>
        </w:rPr>
        <w:t>《挥发性有机物无组织排放控制标准》（GB37822-2019）</w:t>
      </w:r>
      <w:r>
        <w:rPr>
          <w:rFonts w:hint="eastAsia"/>
          <w:snapToGrid w:val="0"/>
        </w:rPr>
        <w:t>控制要求</w:t>
      </w:r>
      <w:r>
        <w:t>。</w:t>
      </w:r>
    </w:p>
    <w:p>
      <w:pPr>
        <w:rPr>
          <w:lang w:val="zh-CN"/>
        </w:rPr>
      </w:pPr>
      <w:r>
        <w:rPr>
          <w:rFonts w:hint="eastAsia"/>
          <w:lang w:val="zh-CN"/>
        </w:rPr>
        <w:t>（2）水环境</w:t>
      </w:r>
    </w:p>
    <w:p>
      <w:r>
        <w:rPr>
          <w:rFonts w:hint="eastAsia"/>
        </w:rPr>
        <w:t>项目生活污水经化粪池预处理后满足段园镇污水处理厂（袁庄矿污水处理厂）接管限值，经市政污水管网接管至段园镇污水处理厂（袁庄矿污水处理厂）进一步处理，处理达标后排放。</w:t>
      </w:r>
    </w:p>
    <w:p>
      <w:pPr>
        <w:rPr>
          <w:lang w:val="zh-CN"/>
        </w:rPr>
      </w:pPr>
      <w:r>
        <w:rPr>
          <w:lang w:val="zh-CN"/>
        </w:rPr>
        <w:t>（3）声环境</w:t>
      </w:r>
    </w:p>
    <w:p>
      <w:r>
        <w:rPr>
          <w:rFonts w:hint="eastAsia"/>
        </w:rPr>
        <w:t>项目选用优先高效低噪设备，经减振、隔声和距离衰减等措施后，厂界噪声符合《工业企业厂界环境噪声排放标准》(GB12348-2008)2类标准，敏感点声环境满足《声环境质量标准》（GB3096-2008）2类标准。</w:t>
      </w:r>
    </w:p>
    <w:p>
      <w:pPr>
        <w:rPr>
          <w:lang w:val="zh-CN"/>
        </w:rPr>
      </w:pPr>
      <w:r>
        <w:rPr>
          <w:lang w:val="zh-CN"/>
        </w:rPr>
        <w:t>（4）固废</w:t>
      </w:r>
    </w:p>
    <w:p>
      <w:r>
        <w:t>项目运行过程中产生的生活垃圾、</w:t>
      </w:r>
      <w:r>
        <w:rPr>
          <w:rFonts w:hint="eastAsia"/>
        </w:rPr>
        <w:t>废边角料、废钢丸、废水性漆桶、废滤筒、滤筒除尘灰、焊渣、废油性漆桶、废稀释剂桶、漆渣、废过滤材料、废活性炭、废催化剂、废切削液、废机油、含油抹布和手套。废边角料、废钢丸、废滤筒、滤筒除尘灰、焊渣等集中收集存放在一般固废暂存区后外售；废催化剂、水性油漆桶集中收集存放在一般固废暂存区后生产厂家回收；生活垃圾和含油抹布和手套存放在生产车间外垃圾桶，定期交由环卫部门清理；废油性漆桶、废稀释剂桶、漆渣、废过滤材料、废活性炭、废切削液、废机油等应按危险废物管理要求委托有资质单位处置。</w:t>
      </w:r>
      <w:r>
        <w:rPr>
          <w:kern w:val="0"/>
          <w:lang w:val="ru-RU"/>
        </w:rPr>
        <w:t>本项目固废处理措施可行，可确保固废不产生“二次污染”。</w:t>
      </w:r>
    </w:p>
    <w:p>
      <w:pPr>
        <w:pStyle w:val="62"/>
        <w:ind w:firstLine="643"/>
      </w:pPr>
      <w:bookmarkStart w:id="24" w:name="_Toc29705"/>
      <w:r>
        <w:t>5</w:t>
      </w:r>
      <w:r>
        <w:rPr>
          <w:rFonts w:hint="eastAsia"/>
        </w:rPr>
        <w:t>.</w:t>
      </w:r>
      <w:r>
        <w:t xml:space="preserve">2 </w:t>
      </w:r>
      <w:r>
        <w:rPr>
          <w:rFonts w:hint="eastAsia"/>
        </w:rPr>
        <w:t>审批部门审批</w:t>
      </w:r>
      <w:r>
        <w:t>决定</w:t>
      </w:r>
      <w:bookmarkEnd w:id="24"/>
    </w:p>
    <w:p>
      <w:pPr>
        <w:widowControl/>
        <w:spacing w:line="360" w:lineRule="auto"/>
        <w:ind w:firstLine="482"/>
        <w:jc w:val="left"/>
        <w:rPr>
          <w:color w:val="auto"/>
          <w:sz w:val="24"/>
          <w:lang w:val="zh-CN"/>
        </w:rPr>
      </w:pPr>
      <w:r>
        <w:rPr>
          <w:rFonts w:hint="eastAsia" w:ascii="Times New Roman" w:hAnsi="Times New Roman"/>
          <w:color w:val="auto"/>
          <w:sz w:val="24"/>
          <w:szCs w:val="24"/>
          <w:lang w:val="en-US" w:eastAsia="zh-CN"/>
        </w:rPr>
        <w:t>淮北市杜集区生态环境分局于2023年10月27日以淮杜环行[2023]37号文《关于安徽新邦机械制造有限公司年产10000吨机械加工生产项目环境影响报告书的批复》</w:t>
      </w:r>
      <w:r>
        <w:rPr>
          <w:rFonts w:hint="eastAsia"/>
          <w:color w:val="auto"/>
          <w:sz w:val="24"/>
          <w:lang w:val="zh-CN"/>
        </w:rPr>
        <w:t>对</w:t>
      </w:r>
      <w:r>
        <w:rPr>
          <w:color w:val="auto"/>
          <w:sz w:val="24"/>
          <w:lang w:val="zh-CN"/>
        </w:rPr>
        <w:t>本项目进行了</w:t>
      </w:r>
      <w:r>
        <w:rPr>
          <w:rFonts w:hint="eastAsia"/>
          <w:color w:val="auto"/>
          <w:sz w:val="24"/>
          <w:lang w:val="zh-CN"/>
        </w:rPr>
        <w:t>审批</w:t>
      </w:r>
      <w:r>
        <w:rPr>
          <w:color w:val="auto"/>
          <w:sz w:val="24"/>
          <w:lang w:val="zh-CN"/>
        </w:rPr>
        <w:t>。</w:t>
      </w:r>
    </w:p>
    <w:p>
      <w:pPr>
        <w:widowControl/>
        <w:spacing w:line="360" w:lineRule="auto"/>
        <w:ind w:firstLine="482"/>
        <w:jc w:val="left"/>
        <w:rPr>
          <w:rFonts w:hint="eastAsia"/>
          <w:lang w:bidi="en-US"/>
        </w:rPr>
      </w:pPr>
      <w:r>
        <w:rPr>
          <w:rFonts w:hint="eastAsia"/>
          <w:lang w:val="en-US" w:eastAsia="zh-CN" w:bidi="en-US"/>
        </w:rPr>
        <w:t>一、</w:t>
      </w:r>
      <w:r>
        <w:rPr>
          <w:rFonts w:hint="eastAsia"/>
          <w:lang w:bidi="en-US"/>
        </w:rPr>
        <w:t>原则 同意 《报告书 》 结论。</w:t>
      </w:r>
      <w:r>
        <w:rPr>
          <w:rFonts w:hint="eastAsia"/>
          <w:lang w:val="en-US" w:eastAsia="zh-CN" w:bidi="en-US"/>
        </w:rPr>
        <w:t>本项目为新建项目，位于安徽省淮北市杜集区段园工业集中区，租赁安徽正 民万基重钢科技公司标准化闲置厂房 面积约15000m</w:t>
      </w:r>
      <w:r>
        <w:rPr>
          <w:rFonts w:hint="eastAsia"/>
          <w:vertAlign w:val="superscript"/>
          <w:lang w:val="en-US" w:eastAsia="zh-CN" w:bidi="en-US"/>
        </w:rPr>
        <w:t>2</w:t>
      </w:r>
      <w:r>
        <w:rPr>
          <w:rFonts w:hint="eastAsia"/>
          <w:lang w:val="en-US" w:eastAsia="zh-CN" w:bidi="en-US"/>
        </w:rPr>
        <w:t xml:space="preserve"> ，建设年产10000吨机械 加工生产项目。主要建设内容为：机加工和喷涂生产线主体工程 贮运工程、环保工程。项目建成后可形成年产2000吨机械加工件和 8000吨钢结构件生产能力。</w:t>
      </w:r>
      <w:r>
        <w:rPr>
          <w:rFonts w:hint="eastAsia"/>
          <w:lang w:bidi="en-US"/>
        </w:rPr>
        <w:t>本项目 已经杜集 区发 改委备案</w:t>
      </w:r>
    </w:p>
    <w:p>
      <w:pPr>
        <w:widowControl/>
        <w:spacing w:line="360" w:lineRule="auto"/>
        <w:ind w:left="0" w:leftChars="0" w:firstLine="0" w:firstLineChars="0"/>
        <w:jc w:val="left"/>
        <w:rPr>
          <w:rFonts w:hint="eastAsia"/>
          <w:lang w:val="en-US" w:eastAsia="zh-CN" w:bidi="en-US"/>
        </w:rPr>
      </w:pPr>
      <w:r>
        <w:rPr>
          <w:rFonts w:hint="eastAsia"/>
          <w:lang w:val="en-US" w:eastAsia="zh-CN" w:bidi="en-US"/>
        </w:rPr>
        <w:t>（杜发改备〔2023 〕19 号），备案代码 ：2305-340602-04-02-878437。总技资 3000 万元，其中环保投资198万元， 占总投资额的 6.6%。项目选址符合段园工业集中区总体规划及主导产业规划。</w:t>
      </w:r>
    </w:p>
    <w:p>
      <w:pPr>
        <w:numPr>
          <w:ilvl w:val="0"/>
          <w:numId w:val="3"/>
        </w:numPr>
        <w:ind w:firstLine="480"/>
        <w:rPr>
          <w:rFonts w:hint="eastAsia"/>
          <w:lang w:bidi="en-US"/>
        </w:rPr>
      </w:pPr>
      <w:r>
        <w:rPr>
          <w:rFonts w:hint="eastAsia"/>
          <w:lang w:bidi="en-US"/>
        </w:rPr>
        <w:t>本项目在落实 《报告书 》 提出的各项污染防治措施的前提下，各项污染物能做到达标排放，主要污染物 排放能满足总量控制要求环境风险能控制在可接受的范围内我局在受理与批前公示期内未收到关于本项目的反对意见。从环境保 护 角度考虑 ，本项目按报告书中位置</w:t>
      </w:r>
      <w:r>
        <w:rPr>
          <w:rFonts w:hint="eastAsia"/>
          <w:lang w:eastAsia="zh-CN" w:bidi="en-US"/>
        </w:rPr>
        <w:t>、</w:t>
      </w:r>
      <w:r>
        <w:rPr>
          <w:rFonts w:hint="eastAsia"/>
          <w:lang w:bidi="en-US"/>
        </w:rPr>
        <w:t>内容、规模</w:t>
      </w:r>
      <w:r>
        <w:rPr>
          <w:rFonts w:hint="eastAsia"/>
          <w:lang w:eastAsia="zh-CN" w:bidi="en-US"/>
        </w:rPr>
        <w:t>、</w:t>
      </w:r>
      <w:r>
        <w:rPr>
          <w:rFonts w:hint="eastAsia"/>
          <w:lang w:bidi="en-US"/>
        </w:rPr>
        <w:t>工艺及污染防治措施 建设可行 。</w:t>
      </w:r>
    </w:p>
    <w:p>
      <w:pPr>
        <w:ind w:firstLine="480"/>
        <w:rPr>
          <w:rFonts w:hint="eastAsia"/>
          <w:lang w:bidi="en-US"/>
        </w:rPr>
      </w:pPr>
      <w:r>
        <w:rPr>
          <w:rFonts w:hint="eastAsia"/>
          <w:lang w:bidi="en-US"/>
        </w:rPr>
        <w:t>三 、项目建设应 重 点做好以下工作 ：</w:t>
      </w:r>
    </w:p>
    <w:p>
      <w:pPr>
        <w:ind w:firstLine="480"/>
        <w:rPr>
          <w:rFonts w:hint="eastAsia"/>
          <w:lang w:bidi="en-US"/>
        </w:rPr>
      </w:pPr>
      <w:r>
        <w:rPr>
          <w:rFonts w:hint="eastAsia"/>
          <w:lang w:bidi="en-US"/>
        </w:rPr>
        <w:t>1、 加强施工期间环境保护管理，制定严格的施工环境保护方案 。落实《报告书 》 中提出的各项污染防治措施</w:t>
      </w:r>
      <w:r>
        <w:rPr>
          <w:rFonts w:hint="eastAsia"/>
          <w:lang w:eastAsia="zh-CN" w:bidi="en-US"/>
        </w:rPr>
        <w:t>。</w:t>
      </w:r>
      <w:r>
        <w:rPr>
          <w:rFonts w:hint="eastAsia"/>
          <w:lang w:bidi="en-US"/>
        </w:rPr>
        <w:t>在施工场地内经常洒水抑尘</w:t>
      </w:r>
      <w:r>
        <w:rPr>
          <w:rFonts w:hint="eastAsia"/>
          <w:lang w:eastAsia="zh-CN" w:bidi="en-US"/>
        </w:rPr>
        <w:t>，</w:t>
      </w:r>
      <w:r>
        <w:rPr>
          <w:rFonts w:hint="eastAsia"/>
          <w:lang w:bidi="en-US"/>
        </w:rPr>
        <w:t>减少施工过程及物料运输引起的扬尘；施工中产生的固体废弃物应及时清运，妥善处置 。</w:t>
      </w:r>
    </w:p>
    <w:p>
      <w:pPr>
        <w:ind w:firstLine="480"/>
        <w:rPr>
          <w:rFonts w:hint="eastAsia"/>
          <w:lang w:bidi="en-US"/>
        </w:rPr>
      </w:pPr>
      <w:r>
        <w:rPr>
          <w:rFonts w:hint="eastAsia"/>
          <w:lang w:bidi="en-US"/>
        </w:rPr>
        <w:t>2、实行雨污分流，强化节水措施。原则同意《报告书》 提出的污水处理方案</w:t>
      </w:r>
      <w:r>
        <w:rPr>
          <w:rFonts w:hint="eastAsia"/>
          <w:lang w:eastAsia="zh-CN" w:bidi="en-US"/>
        </w:rPr>
        <w:t>，</w:t>
      </w:r>
      <w:r>
        <w:rPr>
          <w:rFonts w:hint="eastAsia"/>
          <w:lang w:bidi="en-US"/>
        </w:rPr>
        <w:t>生活污水依托安徽正民万基重钢科技公司化粪池预处理后</w:t>
      </w:r>
      <w:r>
        <w:rPr>
          <w:rFonts w:hint="eastAsia"/>
          <w:lang w:eastAsia="zh-CN" w:bidi="en-US"/>
        </w:rPr>
        <w:t>，</w:t>
      </w:r>
      <w:r>
        <w:rPr>
          <w:rFonts w:hint="eastAsia"/>
          <w:lang w:bidi="en-US"/>
        </w:rPr>
        <w:t>满足段园镇污水处理厂接管限值和 《污水综合排 放标准》（GB8978-2012）表4中级标准要求，经园区污水管网进入段园镇污水处理厂进行深度处理，达到《城镇污水处理厂污染物排放标准》 中的一级A标准后排入解放河。</w:t>
      </w:r>
    </w:p>
    <w:p>
      <w:pPr>
        <w:ind w:firstLine="480"/>
        <w:rPr>
          <w:rFonts w:hint="eastAsia"/>
          <w:lang w:bidi="en-US"/>
        </w:rPr>
      </w:pPr>
      <w:r>
        <w:rPr>
          <w:rFonts w:hint="eastAsia"/>
          <w:lang w:bidi="en-US"/>
        </w:rPr>
        <w:t>3、落实 《报告书 》 提出的关于废气防治措施。本项目等离子下料切割工序产生的烟尘经集气罩收集后，引入3 套滤筒除尘器（</w:t>
      </w:r>
      <w:r>
        <w:rPr>
          <w:rFonts w:hint="eastAsia"/>
          <w:lang w:val="en-US" w:eastAsia="zh-CN" w:bidi="en-US"/>
        </w:rPr>
        <w:t>TA001</w:t>
      </w:r>
      <w:r>
        <w:rPr>
          <w:rFonts w:hint="eastAsia"/>
          <w:lang w:bidi="en-US"/>
        </w:rPr>
        <w:t>、TA002、TA003）处理；自动焊接区、气保焊一区产生的焊接烟尘经集气罩收集后，引入2 套滤筒除尘器（TA004、TA005）处理 ；焊接平台微负压收集后，引入1 套滤筒 除尘器</w:t>
      </w:r>
      <w:r>
        <w:rPr>
          <w:rFonts w:hint="eastAsia"/>
          <w:lang w:eastAsia="zh-CN" w:bidi="en-US"/>
        </w:rPr>
        <w:t>（</w:t>
      </w:r>
      <w:r>
        <w:rPr>
          <w:rFonts w:hint="eastAsia"/>
          <w:lang w:bidi="en-US"/>
        </w:rPr>
        <w:t>TA006）处理；钢结构网架抛丸粉尘经自带滤筒除尘器处理， 处理后的废气达标后集中由1根15米高排气筒（</w:t>
      </w:r>
      <w:r>
        <w:rPr>
          <w:rFonts w:hint="eastAsia"/>
          <w:lang w:val="en-US" w:eastAsia="zh-CN" w:bidi="en-US"/>
        </w:rPr>
        <w:t>DA001</w:t>
      </w:r>
      <w:r>
        <w:rPr>
          <w:rFonts w:hint="eastAsia"/>
          <w:lang w:bidi="en-US"/>
        </w:rPr>
        <w:t>）排放；数控管相贯下料切割产生的烟尘经集气罩收集后，引入1套滤筒 除尘器（</w:t>
      </w:r>
      <w:r>
        <w:rPr>
          <w:rFonts w:hint="eastAsia"/>
          <w:lang w:val="en-US" w:eastAsia="zh-CN" w:bidi="en-US"/>
        </w:rPr>
        <w:t>TA007</w:t>
      </w:r>
      <w:r>
        <w:rPr>
          <w:rFonts w:hint="eastAsia"/>
          <w:lang w:bidi="en-US"/>
        </w:rPr>
        <w:t>）处理；气保焊二区产生的焊接烟尘经集气罩收集后，引入1 套滤筒除尘器（</w:t>
      </w:r>
      <w:r>
        <w:rPr>
          <w:rFonts w:hint="eastAsia"/>
          <w:lang w:val="en-US" w:eastAsia="zh-CN" w:bidi="en-US"/>
        </w:rPr>
        <w:t>TA008</w:t>
      </w:r>
      <w:r>
        <w:rPr>
          <w:rFonts w:hint="eastAsia"/>
          <w:lang w:bidi="en-US"/>
        </w:rPr>
        <w:t>）处理；其他钢结构和机械加工件抛丸粉尘经自带滤筒除尘器处理</w:t>
      </w:r>
      <w:r>
        <w:rPr>
          <w:rFonts w:hint="eastAsia"/>
          <w:lang w:val="en-US" w:eastAsia="zh-CN" w:bidi="en-US"/>
        </w:rPr>
        <w:t>,</w:t>
      </w:r>
      <w:r>
        <w:rPr>
          <w:rFonts w:hint="eastAsia"/>
          <w:lang w:bidi="en-US"/>
        </w:rPr>
        <w:t>处理后的废气达标后集中由1根15 米高排气筒（DA002）排放；调漆、喷漆、晾干／流平</w:t>
      </w:r>
      <w:r>
        <w:rPr>
          <w:rFonts w:hint="eastAsia"/>
          <w:lang w:val="en-US" w:eastAsia="zh-CN" w:bidi="en-US"/>
        </w:rPr>
        <w:t>/</w:t>
      </w:r>
      <w:r>
        <w:rPr>
          <w:rFonts w:hint="eastAsia"/>
          <w:lang w:bidi="en-US"/>
        </w:rPr>
        <w:t>烘干工序采用全密闭负压收集并连接管道输送至 1 套干 式过 滤＋活性炭吸附 ／脱附＋催化燃烧处理，处理后的废气达标后由 1 根15米高排气筒（DA003）排放；危废暂存间有机废气负压收集并连接管道依托1 套式过滤＋活性炭吸附／脱附＋催化燃烧处理，处理由 15 米高排气筒（DA003）排放 ；热风炉天然气燃烧废气采用低氮燃烧处理</w:t>
      </w:r>
      <w:r>
        <w:rPr>
          <w:rFonts w:hint="eastAsia"/>
          <w:lang w:val="en-US" w:eastAsia="zh-CN" w:bidi="en-US"/>
        </w:rPr>
        <w:t>,</w:t>
      </w:r>
      <w:r>
        <w:rPr>
          <w:rFonts w:hint="eastAsia"/>
          <w:lang w:bidi="en-US"/>
        </w:rPr>
        <w:t xml:space="preserve">处理后废气中的颗粒物 </w:t>
      </w:r>
      <w:r>
        <w:rPr>
          <w:rFonts w:hint="eastAsia"/>
          <w:lang w:eastAsia="zh-CN" w:bidi="en-US"/>
        </w:rPr>
        <w:t>、</w:t>
      </w:r>
      <w:r>
        <w:rPr>
          <w:rFonts w:hint="eastAsia"/>
          <w:lang w:bidi="en-US"/>
        </w:rPr>
        <w:t>S02、NOx 须达到 《工业炉窑大气污染物综合治理方案》（ 环大气〔 2019 〕56 号）限值要求（最高排放浓度分别不超过30mg/m</w:t>
      </w:r>
      <w:r>
        <w:rPr>
          <w:rFonts w:hint="eastAsia"/>
          <w:vertAlign w:val="superscript"/>
          <w:lang w:bidi="en-US"/>
        </w:rPr>
        <w:t>3</w:t>
      </w:r>
      <w:r>
        <w:rPr>
          <w:rFonts w:hint="eastAsia"/>
          <w:lang w:bidi="en-US"/>
        </w:rPr>
        <w:t xml:space="preserve"> </w:t>
      </w:r>
      <w:r>
        <w:rPr>
          <w:rFonts w:hint="eastAsia"/>
          <w:lang w:eastAsia="zh-CN" w:bidi="en-US"/>
        </w:rPr>
        <w:t>、</w:t>
      </w:r>
      <w:r>
        <w:rPr>
          <w:rFonts w:hint="eastAsia"/>
          <w:lang w:bidi="en-US"/>
        </w:rPr>
        <w:t>200mg/m</w:t>
      </w:r>
      <w:r>
        <w:rPr>
          <w:rFonts w:hint="eastAsia"/>
          <w:vertAlign w:val="superscript"/>
          <w:lang w:bidi="en-US"/>
        </w:rPr>
        <w:t>3</w:t>
      </w:r>
      <w:r>
        <w:rPr>
          <w:rFonts w:hint="eastAsia"/>
          <w:lang w:bidi="en-US"/>
        </w:rPr>
        <w:t xml:space="preserve"> 、300mg/m</w:t>
      </w:r>
      <w:r>
        <w:rPr>
          <w:rFonts w:hint="eastAsia"/>
          <w:vertAlign w:val="superscript"/>
          <w:lang w:bidi="en-US"/>
        </w:rPr>
        <w:t>3</w:t>
      </w:r>
      <w:r>
        <w:rPr>
          <w:rFonts w:hint="eastAsia"/>
          <w:lang w:bidi="en-US"/>
        </w:rPr>
        <w:t xml:space="preserve"> ) 后，通过15m高排气筒（DA004） 排放。</w:t>
      </w:r>
    </w:p>
    <w:p>
      <w:pPr>
        <w:ind w:firstLine="480"/>
        <w:rPr>
          <w:rFonts w:hint="eastAsia"/>
          <w:lang w:bidi="en-US"/>
        </w:rPr>
      </w:pPr>
      <w:r>
        <w:rPr>
          <w:rFonts w:hint="eastAsia"/>
          <w:lang w:bidi="en-US"/>
        </w:rPr>
        <w:t>本项目工艺过程中产生的颗粒物、NMHC、二甲苯排放执行《大气污染物综合排放标准》 （GB 16297-1996）；厂区内非甲炕</w:t>
      </w:r>
      <w:r>
        <w:rPr>
          <w:rFonts w:hint="eastAsia"/>
          <w:lang w:val="en-US" w:eastAsia="zh-CN" w:bidi="en-US"/>
        </w:rPr>
        <w:t>总烃</w:t>
      </w:r>
      <w:r>
        <w:rPr>
          <w:rFonts w:hint="eastAsia"/>
          <w:lang w:bidi="en-US"/>
        </w:rPr>
        <w:t>执行《挥发性有机物无组织排放控制标准》 （GB37822-2019 ) 附录 A 限值要求。</w:t>
      </w:r>
    </w:p>
    <w:p>
      <w:pPr>
        <w:spacing w:before="7" w:line="338" w:lineRule="auto"/>
        <w:ind w:right="217"/>
        <w:jc w:val="both"/>
        <w:rPr>
          <w:rFonts w:ascii="宋体" w:hAnsi="宋体" w:eastAsia="宋体" w:cs="宋体"/>
          <w:sz w:val="30"/>
          <w:szCs w:val="30"/>
        </w:rPr>
      </w:pPr>
      <w:r>
        <w:rPr>
          <w:rFonts w:hint="eastAsia"/>
          <w:lang w:bidi="en-US"/>
        </w:rPr>
        <w:t>同时，颗粒物和挥发性有机物、二氧化硫、氮氧化 物排放须满足淮北市态环境局 核定的污染物排放总量控制要求（颗粒物 ：1.9017吨／年，VOCs: 0.3573吨／年 ，二氧化硫：0.02吨／年</w:t>
      </w:r>
      <w:r>
        <w:rPr>
          <w:rFonts w:hint="eastAsia"/>
          <w:lang w:eastAsia="zh-CN" w:bidi="en-US"/>
        </w:rPr>
        <w:t>，</w:t>
      </w:r>
      <w:r>
        <w:rPr>
          <w:rFonts w:hint="eastAsia"/>
          <w:lang w:bidi="en-US"/>
        </w:rPr>
        <w:t xml:space="preserve"> 氮氧化物：0.0936吨／年 ）</w:t>
      </w:r>
      <w:r>
        <w:rPr>
          <w:rFonts w:ascii="宋体" w:hAnsi="宋体" w:eastAsia="宋体" w:cs="宋体"/>
          <w:color w:val="363636"/>
          <w:w w:val="75"/>
          <w:sz w:val="30"/>
          <w:szCs w:val="30"/>
        </w:rPr>
        <w:t>。</w:t>
      </w:r>
    </w:p>
    <w:p>
      <w:pPr>
        <w:ind w:firstLine="480"/>
        <w:rPr>
          <w:rFonts w:hint="default" w:ascii="Times New Roman" w:hAnsi="Times New Roman" w:eastAsia="宋体" w:cs="Times New Roman"/>
          <w:sz w:val="24"/>
          <w:szCs w:val="24"/>
        </w:rPr>
      </w:pPr>
      <w:r>
        <w:rPr>
          <w:rFonts w:hint="default" w:ascii="Times New Roman" w:hAnsi="Times New Roman" w:cs="Times New Roman"/>
          <w:sz w:val="24"/>
          <w:szCs w:val="24"/>
          <w:lang w:bidi="en-US"/>
        </w:rPr>
        <w:t>4、优化区平面布置，合理布置高噪声设备；选用低噪声设备、采取隔声、减振等措施，减轻噪声对环境的不良影响，确保项目区域噪声满足《工业企业厂界</w:t>
      </w:r>
      <w:r>
        <w:rPr>
          <w:rFonts w:hint="default" w:ascii="Times New Roman" w:hAnsi="Times New Roman" w:cs="Times New Roman"/>
          <w:sz w:val="24"/>
          <w:szCs w:val="24"/>
          <w:lang w:val="en-US" w:eastAsia="zh-CN" w:bidi="en-US"/>
        </w:rPr>
        <w:t>环境</w:t>
      </w:r>
      <w:r>
        <w:rPr>
          <w:rFonts w:hint="default" w:ascii="Times New Roman" w:hAnsi="Times New Roman" w:cs="Times New Roman"/>
          <w:sz w:val="24"/>
          <w:szCs w:val="24"/>
          <w:lang w:bidi="en-US"/>
        </w:rPr>
        <w:t>噪声排放标准》( GB 12348-2008 中的2类标准的要求 。</w:t>
      </w:r>
    </w:p>
    <w:p>
      <w:pPr>
        <w:ind w:firstLine="480"/>
        <w:rPr>
          <w:rFonts w:hint="default" w:ascii="Times New Roman" w:hAnsi="Times New Roman" w:cs="Times New Roman"/>
          <w:sz w:val="24"/>
          <w:szCs w:val="24"/>
          <w:lang w:bidi="en-US"/>
        </w:rPr>
      </w:pPr>
      <w:r>
        <w:rPr>
          <w:rFonts w:hint="default" w:ascii="Times New Roman" w:hAnsi="Times New Roman" w:cs="Times New Roman"/>
          <w:sz w:val="24"/>
          <w:szCs w:val="24"/>
          <w:lang w:bidi="en-US"/>
        </w:rPr>
        <w:t>5、强化固废在产生、收集、贮运各环节的管理，采取有效措施，加强废弃物的环境管 理。本项目废边角料、废钢丸、废滤筒、滤筒除尘灰、焊渣等集中收集，存放在一般固废暂存区后外售；废催化剂、水性油漆桶集中收集，存放在一般固废暂存区后交由生产厂家回收；废油性漆桶、废稀释剂桶、漆渣、废过滤介质</w:t>
      </w:r>
      <w:r>
        <w:rPr>
          <w:rFonts w:hint="eastAsia" w:ascii="Times New Roman" w:hAnsi="Times New Roman" w:cs="Times New Roman"/>
          <w:sz w:val="24"/>
          <w:szCs w:val="24"/>
          <w:lang w:eastAsia="zh-CN" w:bidi="en-US"/>
        </w:rPr>
        <w:t>、</w:t>
      </w:r>
      <w:r>
        <w:rPr>
          <w:rFonts w:hint="default" w:ascii="Times New Roman" w:hAnsi="Times New Roman" w:cs="Times New Roman"/>
          <w:sz w:val="24"/>
          <w:szCs w:val="24"/>
          <w:lang w:bidi="en-US"/>
        </w:rPr>
        <w:t>废活性炭</w:t>
      </w:r>
      <w:r>
        <w:rPr>
          <w:rFonts w:hint="eastAsia" w:ascii="Times New Roman" w:hAnsi="Times New Roman" w:cs="Times New Roman"/>
          <w:sz w:val="24"/>
          <w:szCs w:val="24"/>
          <w:lang w:eastAsia="zh-CN" w:bidi="en-US"/>
        </w:rPr>
        <w:t>、</w:t>
      </w:r>
      <w:r>
        <w:rPr>
          <w:rFonts w:hint="default" w:ascii="Times New Roman" w:hAnsi="Times New Roman" w:cs="Times New Roman"/>
          <w:sz w:val="24"/>
          <w:szCs w:val="24"/>
          <w:lang w:bidi="en-US"/>
        </w:rPr>
        <w:t>废切削液、废机油、含油抹布和手套等危险废物暂存于危废暂存间，定期交由有资质单位处理；生活垃圾统一收 集后由环卫部门清运。</w:t>
      </w:r>
    </w:p>
    <w:p>
      <w:pPr>
        <w:ind w:firstLine="480"/>
        <w:rPr>
          <w:rFonts w:hint="eastAsia"/>
          <w:lang w:bidi="en-US"/>
        </w:rPr>
      </w:pPr>
      <w:r>
        <w:rPr>
          <w:rFonts w:hint="default" w:ascii="Times New Roman" w:hAnsi="Times New Roman" w:cs="Times New Roman"/>
          <w:sz w:val="24"/>
          <w:szCs w:val="24"/>
          <w:lang w:bidi="en-US"/>
        </w:rPr>
        <w:t>6、强化厂区建筑的分区防渗处理，落实 《报告书》 中对各个分区的防渗措施要求</w:t>
      </w:r>
      <w:r>
        <w:rPr>
          <w:rFonts w:hint="eastAsia" w:ascii="Times New Roman" w:hAnsi="Times New Roman" w:cs="Times New Roman"/>
          <w:sz w:val="24"/>
          <w:szCs w:val="24"/>
          <w:lang w:eastAsia="zh-CN" w:bidi="en-US"/>
        </w:rPr>
        <w:t>，</w:t>
      </w:r>
      <w:r>
        <w:rPr>
          <w:rFonts w:hint="default" w:ascii="Times New Roman" w:hAnsi="Times New Roman" w:cs="Times New Roman"/>
          <w:sz w:val="24"/>
          <w:szCs w:val="24"/>
          <w:lang w:bidi="en-US"/>
        </w:rPr>
        <w:t xml:space="preserve"> 做好喷涂封闭区危废暂存问、油漆库等重点防渗区的防渗工作，防止污染土壤和地下水。落实《报告书》关于地下水和土壤监测有关要求，确保土壤和地下水水质安</w:t>
      </w:r>
      <w:r>
        <w:rPr>
          <w:rFonts w:hint="eastAsia" w:ascii="Times New Roman" w:hAnsi="Times New Roman" w:cs="Times New Roman"/>
          <w:sz w:val="24"/>
          <w:szCs w:val="24"/>
          <w:lang w:val="en-US" w:eastAsia="zh-CN" w:bidi="en-US"/>
        </w:rPr>
        <w:t>全。</w:t>
      </w:r>
    </w:p>
    <w:p>
      <w:pPr>
        <w:ind w:firstLine="480"/>
      </w:pPr>
      <w:r>
        <w:rPr>
          <w:rFonts w:hint="eastAsia"/>
          <w:lang w:bidi="en-US"/>
        </w:rPr>
        <w:t>7、加强日常风险防范和应 急处置能力建设 等工作，降低风</w:t>
      </w:r>
      <w:r>
        <w:rPr>
          <w:color w:val="313131"/>
        </w:rPr>
        <w:t>险事故发生的几率及危害程度</w:t>
      </w:r>
      <w:r>
        <w:rPr>
          <w:color w:val="313131"/>
          <w:spacing w:val="-26"/>
        </w:rPr>
        <w:t xml:space="preserve"> </w:t>
      </w:r>
      <w:r>
        <w:rPr>
          <w:color w:val="313131"/>
        </w:rPr>
        <w:t>。</w:t>
      </w:r>
    </w:p>
    <w:p>
      <w:pPr>
        <w:ind w:firstLine="480"/>
        <w:rPr>
          <w:rFonts w:hint="eastAsia"/>
          <w:lang w:bidi="en-US"/>
        </w:rPr>
      </w:pPr>
      <w:r>
        <w:rPr>
          <w:rFonts w:hint="eastAsia"/>
          <w:lang w:bidi="en-US"/>
        </w:rPr>
        <w:pict>
          <v:shape id="_x0000_s1028" o:spid="_x0000_s1028" o:spt="202" type="#_x0000_t202" style="position:absolute;left:0pt;margin-left:75.8pt;margin-top:39.35pt;height:17pt;width:17pt;mso-position-horizontal-relative:page;z-index:251659264;mso-width-relative:page;mso-height-relative:page;" filled="f" stroked="f" coordsize="21600,21600">
            <v:path/>
            <v:fill on="f" focussize="0,0"/>
            <v:stroke on="f" joinstyle="miter"/>
            <v:imagedata o:title=""/>
            <o:lock v:ext="edit"/>
            <v:textbox inset="0mm,0mm,0mm,0mm" style="layout-flow:vertical-ideographic;">
              <w:txbxContent>
                <w:p>
                  <w:pPr>
                    <w:pStyle w:val="17"/>
                    <w:spacing w:line="132" w:lineRule="auto"/>
                    <w:ind w:left="0" w:leftChars="0" w:right="0" w:firstLine="0" w:firstLineChars="0"/>
                    <w:jc w:val="left"/>
                    <w:rPr>
                      <w:rFonts w:ascii="宋体" w:hAnsi="宋体" w:eastAsia="宋体" w:cs="宋体"/>
                    </w:rPr>
                  </w:pPr>
                </w:p>
              </w:txbxContent>
            </v:textbox>
          </v:shape>
        </w:pict>
      </w:r>
      <w:r>
        <w:rPr>
          <w:rFonts w:hint="eastAsia"/>
          <w:lang w:bidi="en-US"/>
        </w:rPr>
        <w:t>8、优 化设备选型及工艺设计，进一步提高行业清洁生产水</w:t>
      </w:r>
      <w:r>
        <w:rPr>
          <w:rFonts w:hint="eastAsia"/>
          <w:lang w:val="en-US" w:eastAsia="zh-CN" w:bidi="en-US"/>
        </w:rPr>
        <w:t>平。</w:t>
      </w:r>
    </w:p>
    <w:p>
      <w:pPr>
        <w:ind w:firstLine="480"/>
        <w:rPr>
          <w:rFonts w:hint="eastAsia"/>
          <w:lang w:bidi="en-US"/>
        </w:rPr>
      </w:pPr>
      <w:r>
        <w:rPr>
          <w:rFonts w:hint="eastAsia"/>
          <w:lang w:bidi="en-US"/>
        </w:rPr>
        <w:t xml:space="preserve">9、采纳 《报告书》中提出的其他建议及各项污染防治措施。 </w:t>
      </w:r>
    </w:p>
    <w:p>
      <w:pPr>
        <w:ind w:firstLine="480"/>
        <w:rPr>
          <w:rFonts w:hint="eastAsia"/>
          <w:lang w:bidi="en-US"/>
        </w:rPr>
      </w:pPr>
      <w:r>
        <w:rPr>
          <w:rFonts w:hint="eastAsia"/>
          <w:lang w:bidi="en-US"/>
        </w:rPr>
        <w:t>四</w:t>
      </w:r>
      <w:r>
        <w:rPr>
          <w:rFonts w:hint="eastAsia"/>
          <w:lang w:eastAsia="zh-CN" w:bidi="en-US"/>
        </w:rPr>
        <w:t>、</w:t>
      </w:r>
      <w:r>
        <w:rPr>
          <w:rFonts w:hint="eastAsia"/>
          <w:lang w:bidi="en-US"/>
        </w:rPr>
        <w:t>建设单位应 切实履行全过程的环评信息公开机制，项目审批后要做到开工前、施工过程、项目建成后环境保护措施落实情况等各项信息的公开。</w:t>
      </w:r>
    </w:p>
    <w:p>
      <w:pPr>
        <w:ind w:firstLine="480"/>
        <w:rPr>
          <w:rFonts w:hint="eastAsia"/>
          <w:lang w:bidi="en-US"/>
        </w:rPr>
      </w:pPr>
      <w:r>
        <w:rPr>
          <w:rFonts w:hint="eastAsia"/>
          <w:lang w:bidi="en-US"/>
        </w:rPr>
        <w:t>五、项目建设必须严格执行环境保护“三同 时”制度和排污许可制度。你单位应当在项目建成后，启动生产设施或者在实际排污之前申请排污许可证，且须取得排污许可证后方可排放污染物。项目须经验收合格后，方可投入正式生产。</w:t>
      </w:r>
    </w:p>
    <w:p>
      <w:pPr>
        <w:ind w:firstLine="480"/>
        <w:rPr>
          <w:rFonts w:hint="eastAsia"/>
          <w:lang w:bidi="en-US"/>
        </w:rPr>
      </w:pPr>
      <w:r>
        <w:rPr>
          <w:rFonts w:hint="eastAsia"/>
          <w:lang w:bidi="en-US"/>
        </w:rPr>
        <w:t>若项目的性质</w:t>
      </w:r>
      <w:r>
        <w:rPr>
          <w:rFonts w:hint="eastAsia"/>
          <w:lang w:eastAsia="zh-CN" w:bidi="en-US"/>
        </w:rPr>
        <w:t>、</w:t>
      </w:r>
      <w:r>
        <w:rPr>
          <w:rFonts w:hint="eastAsia"/>
          <w:lang w:bidi="en-US"/>
        </w:rPr>
        <w:t>规模、地点</w:t>
      </w:r>
      <w:r>
        <w:rPr>
          <w:rFonts w:hint="eastAsia"/>
          <w:lang w:eastAsia="zh-CN" w:bidi="en-US"/>
        </w:rPr>
        <w:t>、</w:t>
      </w:r>
      <w:r>
        <w:rPr>
          <w:rFonts w:hint="eastAsia"/>
          <w:lang w:bidi="en-US"/>
        </w:rPr>
        <w:t>采用的生产工艺或者防治污染、防止生态破坏的措施发生重大变动的，建设单位应及时向我局报告，并重新办理环评审批手续 ，待批准后，方可开工建设 。</w:t>
      </w:r>
    </w:p>
    <w:p>
      <w:pPr>
        <w:pStyle w:val="62"/>
        <w:ind w:firstLine="643"/>
      </w:pPr>
      <w:bookmarkStart w:id="25" w:name="_Toc31101"/>
      <w:r>
        <w:t>5</w:t>
      </w:r>
      <w:r>
        <w:rPr>
          <w:rFonts w:hint="eastAsia"/>
        </w:rPr>
        <w:t>.</w:t>
      </w:r>
      <w:r>
        <w:t xml:space="preserve">3 </w:t>
      </w:r>
      <w:r>
        <w:rPr>
          <w:rFonts w:hint="eastAsia"/>
        </w:rPr>
        <w:t>环评</w:t>
      </w:r>
      <w:r>
        <w:rPr>
          <w:rFonts w:hint="eastAsia"/>
          <w:lang w:val="en-US" w:eastAsia="zh-CN"/>
        </w:rPr>
        <w:t>批复</w:t>
      </w:r>
      <w:r>
        <w:t>落实情况</w:t>
      </w:r>
      <w:bookmarkEnd w:id="25"/>
    </w:p>
    <w:p>
      <w:pPr>
        <w:ind w:firstLine="720" w:firstLineChars="300"/>
        <w:rPr>
          <w:lang w:val="zh-CN"/>
        </w:rPr>
      </w:pPr>
      <w:r>
        <w:rPr>
          <w:rFonts w:hint="eastAsia"/>
          <w:lang w:val="zh-CN"/>
        </w:rPr>
        <w:t>项目</w:t>
      </w:r>
      <w:r>
        <w:rPr>
          <w:lang w:val="zh-CN"/>
        </w:rPr>
        <w:t>环评</w:t>
      </w:r>
      <w:r>
        <w:rPr>
          <w:rFonts w:hint="eastAsia"/>
          <w:lang w:val="en-US" w:eastAsia="zh-CN"/>
        </w:rPr>
        <w:t>批复</w:t>
      </w:r>
      <w:r>
        <w:rPr>
          <w:lang w:val="zh-CN"/>
        </w:rPr>
        <w:t>落实情况见下表。</w:t>
      </w:r>
    </w:p>
    <w:p>
      <w:pPr>
        <w:ind w:firstLine="480"/>
        <w:rPr>
          <w:rFonts w:hint="eastAsia"/>
          <w:lang w:bidi="en-US"/>
        </w:rPr>
        <w:sectPr>
          <w:pgSz w:w="11910" w:h="16840"/>
          <w:pgMar w:top="1580" w:right="1400" w:bottom="280" w:left="1600" w:header="720" w:footer="720" w:gutter="0"/>
          <w:cols w:space="720" w:num="1"/>
        </w:sectPr>
      </w:pPr>
    </w:p>
    <w:p>
      <w:pPr>
        <w:jc w:val="center"/>
        <w:rPr>
          <w:b/>
          <w:bCs/>
          <w:sz w:val="24"/>
          <w:szCs w:val="24"/>
        </w:rPr>
      </w:pPr>
      <w:r>
        <w:rPr>
          <w:b/>
          <w:bCs/>
          <w:sz w:val="24"/>
          <w:szCs w:val="24"/>
        </w:rPr>
        <w:t>表</w:t>
      </w:r>
      <w:r>
        <w:rPr>
          <w:rFonts w:hint="eastAsia"/>
          <w:b/>
          <w:bCs/>
          <w:sz w:val="24"/>
          <w:szCs w:val="24"/>
        </w:rPr>
        <w:t>5.3-1</w:t>
      </w:r>
      <w:r>
        <w:rPr>
          <w:b/>
          <w:bCs/>
          <w:sz w:val="24"/>
          <w:szCs w:val="24"/>
        </w:rPr>
        <w:t xml:space="preserve">  </w:t>
      </w:r>
      <w:r>
        <w:rPr>
          <w:rFonts w:hint="eastAsia"/>
          <w:b/>
          <w:bCs/>
          <w:sz w:val="24"/>
          <w:szCs w:val="24"/>
        </w:rPr>
        <w:t>项目环保设施“三同时”落实</w:t>
      </w:r>
      <w:r>
        <w:rPr>
          <w:b/>
          <w:bCs/>
          <w:sz w:val="24"/>
          <w:szCs w:val="24"/>
        </w:rPr>
        <w:t>情况一览表</w:t>
      </w:r>
    </w:p>
    <w:tbl>
      <w:tblPr>
        <w:tblStyle w:val="4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646"/>
        <w:gridCol w:w="4022"/>
        <w:gridCol w:w="3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471" w:type="pct"/>
            <w:tcBorders>
              <w:tl2br w:val="nil"/>
              <w:tr2bl w:val="nil"/>
            </w:tcBorders>
            <w:vAlign w:val="center"/>
          </w:tcPr>
          <w:p>
            <w:pPr>
              <w:ind w:left="0" w:leftChars="0" w:firstLine="0" w:firstLineChars="0"/>
              <w:jc w:val="center"/>
              <w:rPr>
                <w:rFonts w:hint="eastAsia"/>
                <w:sz w:val="21"/>
                <w:szCs w:val="21"/>
                <w:lang w:val="ru-RU"/>
              </w:rPr>
            </w:pPr>
            <w:r>
              <w:rPr>
                <w:rFonts w:hint="eastAsia"/>
                <w:sz w:val="21"/>
                <w:szCs w:val="21"/>
                <w:lang w:val="ru-RU"/>
              </w:rPr>
              <w:t>序号</w:t>
            </w:r>
          </w:p>
        </w:tc>
        <w:tc>
          <w:tcPr>
            <w:tcW w:w="379" w:type="pct"/>
            <w:tcBorders>
              <w:tl2br w:val="nil"/>
              <w:tr2bl w:val="nil"/>
            </w:tcBorders>
            <w:vAlign w:val="center"/>
          </w:tcPr>
          <w:p>
            <w:pPr>
              <w:ind w:left="0" w:leftChars="0" w:firstLine="0" w:firstLineChars="0"/>
              <w:jc w:val="center"/>
              <w:rPr>
                <w:rFonts w:hint="eastAsia"/>
                <w:sz w:val="21"/>
                <w:szCs w:val="21"/>
                <w:lang w:val="ru-RU"/>
              </w:rPr>
            </w:pPr>
            <w:r>
              <w:rPr>
                <w:rFonts w:hint="eastAsia"/>
                <w:sz w:val="21"/>
                <w:szCs w:val="21"/>
                <w:lang w:val="ru-RU"/>
              </w:rPr>
              <w:t>分类</w:t>
            </w:r>
          </w:p>
        </w:tc>
        <w:tc>
          <w:tcPr>
            <w:tcW w:w="2360"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环评备案要求</w:t>
            </w:r>
          </w:p>
        </w:tc>
        <w:tc>
          <w:tcPr>
            <w:tcW w:w="1788"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5" w:hRule="atLeast"/>
          <w:jc w:val="center"/>
        </w:trPr>
        <w:tc>
          <w:tcPr>
            <w:tcW w:w="471"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1</w:t>
            </w:r>
          </w:p>
        </w:tc>
        <w:tc>
          <w:tcPr>
            <w:tcW w:w="379" w:type="pct"/>
            <w:tcBorders>
              <w:tl2br w:val="nil"/>
              <w:tr2bl w:val="nil"/>
            </w:tcBorders>
            <w:vAlign w:val="center"/>
          </w:tcPr>
          <w:p>
            <w:pPr>
              <w:ind w:left="0" w:leftChars="0" w:firstLine="0" w:firstLineChars="0"/>
              <w:jc w:val="center"/>
              <w:rPr>
                <w:rFonts w:hint="eastAsia"/>
                <w:sz w:val="21"/>
                <w:szCs w:val="21"/>
                <w:lang w:val="ru-RU"/>
              </w:rPr>
            </w:pPr>
            <w:r>
              <w:rPr>
                <w:rFonts w:hint="eastAsia"/>
                <w:sz w:val="21"/>
                <w:szCs w:val="21"/>
                <w:lang w:val="ru-RU"/>
              </w:rPr>
              <w:t>废水</w:t>
            </w:r>
          </w:p>
        </w:tc>
        <w:tc>
          <w:tcPr>
            <w:tcW w:w="2360"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实行雨污分流，强化节水措施。原则同意《报告书》 提出的污水处理方案</w:t>
            </w:r>
            <w:r>
              <w:rPr>
                <w:rFonts w:hint="eastAsia"/>
                <w:sz w:val="21"/>
                <w:szCs w:val="21"/>
                <w:lang w:val="ru-RU" w:eastAsia="zh-CN"/>
              </w:rPr>
              <w:t>，</w:t>
            </w:r>
            <w:r>
              <w:rPr>
                <w:rFonts w:hint="eastAsia"/>
                <w:sz w:val="21"/>
                <w:szCs w:val="21"/>
                <w:lang w:val="ru-RU"/>
              </w:rPr>
              <w:t>生活污水依托安徽正民万基重钢科技公司化粪池预处理后，满足段园镇污水处理厂接管限值和 《污水综合排 放标准》（GB8978-2012 ）表 4 中 级标准要求，经园区污水管网进入段园镇污水处理厂进行深度处理，达到 《城镇污水处理厂 污染物排放标准》 中的一级 A 标准后排入解放河。</w:t>
            </w:r>
          </w:p>
        </w:tc>
        <w:tc>
          <w:tcPr>
            <w:tcW w:w="1788" w:type="pct"/>
            <w:tcBorders>
              <w:tl2br w:val="nil"/>
              <w:tr2bl w:val="nil"/>
            </w:tcBorders>
            <w:vAlign w:val="center"/>
          </w:tcPr>
          <w:p>
            <w:pPr>
              <w:ind w:left="0" w:leftChars="0" w:firstLine="0" w:firstLineChars="0"/>
              <w:jc w:val="both"/>
              <w:rPr>
                <w:rFonts w:hint="eastAsia" w:eastAsiaTheme="minorEastAsia"/>
                <w:sz w:val="21"/>
                <w:szCs w:val="21"/>
                <w:lang w:val="ru-RU" w:eastAsia="zh-CN"/>
              </w:rPr>
            </w:pPr>
            <w:r>
              <w:rPr>
                <w:rFonts w:hint="eastAsia"/>
                <w:sz w:val="21"/>
                <w:szCs w:val="21"/>
                <w:lang w:val="ru-RU"/>
              </w:rPr>
              <w:t>已落实</w:t>
            </w:r>
            <w:r>
              <w:rPr>
                <w:rFonts w:hint="eastAsia"/>
                <w:sz w:val="21"/>
                <w:szCs w:val="21"/>
                <w:lang w:val="ru-RU" w:eastAsia="zh-CN"/>
              </w:rPr>
              <w:t>，</w:t>
            </w:r>
            <w:r>
              <w:rPr>
                <w:rFonts w:hint="eastAsia"/>
                <w:sz w:val="21"/>
                <w:szCs w:val="21"/>
                <w:lang w:val="ru-RU"/>
              </w:rPr>
              <w:t>生活污水依托安徽正民万基重钢科技公司化粪池预处理后，满足段园镇污水处理厂接管限值和《污水综合排 放标准》（GB8978-2012 ）表 4 中 级标准要求，经园区污水管网进入段园镇污水处理厂进行深度处理，达到《城镇污水处理厂污染物排放标准》中的一级 A 标准后排入解放河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471"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2</w:t>
            </w:r>
          </w:p>
        </w:tc>
        <w:tc>
          <w:tcPr>
            <w:tcW w:w="379"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废气</w:t>
            </w:r>
          </w:p>
        </w:tc>
        <w:tc>
          <w:tcPr>
            <w:tcW w:w="2360"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项目等离子下料切割工序产生的烟尘经集气罩收集后，引入3 套滤筒除尘器（</w:t>
            </w:r>
            <w:r>
              <w:rPr>
                <w:rFonts w:hint="eastAsia"/>
                <w:sz w:val="21"/>
                <w:szCs w:val="21"/>
                <w:lang w:val="en-US" w:eastAsia="zh-CN"/>
              </w:rPr>
              <w:t>TA001</w:t>
            </w:r>
            <w:r>
              <w:rPr>
                <w:rFonts w:hint="eastAsia"/>
                <w:sz w:val="21"/>
                <w:szCs w:val="21"/>
                <w:lang w:val="ru-RU"/>
              </w:rPr>
              <w:t>、TA002、TA003）处理；自动焊接区、气保焊一区产生的焊接烟尘经集气罩收集后，引入2 套滤筒除尘器（TA004、TA005） 处理 ；焊接平台微负压收集后，引入1 套滤筒 除尘器</w:t>
            </w:r>
            <w:r>
              <w:rPr>
                <w:rFonts w:hint="eastAsia"/>
                <w:sz w:val="21"/>
                <w:szCs w:val="21"/>
                <w:lang w:val="ru-RU" w:eastAsia="zh-CN"/>
              </w:rPr>
              <w:t>（</w:t>
            </w:r>
            <w:r>
              <w:rPr>
                <w:rFonts w:hint="eastAsia"/>
                <w:sz w:val="21"/>
                <w:szCs w:val="21"/>
                <w:lang w:val="ru-RU"/>
              </w:rPr>
              <w:t>TA006）处理；钢结构网架抛丸粉尘经自带滤筒除尘器处理， 处理后的废气达标后集中由1根15米高排气筒（</w:t>
            </w:r>
            <w:r>
              <w:rPr>
                <w:rFonts w:hint="eastAsia"/>
                <w:sz w:val="21"/>
                <w:szCs w:val="21"/>
                <w:lang w:val="en-US" w:eastAsia="zh-CN"/>
              </w:rPr>
              <w:t>DA001</w:t>
            </w:r>
            <w:r>
              <w:rPr>
                <w:rFonts w:hint="eastAsia"/>
                <w:sz w:val="21"/>
                <w:szCs w:val="21"/>
                <w:lang w:val="ru-RU"/>
              </w:rPr>
              <w:t>）排放；数控管相贯下料切割产生的烟尘经集气罩收集后，引入1套滤筒 除尘器（</w:t>
            </w:r>
            <w:r>
              <w:rPr>
                <w:rFonts w:hint="eastAsia"/>
                <w:sz w:val="21"/>
                <w:szCs w:val="21"/>
                <w:lang w:val="en-US" w:eastAsia="zh-CN"/>
              </w:rPr>
              <w:t>TA007</w:t>
            </w:r>
            <w:r>
              <w:rPr>
                <w:rFonts w:hint="eastAsia"/>
                <w:sz w:val="21"/>
                <w:szCs w:val="21"/>
                <w:lang w:val="ru-RU"/>
              </w:rPr>
              <w:t>）处理；气保焊二区产生的焊接烟尘经集气罩收集后，引入1 套滤筒除尘器（</w:t>
            </w:r>
            <w:r>
              <w:rPr>
                <w:rFonts w:hint="eastAsia"/>
                <w:sz w:val="21"/>
                <w:szCs w:val="21"/>
                <w:lang w:val="en-US" w:eastAsia="zh-CN"/>
              </w:rPr>
              <w:t>TA008</w:t>
            </w:r>
            <w:r>
              <w:rPr>
                <w:rFonts w:hint="eastAsia"/>
                <w:sz w:val="21"/>
                <w:szCs w:val="21"/>
                <w:lang w:val="ru-RU"/>
              </w:rPr>
              <w:t>）处理；其他钢结构和机械加工件抛丸粉尘经自带滤筒除尘器处理</w:t>
            </w:r>
            <w:r>
              <w:rPr>
                <w:rFonts w:hint="eastAsia"/>
                <w:sz w:val="21"/>
                <w:szCs w:val="21"/>
                <w:lang w:val="en-US" w:eastAsia="zh-CN"/>
              </w:rPr>
              <w:t>,</w:t>
            </w:r>
            <w:r>
              <w:rPr>
                <w:rFonts w:hint="eastAsia"/>
                <w:sz w:val="21"/>
                <w:szCs w:val="21"/>
                <w:lang w:val="ru-RU"/>
              </w:rPr>
              <w:t>处理后的废气达标后集中由1根15 米高排气筒（DA002）排放；调漆、喷漆、晾干／流平</w:t>
            </w:r>
            <w:r>
              <w:rPr>
                <w:rFonts w:hint="eastAsia"/>
                <w:sz w:val="21"/>
                <w:szCs w:val="21"/>
                <w:lang w:val="en-US" w:eastAsia="zh-CN"/>
              </w:rPr>
              <w:t>/</w:t>
            </w:r>
            <w:r>
              <w:rPr>
                <w:rFonts w:hint="eastAsia"/>
                <w:sz w:val="21"/>
                <w:szCs w:val="21"/>
                <w:lang w:val="ru-RU"/>
              </w:rPr>
              <w:t>烘干工序采用全密闭负压收集并连接管道输送至 1 套干 式过 滤＋活性炭吸附 ／脱附＋催化燃烧处理，处理后的废气达标后由 1 根15米高排气筒（DA003）排放；危废暂存间有机废气负压收集并连接管道依托1 套式过滤＋活性炭吸附／脱附＋催化燃烧处理，处理由 15 米高排气筒（DA003）排放 ；热风炉天然气燃烧废气采用低氮燃烧处理</w:t>
            </w:r>
            <w:r>
              <w:rPr>
                <w:rFonts w:hint="eastAsia"/>
                <w:sz w:val="21"/>
                <w:szCs w:val="21"/>
                <w:lang w:val="en-US" w:eastAsia="zh-CN"/>
              </w:rPr>
              <w:t>,</w:t>
            </w:r>
            <w:r>
              <w:rPr>
                <w:rFonts w:hint="eastAsia"/>
                <w:sz w:val="21"/>
                <w:szCs w:val="21"/>
                <w:lang w:val="ru-RU"/>
              </w:rPr>
              <w:t xml:space="preserve">处理后废气中的颗粒物 </w:t>
            </w:r>
            <w:r>
              <w:rPr>
                <w:rFonts w:hint="eastAsia"/>
                <w:sz w:val="21"/>
                <w:szCs w:val="21"/>
                <w:lang w:val="ru-RU" w:eastAsia="zh-CN"/>
              </w:rPr>
              <w:t>、</w:t>
            </w:r>
            <w:r>
              <w:rPr>
                <w:rFonts w:hint="eastAsia"/>
                <w:sz w:val="21"/>
                <w:szCs w:val="21"/>
                <w:lang w:val="ru-RU"/>
              </w:rPr>
              <w:t>S02、NOx 须达到 《工业炉窑大气污染物综合治理方案》（ 环大气〔 2019 〕56 号）限值要求（最高排放浓度分别不超过30mg/m</w:t>
            </w:r>
            <w:r>
              <w:rPr>
                <w:rFonts w:hint="eastAsia"/>
                <w:sz w:val="21"/>
                <w:szCs w:val="21"/>
                <w:vertAlign w:val="superscript"/>
                <w:lang w:val="ru-RU"/>
              </w:rPr>
              <w:t>3</w:t>
            </w:r>
            <w:r>
              <w:rPr>
                <w:rFonts w:hint="eastAsia"/>
                <w:sz w:val="21"/>
                <w:szCs w:val="21"/>
                <w:lang w:val="ru-RU"/>
              </w:rPr>
              <w:t xml:space="preserve"> 、200mg/m</w:t>
            </w:r>
            <w:r>
              <w:rPr>
                <w:rFonts w:hint="eastAsia"/>
                <w:sz w:val="21"/>
                <w:szCs w:val="21"/>
                <w:vertAlign w:val="superscript"/>
                <w:lang w:val="ru-RU"/>
              </w:rPr>
              <w:t>3</w:t>
            </w:r>
            <w:r>
              <w:rPr>
                <w:rFonts w:hint="eastAsia"/>
                <w:sz w:val="21"/>
                <w:szCs w:val="21"/>
                <w:lang w:val="ru-RU"/>
              </w:rPr>
              <w:t>、300mg/m</w:t>
            </w:r>
            <w:r>
              <w:rPr>
                <w:rFonts w:hint="eastAsia"/>
                <w:sz w:val="21"/>
                <w:szCs w:val="21"/>
                <w:vertAlign w:val="superscript"/>
                <w:lang w:val="ru-RU"/>
              </w:rPr>
              <w:t>3</w:t>
            </w:r>
            <w:r>
              <w:rPr>
                <w:rFonts w:hint="eastAsia"/>
                <w:sz w:val="21"/>
                <w:szCs w:val="21"/>
                <w:lang w:val="ru-RU"/>
              </w:rPr>
              <w:t xml:space="preserve"> ) 后，通过15m高排气筒（DA004） 排放。</w:t>
            </w:r>
          </w:p>
          <w:p>
            <w:pPr>
              <w:ind w:firstLine="480"/>
              <w:jc w:val="center"/>
              <w:rPr>
                <w:rFonts w:hint="eastAsia"/>
                <w:sz w:val="21"/>
                <w:szCs w:val="21"/>
                <w:lang w:val="ru-RU"/>
              </w:rPr>
            </w:pPr>
          </w:p>
        </w:tc>
        <w:tc>
          <w:tcPr>
            <w:tcW w:w="1788" w:type="pct"/>
            <w:tcBorders>
              <w:tl2br w:val="nil"/>
              <w:tr2bl w:val="nil"/>
            </w:tcBorders>
            <w:vAlign w:val="center"/>
          </w:tcPr>
          <w:p>
            <w:pPr>
              <w:ind w:left="0" w:leftChars="0" w:firstLine="0" w:firstLineChars="0"/>
              <w:jc w:val="both"/>
              <w:rPr>
                <w:rFonts w:hint="default" w:eastAsiaTheme="minorEastAsia"/>
                <w:sz w:val="21"/>
                <w:szCs w:val="21"/>
                <w:lang w:val="en-US" w:eastAsia="zh-CN"/>
              </w:rPr>
            </w:pPr>
            <w:r>
              <w:rPr>
                <w:rFonts w:hint="eastAsia"/>
                <w:sz w:val="21"/>
                <w:szCs w:val="21"/>
                <w:lang w:val="ru-RU"/>
              </w:rPr>
              <w:t>项目喷漆自动化区（喷漆-流平-烘干一体自动线区）未建设，</w:t>
            </w:r>
            <w:r>
              <w:rPr>
                <w:rFonts w:hint="eastAsia"/>
                <w:sz w:val="21"/>
                <w:szCs w:val="21"/>
                <w:lang w:val="en-US" w:eastAsia="zh-CN"/>
              </w:rPr>
              <w:t>无热风炉天然气燃烧废气和自动喷涂区喷涂、流平、烘干废气，其他均已落实。</w:t>
            </w:r>
            <w:r>
              <w:rPr>
                <w:rFonts w:hint="eastAsia"/>
                <w:sz w:val="21"/>
                <w:szCs w:val="21"/>
                <w:lang w:val="ru-RU"/>
              </w:rPr>
              <w:t>项目等离子下料切割工序产生的烟尘经集气罩收集后，引入3 套滤筒除尘器（</w:t>
            </w:r>
            <w:r>
              <w:rPr>
                <w:rFonts w:hint="eastAsia"/>
                <w:sz w:val="21"/>
                <w:szCs w:val="21"/>
                <w:lang w:val="en-US" w:eastAsia="zh-CN"/>
              </w:rPr>
              <w:t>TA001</w:t>
            </w:r>
            <w:r>
              <w:rPr>
                <w:rFonts w:hint="eastAsia"/>
                <w:sz w:val="21"/>
                <w:szCs w:val="21"/>
                <w:lang w:val="ru-RU"/>
              </w:rPr>
              <w:t>、TA002、TA003）处理；自动焊接区、气保焊一区产生的焊接烟尘经集气罩收集后，引入2 套滤筒除尘器（TA004、TA005） 处理 ；焊接平台微负压收集后，引入1 套滤筒 除尘器</w:t>
            </w:r>
            <w:r>
              <w:rPr>
                <w:rFonts w:hint="eastAsia"/>
                <w:sz w:val="21"/>
                <w:szCs w:val="21"/>
                <w:lang w:val="ru-RU" w:eastAsia="zh-CN"/>
              </w:rPr>
              <w:t>（</w:t>
            </w:r>
            <w:r>
              <w:rPr>
                <w:rFonts w:hint="eastAsia"/>
                <w:sz w:val="21"/>
                <w:szCs w:val="21"/>
                <w:lang w:val="ru-RU"/>
              </w:rPr>
              <w:t>TA006）处理；钢结构网架抛丸粉尘经自带滤筒除尘器处理， 处理后的废气达标后集中由1根15米高排气筒（</w:t>
            </w:r>
            <w:r>
              <w:rPr>
                <w:rFonts w:hint="eastAsia"/>
                <w:sz w:val="21"/>
                <w:szCs w:val="21"/>
                <w:lang w:val="en-US" w:eastAsia="zh-CN"/>
              </w:rPr>
              <w:t>DA001</w:t>
            </w:r>
            <w:r>
              <w:rPr>
                <w:rFonts w:hint="eastAsia"/>
                <w:sz w:val="21"/>
                <w:szCs w:val="21"/>
                <w:lang w:val="ru-RU"/>
              </w:rPr>
              <w:t>）排放；数控管相贯下料切割产生的烟尘经集气罩收集后，引入1套滤筒 除尘器（</w:t>
            </w:r>
            <w:r>
              <w:rPr>
                <w:rFonts w:hint="eastAsia"/>
                <w:sz w:val="21"/>
                <w:szCs w:val="21"/>
                <w:lang w:val="en-US" w:eastAsia="zh-CN"/>
              </w:rPr>
              <w:t>TA007</w:t>
            </w:r>
            <w:r>
              <w:rPr>
                <w:rFonts w:hint="eastAsia"/>
                <w:sz w:val="21"/>
                <w:szCs w:val="21"/>
                <w:lang w:val="ru-RU"/>
              </w:rPr>
              <w:t>）处理；气保焊二区产生的焊接烟尘经集气罩收集后，引入1 套滤筒除尘器（</w:t>
            </w:r>
            <w:r>
              <w:rPr>
                <w:rFonts w:hint="eastAsia"/>
                <w:sz w:val="21"/>
                <w:szCs w:val="21"/>
                <w:lang w:val="en-US" w:eastAsia="zh-CN"/>
              </w:rPr>
              <w:t>TA008</w:t>
            </w:r>
            <w:r>
              <w:rPr>
                <w:rFonts w:hint="eastAsia"/>
                <w:sz w:val="21"/>
                <w:szCs w:val="21"/>
                <w:lang w:val="ru-RU"/>
              </w:rPr>
              <w:t>）处理；其他钢结构和机械加工件抛丸粉尘经自带滤筒除尘器处理</w:t>
            </w:r>
            <w:r>
              <w:rPr>
                <w:rFonts w:hint="eastAsia"/>
                <w:sz w:val="21"/>
                <w:szCs w:val="21"/>
                <w:lang w:val="en-US" w:eastAsia="zh-CN"/>
              </w:rPr>
              <w:t>,</w:t>
            </w:r>
            <w:r>
              <w:rPr>
                <w:rFonts w:hint="eastAsia"/>
                <w:sz w:val="21"/>
                <w:szCs w:val="21"/>
                <w:lang w:val="ru-RU"/>
              </w:rPr>
              <w:t xml:space="preserve">处理后的废气达标后集中由1根15 米高排气筒（DA002）排放；调漆、喷漆、晾干工序采用全密闭负压收集并连接管道输送至 1 套干 式过 滤＋活性炭吸附／脱附＋催化燃烧处理，处理后的废气达标后由 1 根15米高排气筒（DA003）排放；危废暂存间有机废气负压收集并连接管道依托1 套式过滤＋活性炭吸附／脱附＋催化燃烧处理，处理由 15 米高排气筒（DA003）排放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471"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3</w:t>
            </w:r>
          </w:p>
        </w:tc>
        <w:tc>
          <w:tcPr>
            <w:tcW w:w="379"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噪声</w:t>
            </w:r>
          </w:p>
        </w:tc>
        <w:tc>
          <w:tcPr>
            <w:tcW w:w="2360" w:type="pct"/>
            <w:tcBorders>
              <w:tl2br w:val="nil"/>
              <w:tr2bl w:val="nil"/>
            </w:tcBorders>
            <w:vAlign w:val="center"/>
          </w:tcPr>
          <w:p>
            <w:pPr>
              <w:ind w:left="0" w:leftChars="0" w:firstLine="0" w:firstLineChars="0"/>
              <w:jc w:val="both"/>
              <w:rPr>
                <w:rFonts w:hint="eastAsia"/>
                <w:sz w:val="21"/>
                <w:szCs w:val="21"/>
                <w:lang w:val="ru-RU"/>
              </w:rPr>
            </w:pPr>
            <w:r>
              <w:rPr>
                <w:rFonts w:hint="default"/>
                <w:sz w:val="21"/>
                <w:szCs w:val="21"/>
                <w:lang w:val="ru-RU"/>
              </w:rPr>
              <w:t>优化 区平面布置，合理布置高噪声设备；选用低噪声设备、采取隔声、减振等措施 ，减轻噪声对环境的不良影响，确保项目区域 噪声满足 《工业企业厂界</w:t>
            </w:r>
            <w:r>
              <w:rPr>
                <w:rFonts w:hint="default"/>
                <w:sz w:val="21"/>
                <w:szCs w:val="21"/>
                <w:lang w:val="en-US" w:eastAsia="zh-CN"/>
              </w:rPr>
              <w:t>环境</w:t>
            </w:r>
            <w:r>
              <w:rPr>
                <w:rFonts w:hint="default"/>
                <w:sz w:val="21"/>
                <w:szCs w:val="21"/>
                <w:lang w:val="ru-RU"/>
              </w:rPr>
              <w:t>噪声排 放标准》( GB 12348-2008 中的2类标准的要求 。</w:t>
            </w:r>
          </w:p>
        </w:tc>
        <w:tc>
          <w:tcPr>
            <w:tcW w:w="1788"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已落实，验收监测期间厂界噪声满足排放标准要求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71" w:type="pct"/>
            <w:tcBorders>
              <w:tl2br w:val="nil"/>
              <w:tr2bl w:val="nil"/>
            </w:tcBorders>
            <w:vAlign w:val="center"/>
          </w:tcPr>
          <w:p>
            <w:pPr>
              <w:ind w:firstLine="480"/>
              <w:jc w:val="center"/>
              <w:rPr>
                <w:rFonts w:hint="eastAsia"/>
                <w:sz w:val="21"/>
                <w:szCs w:val="21"/>
                <w:lang w:val="ru-RU"/>
              </w:rPr>
            </w:pPr>
            <w:r>
              <w:rPr>
                <w:rFonts w:hint="eastAsia"/>
                <w:sz w:val="21"/>
                <w:szCs w:val="21"/>
                <w:lang w:val="ru-RU"/>
              </w:rPr>
              <w:t>4</w:t>
            </w:r>
          </w:p>
        </w:tc>
        <w:tc>
          <w:tcPr>
            <w:tcW w:w="379" w:type="pct"/>
            <w:tcBorders>
              <w:tl2br w:val="nil"/>
              <w:tr2bl w:val="nil"/>
            </w:tcBorders>
            <w:vAlign w:val="center"/>
          </w:tcPr>
          <w:p>
            <w:pPr>
              <w:ind w:left="0" w:leftChars="0" w:firstLine="0" w:firstLineChars="0"/>
              <w:jc w:val="both"/>
              <w:rPr>
                <w:rFonts w:hint="eastAsia"/>
                <w:sz w:val="21"/>
                <w:szCs w:val="21"/>
                <w:lang w:val="ru-RU"/>
              </w:rPr>
            </w:pPr>
            <w:r>
              <w:rPr>
                <w:rFonts w:hint="eastAsia"/>
                <w:sz w:val="21"/>
                <w:szCs w:val="21"/>
                <w:lang w:val="ru-RU"/>
              </w:rPr>
              <w:t>固废</w:t>
            </w:r>
          </w:p>
        </w:tc>
        <w:tc>
          <w:tcPr>
            <w:tcW w:w="2360" w:type="pct"/>
            <w:tcBorders>
              <w:tl2br w:val="nil"/>
              <w:tr2bl w:val="nil"/>
            </w:tcBorders>
            <w:vAlign w:val="center"/>
          </w:tcPr>
          <w:p>
            <w:pPr>
              <w:ind w:left="0" w:leftChars="0" w:firstLine="0" w:firstLineChars="0"/>
              <w:jc w:val="both"/>
              <w:rPr>
                <w:rFonts w:hint="eastAsia"/>
                <w:sz w:val="21"/>
                <w:szCs w:val="21"/>
                <w:lang w:val="ru-RU"/>
              </w:rPr>
            </w:pPr>
            <w:r>
              <w:rPr>
                <w:rFonts w:hint="default"/>
                <w:sz w:val="21"/>
                <w:szCs w:val="21"/>
                <w:lang w:val="ru-RU"/>
              </w:rPr>
              <w:t>强化固废在产生、收集、贮运各环节的管理，采取有效措施，加强废弃物的环境管 理。本项目废边角料、废钢丸、废滤筒、滤筒除尘灰、焊渣等集中收集，存放在一般固废暂存区后外售；废催化剂、水性油漆桶集中收集，存放在一般固废暂存区后交由生产厂家回收；废油性漆桶、废稀释剂桶、漆渣、废过滤介质</w:t>
            </w:r>
            <w:r>
              <w:rPr>
                <w:rFonts w:hint="eastAsia"/>
                <w:sz w:val="21"/>
                <w:szCs w:val="21"/>
                <w:lang w:val="ru-RU" w:eastAsia="zh-CN"/>
              </w:rPr>
              <w:t>、</w:t>
            </w:r>
            <w:r>
              <w:rPr>
                <w:rFonts w:hint="default"/>
                <w:sz w:val="21"/>
                <w:szCs w:val="21"/>
                <w:lang w:val="ru-RU"/>
              </w:rPr>
              <w:t>废活性炭</w:t>
            </w:r>
            <w:r>
              <w:rPr>
                <w:rFonts w:hint="eastAsia"/>
                <w:sz w:val="21"/>
                <w:szCs w:val="21"/>
                <w:lang w:val="ru-RU" w:eastAsia="zh-CN"/>
              </w:rPr>
              <w:t>、</w:t>
            </w:r>
            <w:r>
              <w:rPr>
                <w:rFonts w:hint="default"/>
                <w:sz w:val="21"/>
                <w:szCs w:val="21"/>
                <w:lang w:val="ru-RU"/>
              </w:rPr>
              <w:t>废切削液、废机油、含油抹布和手套等危险废物暂存于危废暂存间，定期交由有资质单位处理；生活垃圾统一收 集后由环卫部门清运。</w:t>
            </w:r>
          </w:p>
        </w:tc>
        <w:tc>
          <w:tcPr>
            <w:tcW w:w="1788" w:type="pct"/>
            <w:tcBorders>
              <w:tl2br w:val="nil"/>
              <w:tr2bl w:val="nil"/>
            </w:tcBorders>
            <w:vAlign w:val="center"/>
          </w:tcPr>
          <w:p>
            <w:pPr>
              <w:ind w:left="0" w:leftChars="0" w:firstLine="0" w:firstLineChars="0"/>
              <w:jc w:val="both"/>
              <w:rPr>
                <w:rFonts w:hint="eastAsia" w:eastAsiaTheme="minorEastAsia"/>
                <w:sz w:val="21"/>
                <w:szCs w:val="21"/>
                <w:lang w:val="en-US" w:eastAsia="zh-CN"/>
              </w:rPr>
            </w:pPr>
            <w:r>
              <w:rPr>
                <w:rFonts w:hint="eastAsia"/>
                <w:sz w:val="21"/>
                <w:szCs w:val="21"/>
                <w:lang w:val="en-US" w:eastAsia="zh-CN"/>
              </w:rPr>
              <w:t>已落实，</w:t>
            </w:r>
            <w:r>
              <w:rPr>
                <w:rFonts w:hint="default"/>
                <w:sz w:val="21"/>
                <w:szCs w:val="21"/>
                <w:lang w:val="ru-RU"/>
              </w:rPr>
              <w:t>项目废边角料、废钢丸、废滤筒、滤筒除尘灰、焊渣等集中收集，存放在一般固废暂存区后外售；废催化剂、水性油漆桶集中收集，存放在一般固废暂存区后交由生产厂家回收；废油性漆桶、废稀释剂桶、漆渣、废过滤介质</w:t>
            </w:r>
            <w:r>
              <w:rPr>
                <w:rFonts w:hint="eastAsia"/>
                <w:sz w:val="21"/>
                <w:szCs w:val="21"/>
                <w:lang w:val="ru-RU" w:eastAsia="zh-CN"/>
              </w:rPr>
              <w:t>、</w:t>
            </w:r>
            <w:r>
              <w:rPr>
                <w:rFonts w:hint="default"/>
                <w:sz w:val="21"/>
                <w:szCs w:val="21"/>
                <w:lang w:val="ru-RU"/>
              </w:rPr>
              <w:t>废活性炭</w:t>
            </w:r>
            <w:r>
              <w:rPr>
                <w:rFonts w:hint="eastAsia"/>
                <w:sz w:val="21"/>
                <w:szCs w:val="21"/>
                <w:lang w:val="ru-RU" w:eastAsia="zh-CN"/>
              </w:rPr>
              <w:t>、</w:t>
            </w:r>
            <w:r>
              <w:rPr>
                <w:rFonts w:hint="default"/>
                <w:sz w:val="21"/>
                <w:szCs w:val="21"/>
                <w:lang w:val="ru-RU"/>
              </w:rPr>
              <w:t>废切削液、废机油、含油抹布和手套等危险废物暂存于危废暂存间，定期交由</w:t>
            </w:r>
            <w:r>
              <w:rPr>
                <w:rFonts w:hint="eastAsia"/>
                <w:sz w:val="21"/>
                <w:szCs w:val="21"/>
                <w:lang w:val="en-US" w:eastAsia="zh-CN"/>
              </w:rPr>
              <w:t>威立雅环境服务（淮北）有限公司</w:t>
            </w:r>
            <w:r>
              <w:rPr>
                <w:rFonts w:hint="default"/>
                <w:sz w:val="21"/>
                <w:szCs w:val="21"/>
                <w:lang w:val="ru-RU"/>
              </w:rPr>
              <w:t>处理；生活垃圾统一收 集后由环卫部门清运。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471" w:type="pct"/>
            <w:tcBorders>
              <w:tl2br w:val="nil"/>
              <w:tr2bl w:val="nil"/>
            </w:tcBorders>
            <w:vAlign w:val="center"/>
          </w:tcPr>
          <w:p>
            <w:pPr>
              <w:ind w:firstLine="480"/>
              <w:jc w:val="center"/>
              <w:rPr>
                <w:rFonts w:hint="eastAsia" w:eastAsiaTheme="minorEastAsia"/>
                <w:sz w:val="21"/>
                <w:szCs w:val="21"/>
                <w:lang w:val="ru-RU" w:eastAsia="zh-CN"/>
              </w:rPr>
            </w:pPr>
            <w:r>
              <w:rPr>
                <w:rFonts w:hint="eastAsia"/>
                <w:sz w:val="21"/>
                <w:szCs w:val="21"/>
                <w:lang w:val="en-US" w:eastAsia="zh-CN"/>
              </w:rPr>
              <w:t>5</w:t>
            </w:r>
          </w:p>
        </w:tc>
        <w:tc>
          <w:tcPr>
            <w:tcW w:w="379" w:type="pct"/>
            <w:tcBorders>
              <w:tl2br w:val="nil"/>
              <w:tr2bl w:val="nil"/>
            </w:tcBorders>
            <w:vAlign w:val="center"/>
          </w:tcPr>
          <w:p>
            <w:pPr>
              <w:ind w:left="0" w:leftChars="0" w:firstLine="0" w:firstLineChars="0"/>
              <w:jc w:val="both"/>
              <w:rPr>
                <w:rFonts w:hint="eastAsia"/>
                <w:sz w:val="21"/>
                <w:szCs w:val="21"/>
                <w:lang w:val="zh-CN"/>
              </w:rPr>
            </w:pPr>
            <w:r>
              <w:rPr>
                <w:rFonts w:hint="eastAsia"/>
                <w:sz w:val="21"/>
                <w:szCs w:val="21"/>
                <w:lang w:val="zh-CN"/>
              </w:rPr>
              <w:t>风险</w:t>
            </w:r>
          </w:p>
        </w:tc>
        <w:tc>
          <w:tcPr>
            <w:tcW w:w="2360" w:type="pct"/>
            <w:tcBorders>
              <w:tl2br w:val="nil"/>
              <w:tr2bl w:val="nil"/>
            </w:tcBorders>
            <w:vAlign w:val="center"/>
          </w:tcPr>
          <w:p>
            <w:pPr>
              <w:ind w:left="0" w:leftChars="0" w:firstLine="0" w:firstLineChars="0"/>
              <w:jc w:val="both"/>
              <w:rPr>
                <w:rFonts w:hint="eastAsia"/>
                <w:sz w:val="21"/>
                <w:szCs w:val="21"/>
                <w:lang w:val="ru-RU"/>
              </w:rPr>
            </w:pPr>
            <w:r>
              <w:rPr>
                <w:rFonts w:hint="default"/>
                <w:sz w:val="21"/>
                <w:szCs w:val="21"/>
                <w:lang w:val="ru-RU"/>
              </w:rPr>
              <w:t>强化厂区建筑的分区防渗处理，落实 《报告书》 中对各个分区的防渗措施要求</w:t>
            </w:r>
            <w:r>
              <w:rPr>
                <w:rFonts w:hint="eastAsia"/>
                <w:sz w:val="21"/>
                <w:szCs w:val="21"/>
                <w:lang w:val="ru-RU" w:eastAsia="zh-CN"/>
              </w:rPr>
              <w:t>，</w:t>
            </w:r>
            <w:r>
              <w:rPr>
                <w:rFonts w:hint="default"/>
                <w:sz w:val="21"/>
                <w:szCs w:val="21"/>
                <w:lang w:val="ru-RU"/>
              </w:rPr>
              <w:t xml:space="preserve"> 做好喷涂封闭区</w:t>
            </w:r>
            <w:r>
              <w:rPr>
                <w:rFonts w:hint="eastAsia"/>
                <w:sz w:val="21"/>
                <w:szCs w:val="21"/>
                <w:lang w:val="ru-RU" w:eastAsia="zh-CN"/>
              </w:rPr>
              <w:t>、</w:t>
            </w:r>
            <w:r>
              <w:rPr>
                <w:rFonts w:hint="default"/>
                <w:sz w:val="21"/>
                <w:szCs w:val="21"/>
                <w:lang w:val="ru-RU"/>
              </w:rPr>
              <w:t>危废暂存问、油漆库等重点防渗区的防渗工作，防止污染土壤和地下水。落实《报告书》关于地下水和土壤监测有关要求，确保土壤和地下水水质安</w:t>
            </w:r>
            <w:r>
              <w:rPr>
                <w:rFonts w:hint="eastAsia"/>
                <w:sz w:val="21"/>
                <w:szCs w:val="21"/>
                <w:lang w:val="en-US" w:eastAsia="zh-CN"/>
              </w:rPr>
              <w:t>全。</w:t>
            </w:r>
          </w:p>
          <w:p>
            <w:pPr>
              <w:ind w:firstLine="480"/>
              <w:jc w:val="center"/>
              <w:rPr>
                <w:rFonts w:hint="eastAsia"/>
                <w:sz w:val="21"/>
                <w:szCs w:val="21"/>
                <w:lang w:val="ru-RU"/>
              </w:rPr>
            </w:pPr>
          </w:p>
        </w:tc>
        <w:tc>
          <w:tcPr>
            <w:tcW w:w="1788" w:type="pct"/>
            <w:tcBorders>
              <w:tl2br w:val="nil"/>
              <w:tr2bl w:val="nil"/>
            </w:tcBorders>
            <w:vAlign w:val="center"/>
          </w:tcPr>
          <w:p>
            <w:pPr>
              <w:ind w:left="0" w:leftChars="0" w:firstLine="0" w:firstLineChars="0"/>
              <w:jc w:val="both"/>
              <w:rPr>
                <w:rFonts w:hint="eastAsia" w:eastAsiaTheme="minorEastAsia"/>
                <w:sz w:val="21"/>
                <w:szCs w:val="21"/>
                <w:lang w:val="en-US" w:eastAsia="zh-CN"/>
              </w:rPr>
            </w:pPr>
            <w:r>
              <w:rPr>
                <w:rFonts w:hint="eastAsia"/>
                <w:sz w:val="21"/>
                <w:szCs w:val="21"/>
                <w:lang w:val="en-US" w:eastAsia="zh-CN"/>
              </w:rPr>
              <w:t>已落实，</w:t>
            </w:r>
            <w:r>
              <w:rPr>
                <w:rFonts w:hint="default"/>
                <w:sz w:val="21"/>
                <w:szCs w:val="21"/>
                <w:lang w:val="ru-RU"/>
              </w:rPr>
              <w:t>喷涂封闭区</w:t>
            </w:r>
            <w:r>
              <w:rPr>
                <w:rFonts w:hint="eastAsia"/>
                <w:sz w:val="21"/>
                <w:szCs w:val="21"/>
                <w:lang w:val="ru-RU" w:eastAsia="zh-CN"/>
              </w:rPr>
              <w:t>、</w:t>
            </w:r>
            <w:r>
              <w:rPr>
                <w:rFonts w:hint="default"/>
                <w:sz w:val="21"/>
                <w:szCs w:val="21"/>
                <w:lang w:val="ru-RU"/>
              </w:rPr>
              <w:t>危废暂存问、油漆库等</w:t>
            </w:r>
            <w:r>
              <w:rPr>
                <w:rFonts w:hint="eastAsia"/>
                <w:sz w:val="21"/>
                <w:szCs w:val="21"/>
                <w:lang w:val="en-US" w:eastAsia="zh-CN"/>
              </w:rPr>
              <w:t>进行了</w:t>
            </w:r>
            <w:r>
              <w:rPr>
                <w:rFonts w:hint="default"/>
                <w:sz w:val="21"/>
                <w:szCs w:val="21"/>
                <w:lang w:val="ru-RU"/>
              </w:rPr>
              <w:t>重点防渗</w:t>
            </w:r>
            <w:r>
              <w:rPr>
                <w:rFonts w:hint="eastAsia"/>
                <w:sz w:val="21"/>
                <w:szCs w:val="21"/>
                <w:lang w:val="ru-RU" w:eastAsia="zh-CN"/>
              </w:rPr>
              <w:t>。</w:t>
            </w:r>
          </w:p>
        </w:tc>
      </w:tr>
    </w:tbl>
    <w:p>
      <w:pPr>
        <w:ind w:firstLine="480"/>
      </w:pPr>
    </w:p>
    <w:p>
      <w:pPr>
        <w:ind w:firstLine="480"/>
        <w:rPr>
          <w:lang w:val="zh-CN"/>
        </w:rPr>
        <w:sectPr>
          <w:pgSz w:w="11906" w:h="16838"/>
          <w:pgMar w:top="1440" w:right="1800" w:bottom="1440" w:left="1800" w:header="851" w:footer="992" w:gutter="0"/>
          <w:cols w:space="425" w:num="1"/>
          <w:docGrid w:type="lines" w:linePitch="312" w:charSpace="0"/>
        </w:sectPr>
      </w:pPr>
    </w:p>
    <w:p>
      <w:pPr>
        <w:pStyle w:val="42"/>
        <w:ind w:firstLine="2570" w:firstLineChars="800"/>
        <w:jc w:val="both"/>
        <w:rPr>
          <w:rFonts w:hint="eastAsia"/>
        </w:rPr>
      </w:pPr>
      <w:bookmarkStart w:id="26" w:name="_Toc30551"/>
      <w:r>
        <w:t>6</w:t>
      </w:r>
      <w:r>
        <w:rPr>
          <w:rFonts w:hint="eastAsia"/>
        </w:rPr>
        <w:t xml:space="preserve"> 验收执行标准</w:t>
      </w:r>
      <w:bookmarkEnd w:id="26"/>
    </w:p>
    <w:p>
      <w:pPr>
        <w:pStyle w:val="62"/>
        <w:ind w:left="0" w:leftChars="0" w:firstLine="643" w:firstLineChars="200"/>
      </w:pPr>
      <w:bookmarkStart w:id="27" w:name="_Toc18242"/>
      <w:bookmarkStart w:id="28" w:name="_Toc26394"/>
      <w:r>
        <w:t>6</w:t>
      </w:r>
      <w:r>
        <w:rPr>
          <w:rFonts w:hint="eastAsia"/>
        </w:rPr>
        <w:t>.1</w:t>
      </w:r>
      <w:r>
        <w:t xml:space="preserve"> </w:t>
      </w:r>
      <w:r>
        <w:rPr>
          <w:rFonts w:hint="eastAsia"/>
        </w:rPr>
        <w:t>废气验收执行标准</w:t>
      </w:r>
      <w:bookmarkEnd w:id="27"/>
      <w:bookmarkEnd w:id="28"/>
    </w:p>
    <w:p>
      <w:pPr>
        <w:rPr>
          <w:b/>
          <w:sz w:val="21"/>
          <w:szCs w:val="21"/>
        </w:rPr>
      </w:pPr>
      <w:bookmarkStart w:id="29" w:name="OLE_LINK1"/>
      <w:bookmarkStart w:id="30" w:name="_Hlk137206414"/>
      <w:r>
        <w:rPr>
          <w:snapToGrid w:val="0"/>
        </w:rPr>
        <w:t>项目工艺过程中产生的颗粒物、NMHC、二甲苯排放执行《大气污染物综合排放标准》（GB 16297-1996）；</w:t>
      </w:r>
      <w:bookmarkEnd w:id="29"/>
      <w:r>
        <w:rPr>
          <w:snapToGrid w:val="0"/>
        </w:rPr>
        <w:t>厂区内非甲烷总烃执行《挥发性有机物无组织排放控制标准》（GB37822-2019）。</w:t>
      </w:r>
      <w:bookmarkEnd w:id="30"/>
      <w:r>
        <w:rPr>
          <w:snapToGrid w:val="0"/>
        </w:rPr>
        <w:t>具体见下表。</w:t>
      </w:r>
    </w:p>
    <w:p>
      <w:pPr>
        <w:ind w:firstLine="723" w:firstLineChars="300"/>
        <w:rPr>
          <w:b/>
          <w:bCs/>
        </w:rPr>
      </w:pPr>
      <w:r>
        <w:rPr>
          <w:b/>
          <w:bCs/>
        </w:rPr>
        <w:t>表</w:t>
      </w:r>
      <w:r>
        <w:rPr>
          <w:rFonts w:hint="eastAsia"/>
          <w:b/>
          <w:bCs/>
        </w:rPr>
        <w:t>6.1-1</w:t>
      </w:r>
      <w:r>
        <w:rPr>
          <w:b/>
          <w:bCs/>
        </w:rPr>
        <w:t xml:space="preserve">   </w:t>
      </w:r>
      <w:r>
        <w:rPr>
          <w:rFonts w:hint="eastAsia"/>
          <w:b/>
          <w:bCs/>
        </w:rPr>
        <w:t>拟建</w:t>
      </w:r>
      <w:r>
        <w:rPr>
          <w:b/>
          <w:bCs/>
        </w:rPr>
        <w:t>项目大气污染物执行的排放标准    单位：mg/m</w:t>
      </w:r>
      <w:r>
        <w:rPr>
          <w:b/>
          <w:bCs/>
          <w:vertAlign w:val="superscript"/>
        </w:rPr>
        <w:t>3</w:t>
      </w:r>
    </w:p>
    <w:tbl>
      <w:tblPr>
        <w:tblStyle w:val="43"/>
        <w:tblpPr w:leftFromText="180" w:rightFromText="180" w:vertAnchor="text" w:tblpXSpec="center" w:tblpY="1"/>
        <w:tblOverlap w:val="never"/>
        <w:tblW w:w="5000"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289"/>
        <w:gridCol w:w="1610"/>
        <w:gridCol w:w="912"/>
        <w:gridCol w:w="882"/>
        <w:gridCol w:w="1542"/>
        <w:gridCol w:w="154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5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序号</w:t>
            </w:r>
          </w:p>
        </w:tc>
        <w:tc>
          <w:tcPr>
            <w:tcW w:w="1210"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污染物名称</w:t>
            </w:r>
          </w:p>
        </w:tc>
        <w:tc>
          <w:tcPr>
            <w:tcW w:w="85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排放浓度mg/m3</w:t>
            </w:r>
          </w:p>
        </w:tc>
        <w:tc>
          <w:tcPr>
            <w:tcW w:w="48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高度m</w:t>
            </w:r>
          </w:p>
        </w:tc>
        <w:tc>
          <w:tcPr>
            <w:tcW w:w="46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速率kg/h</w:t>
            </w:r>
          </w:p>
        </w:tc>
        <w:tc>
          <w:tcPr>
            <w:tcW w:w="81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无组织排放监控浓度限值(mg/m3)</w:t>
            </w:r>
          </w:p>
        </w:tc>
        <w:tc>
          <w:tcPr>
            <w:tcW w:w="81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标准来源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5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w:t>
            </w:r>
          </w:p>
        </w:tc>
        <w:tc>
          <w:tcPr>
            <w:tcW w:w="1210"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颗粒物</w:t>
            </w:r>
          </w:p>
        </w:tc>
        <w:tc>
          <w:tcPr>
            <w:tcW w:w="85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120</w:t>
            </w:r>
          </w:p>
        </w:tc>
        <w:tc>
          <w:tcPr>
            <w:tcW w:w="48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15</w:t>
            </w:r>
          </w:p>
        </w:tc>
        <w:tc>
          <w:tcPr>
            <w:tcW w:w="46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3.5</w:t>
            </w:r>
          </w:p>
        </w:tc>
        <w:tc>
          <w:tcPr>
            <w:tcW w:w="81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1.0</w:t>
            </w:r>
          </w:p>
        </w:tc>
        <w:tc>
          <w:tcPr>
            <w:tcW w:w="818"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大气污染物</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综合排放标准》（GB 16297-1996）</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35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2</w:t>
            </w:r>
          </w:p>
        </w:tc>
        <w:tc>
          <w:tcPr>
            <w:tcW w:w="1210"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非甲烷总烃</w:t>
            </w:r>
          </w:p>
        </w:tc>
        <w:tc>
          <w:tcPr>
            <w:tcW w:w="85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120</w:t>
            </w:r>
          </w:p>
        </w:tc>
        <w:tc>
          <w:tcPr>
            <w:tcW w:w="482"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15</w:t>
            </w:r>
          </w:p>
        </w:tc>
        <w:tc>
          <w:tcPr>
            <w:tcW w:w="46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10</w:t>
            </w:r>
          </w:p>
        </w:tc>
        <w:tc>
          <w:tcPr>
            <w:tcW w:w="81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4.0</w:t>
            </w:r>
          </w:p>
        </w:tc>
        <w:tc>
          <w:tcPr>
            <w:tcW w:w="818" w:type="pct"/>
            <w:vMerge w:val="continue"/>
            <w:vAlign w:val="center"/>
          </w:tcPr>
          <w:p>
            <w:pPr>
              <w:pStyle w:val="131"/>
              <w:ind w:firstLine="480"/>
              <w:rPr>
                <w:kern w:val="2"/>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35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3</w:t>
            </w:r>
          </w:p>
        </w:tc>
        <w:tc>
          <w:tcPr>
            <w:tcW w:w="1210"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二甲苯</w:t>
            </w:r>
          </w:p>
        </w:tc>
        <w:tc>
          <w:tcPr>
            <w:tcW w:w="85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70</w:t>
            </w:r>
          </w:p>
        </w:tc>
        <w:tc>
          <w:tcPr>
            <w:tcW w:w="482"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1.0</w:t>
            </w:r>
          </w:p>
        </w:tc>
        <w:tc>
          <w:tcPr>
            <w:tcW w:w="81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1.2</w:t>
            </w:r>
          </w:p>
        </w:tc>
        <w:tc>
          <w:tcPr>
            <w:tcW w:w="818" w:type="pct"/>
            <w:vMerge w:val="continue"/>
            <w:vAlign w:val="center"/>
          </w:tcPr>
          <w:p>
            <w:pPr>
              <w:pStyle w:val="131"/>
              <w:ind w:firstLine="480"/>
              <w:rPr>
                <w:kern w:val="2"/>
              </w:rPr>
            </w:pPr>
          </w:p>
        </w:tc>
      </w:tr>
    </w:tbl>
    <w:p>
      <w:pPr>
        <w:jc w:val="center"/>
        <w:rPr>
          <w:b/>
          <w:bCs/>
        </w:rPr>
      </w:pPr>
      <w:r>
        <w:rPr>
          <w:b/>
          <w:bCs/>
        </w:rPr>
        <w:t>表</w:t>
      </w:r>
      <w:r>
        <w:rPr>
          <w:rFonts w:hint="eastAsia"/>
          <w:b/>
          <w:bCs/>
        </w:rPr>
        <w:t>6.1-2</w:t>
      </w:r>
      <w:r>
        <w:rPr>
          <w:b/>
          <w:bCs/>
        </w:rPr>
        <w:t xml:space="preserve">  厂区内无组织排放监控点浓度限值   单位：mg/m</w:t>
      </w:r>
      <w:r>
        <w:rPr>
          <w:b/>
          <w:bCs/>
          <w:vertAlign w:val="superscript"/>
        </w:rPr>
        <w:t>3</w:t>
      </w:r>
    </w:p>
    <w:tbl>
      <w:tblPr>
        <w:tblStyle w:val="43"/>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28" w:type="dxa"/>
          <w:bottom w:w="0" w:type="dxa"/>
          <w:right w:w="28" w:type="dxa"/>
        </w:tblCellMar>
      </w:tblPr>
      <w:tblGrid>
        <w:gridCol w:w="1919"/>
        <w:gridCol w:w="4091"/>
        <w:gridCol w:w="3288"/>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97" w:hRule="atLeast"/>
          <w:jc w:val="center"/>
        </w:trPr>
        <w:tc>
          <w:tcPr>
            <w:tcW w:w="1032" w:type="pct"/>
            <w:noWrap/>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污染物</w:t>
            </w:r>
          </w:p>
        </w:tc>
        <w:tc>
          <w:tcPr>
            <w:tcW w:w="2200"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厂界监控浓度</w:t>
            </w:r>
          </w:p>
        </w:tc>
        <w:tc>
          <w:tcPr>
            <w:tcW w:w="1768" w:type="pct"/>
            <w:noWrap/>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标准来源</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21" w:hRule="atLeast"/>
          <w:jc w:val="center"/>
        </w:trPr>
        <w:tc>
          <w:tcPr>
            <w:tcW w:w="1032" w:type="pct"/>
            <w:vMerge w:val="restart"/>
            <w:noWrap/>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非甲烷总烃</w:t>
            </w:r>
          </w:p>
        </w:tc>
        <w:tc>
          <w:tcPr>
            <w:tcW w:w="2200"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6（厂区内1h平均）</w:t>
            </w:r>
          </w:p>
        </w:tc>
        <w:tc>
          <w:tcPr>
            <w:tcW w:w="1768"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《挥发性有机物无组织排放控制标准》（GB37822-2019）</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96" w:hRule="atLeast"/>
          <w:jc w:val="center"/>
        </w:trPr>
        <w:tc>
          <w:tcPr>
            <w:tcW w:w="1032" w:type="pct"/>
            <w:vMerge w:val="continue"/>
            <w:noWrap/>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2200"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20（厂区内任意一次值）</w:t>
            </w:r>
          </w:p>
        </w:tc>
        <w:tc>
          <w:tcPr>
            <w:tcW w:w="1768" w:type="pct"/>
            <w:vMerge w:val="continue"/>
            <w:vAlign w:val="center"/>
          </w:tcPr>
          <w:p>
            <w:pPr>
              <w:pStyle w:val="131"/>
              <w:ind w:firstLine="480"/>
              <w:rPr>
                <w:kern w:val="2"/>
              </w:rPr>
            </w:pPr>
          </w:p>
        </w:tc>
      </w:tr>
    </w:tbl>
    <w:p>
      <w:pPr>
        <w:pStyle w:val="62"/>
        <w:ind w:firstLine="643"/>
      </w:pPr>
      <w:bookmarkStart w:id="31" w:name="_Toc26681"/>
      <w:bookmarkStart w:id="32" w:name="_Toc24583"/>
      <w:r>
        <w:rPr>
          <w:rFonts w:hint="eastAsia"/>
        </w:rPr>
        <w:t>6.2废水验收执行标准</w:t>
      </w:r>
      <w:bookmarkEnd w:id="31"/>
      <w:bookmarkEnd w:id="32"/>
    </w:p>
    <w:p>
      <w:pPr>
        <w:rPr>
          <w:b/>
          <w:sz w:val="21"/>
          <w:szCs w:val="21"/>
        </w:rPr>
      </w:pPr>
      <w:bookmarkStart w:id="33" w:name="_Toc323735703"/>
      <w:bookmarkStart w:id="34" w:name="_Toc323484232"/>
      <w:bookmarkStart w:id="35" w:name="_Toc328636569"/>
      <w:r>
        <w:t>项目废水排放执行</w:t>
      </w:r>
      <w:r>
        <w:rPr>
          <w:rFonts w:hint="eastAsia"/>
        </w:rPr>
        <w:t>段园镇污水处理厂（袁庄矿污水处理厂）接管限值</w:t>
      </w:r>
      <w:r>
        <w:t>和《污水综合排放标准》（GB8978-2012）表4中三级标准要求，污水处理厂尾水水质执行《城镇污水处理厂污染物排放标准》（GB18918-2002）中的一级A标准。其</w:t>
      </w:r>
      <w:r>
        <w:rPr>
          <w:rFonts w:hint="eastAsia"/>
        </w:rPr>
        <w:t>接管限值</w:t>
      </w:r>
      <w:r>
        <w:t>及尾水排放标准具体指标见下表。</w:t>
      </w:r>
    </w:p>
    <w:p>
      <w:pPr>
        <w:jc w:val="center"/>
        <w:rPr>
          <w:b/>
          <w:bCs/>
        </w:rPr>
      </w:pPr>
      <w:r>
        <w:rPr>
          <w:b/>
          <w:bCs/>
        </w:rPr>
        <w:t>表</w:t>
      </w:r>
      <w:r>
        <w:rPr>
          <w:rFonts w:hint="eastAsia"/>
          <w:b/>
          <w:bCs/>
        </w:rPr>
        <w:t>6.2-1</w:t>
      </w:r>
      <w:r>
        <w:rPr>
          <w:b/>
          <w:bCs/>
        </w:rPr>
        <w:t xml:space="preserve">  污水处理厂接管及排放标准   单位：mg/L</w:t>
      </w:r>
    </w:p>
    <w:tbl>
      <w:tblPr>
        <w:tblStyle w:val="43"/>
        <w:tblW w:w="5000" w:type="pct"/>
        <w:tblInd w:w="0" w:type="dxa"/>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669"/>
        <w:gridCol w:w="2016"/>
        <w:gridCol w:w="1132"/>
        <w:gridCol w:w="2013"/>
        <w:gridCol w:w="1528"/>
        <w:gridCol w:w="2100"/>
      </w:tblGrid>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blHeader/>
        </w:trPr>
        <w:tc>
          <w:tcPr>
            <w:tcW w:w="353"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序号</w:t>
            </w:r>
          </w:p>
        </w:tc>
        <w:tc>
          <w:tcPr>
            <w:tcW w:w="1065"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污染物种类</w:t>
            </w:r>
          </w:p>
        </w:tc>
        <w:tc>
          <w:tcPr>
            <w:tcW w:w="3580" w:type="pct"/>
            <w:gridSpan w:val="4"/>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国家或地方污染物排放标准及其他按规定商定的排放协议</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blHeader/>
        </w:trPr>
        <w:tc>
          <w:tcPr>
            <w:tcW w:w="353"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5"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98"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名称</w:t>
            </w: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浓度限值（mg/L）</w:t>
            </w:r>
          </w:p>
        </w:tc>
        <w:tc>
          <w:tcPr>
            <w:tcW w:w="808"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名称</w:t>
            </w: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浓度限值（mg/L）</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1</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pH</w:t>
            </w:r>
          </w:p>
        </w:tc>
        <w:tc>
          <w:tcPr>
            <w:tcW w:w="598"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段园镇污水处理厂（袁庄矿污水处理厂）接管限值</w:t>
            </w: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6-9</w:t>
            </w:r>
          </w:p>
        </w:tc>
        <w:tc>
          <w:tcPr>
            <w:tcW w:w="808"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《城镇污水处理厂污染物排放标准》（GB18918-2002）一级A标准</w:t>
            </w: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6-9</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2</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COD</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400</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50</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3</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BOD5</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200</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10</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80"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4</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SS</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220</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10</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5</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NH3-N</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30</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r>
              <w:rPr>
                <w:rFonts w:hint="default"/>
                <w:b w:val="0"/>
                <w:bCs/>
                <w:sz w:val="21"/>
                <w:szCs w:val="21"/>
              </w:rPr>
              <w:t>5</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6</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TP</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≤2</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≤0.5</w:t>
            </w:r>
          </w:p>
        </w:tc>
      </w:tr>
      <w:tr>
        <w:tblPrEx>
          <w:tblBorders>
            <w:top w:val="single" w:color="auto" w:sz="12" w:space="0"/>
            <w:left w:val="single" w:color="auto" w:sz="8" w:space="0"/>
            <w:bottom w:val="single" w:color="auto" w:sz="12"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27" w:hRule="atLeast"/>
        </w:trPr>
        <w:tc>
          <w:tcPr>
            <w:tcW w:w="35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7</w:t>
            </w:r>
          </w:p>
        </w:tc>
        <w:tc>
          <w:tcPr>
            <w:tcW w:w="106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TN</w:t>
            </w:r>
          </w:p>
        </w:tc>
        <w:tc>
          <w:tcPr>
            <w:tcW w:w="59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06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w:t>
            </w:r>
          </w:p>
        </w:tc>
        <w:tc>
          <w:tcPr>
            <w:tcW w:w="808"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110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w:t>
            </w:r>
            <w:r>
              <w:rPr>
                <w:rFonts w:hint="default"/>
                <w:b w:val="0"/>
                <w:bCs/>
                <w:sz w:val="21"/>
                <w:szCs w:val="21"/>
              </w:rPr>
              <w:t>5</w:t>
            </w:r>
          </w:p>
        </w:tc>
      </w:tr>
      <w:bookmarkEnd w:id="33"/>
      <w:bookmarkEnd w:id="34"/>
      <w:bookmarkEnd w:id="35"/>
    </w:tbl>
    <w:p>
      <w:pPr>
        <w:pStyle w:val="125"/>
        <w:spacing w:before="156"/>
        <w:ind w:firstLine="480"/>
        <w:rPr>
          <w:snapToGrid w:val="0"/>
          <w:kern w:val="0"/>
        </w:rPr>
      </w:pPr>
    </w:p>
    <w:p>
      <w:pPr>
        <w:pStyle w:val="62"/>
        <w:ind w:firstLine="643"/>
      </w:pPr>
      <w:bookmarkStart w:id="36" w:name="_Toc20494"/>
      <w:bookmarkStart w:id="37" w:name="_Toc11904"/>
      <w:r>
        <w:t>6.</w:t>
      </w:r>
      <w:r>
        <w:rPr>
          <w:rFonts w:hint="eastAsia"/>
          <w:lang w:val="en-US"/>
        </w:rPr>
        <w:t>3</w:t>
      </w:r>
      <w:r>
        <w:rPr>
          <w:rFonts w:hint="eastAsia"/>
        </w:rPr>
        <w:t xml:space="preserve"> 噪声验收执行</w:t>
      </w:r>
      <w:r>
        <w:t>标准</w:t>
      </w:r>
      <w:bookmarkEnd w:id="36"/>
      <w:bookmarkEnd w:id="37"/>
    </w:p>
    <w:p>
      <w:pPr>
        <w:rPr>
          <w:snapToGrid w:val="0"/>
        </w:rPr>
      </w:pPr>
      <w:r>
        <w:rPr>
          <w:rFonts w:hint="eastAsia"/>
          <w:snapToGrid w:val="0"/>
        </w:rPr>
        <w:t>营运期</w:t>
      </w:r>
      <w:r>
        <w:rPr>
          <w:snapToGrid w:val="0"/>
        </w:rPr>
        <w:t>项目厂界噪声执行《工业企业厂界环境噪声排放标准》（GB12348-2008）中2类标准</w:t>
      </w:r>
      <w:r>
        <w:rPr>
          <w:rFonts w:hint="eastAsia"/>
        </w:rPr>
        <w:t>，</w:t>
      </w:r>
      <w:r>
        <w:rPr>
          <w:rFonts w:hint="eastAsia" w:ascii="Times New Roman" w:hAnsi="Times New Roman" w:cs="Times New Roman"/>
          <w:snapToGrid w:val="0"/>
          <w:color w:val="auto"/>
          <w:lang w:val="en-US" w:eastAsia="zh-CN"/>
        </w:rPr>
        <w:t>敏感点声环境执行</w:t>
      </w:r>
      <w:r>
        <w:rPr>
          <w:rFonts w:ascii="Times New Roman" w:hAnsi="Times New Roman" w:eastAsia="宋体"/>
          <w:color w:val="auto"/>
          <w:sz w:val="24"/>
          <w:szCs w:val="24"/>
        </w:rPr>
        <w:t>《声环境质量标准》（GB3096-2008）2类标准</w:t>
      </w:r>
      <w:r>
        <w:rPr>
          <w:rFonts w:hint="eastAsia" w:ascii="Times New Roman" w:hAnsi="Times New Roman" w:eastAsia="宋体"/>
          <w:color w:val="auto"/>
          <w:sz w:val="24"/>
          <w:szCs w:val="24"/>
          <w:lang w:eastAsia="zh-CN"/>
        </w:rPr>
        <w:t>，</w:t>
      </w:r>
      <w:r>
        <w:rPr>
          <w:snapToGrid w:val="0"/>
        </w:rPr>
        <w:t>具体如下。</w:t>
      </w:r>
    </w:p>
    <w:p>
      <w:pPr>
        <w:jc w:val="center"/>
        <w:rPr>
          <w:b/>
          <w:bCs/>
        </w:rPr>
      </w:pPr>
      <w:r>
        <w:rPr>
          <w:b/>
          <w:bCs/>
        </w:rPr>
        <w:t>表</w:t>
      </w:r>
      <w:r>
        <w:rPr>
          <w:rFonts w:hint="eastAsia"/>
          <w:b/>
          <w:bCs/>
        </w:rPr>
        <w:t>6.3-</w:t>
      </w:r>
      <w:r>
        <w:rPr>
          <w:rFonts w:hint="eastAsia"/>
          <w:b/>
          <w:bCs/>
          <w:lang w:val="en-US" w:eastAsia="zh-CN"/>
        </w:rPr>
        <w:t>1</w:t>
      </w:r>
      <w:r>
        <w:rPr>
          <w:rFonts w:hint="eastAsia"/>
          <w:b/>
          <w:bCs/>
        </w:rPr>
        <w:t xml:space="preserve"> </w:t>
      </w:r>
      <w:r>
        <w:rPr>
          <w:b/>
          <w:bCs/>
        </w:rPr>
        <w:t xml:space="preserve"> 工业企业厂界环境噪声排放标准   单位：dB（A）</w:t>
      </w:r>
    </w:p>
    <w:tbl>
      <w:tblPr>
        <w:tblStyle w:val="43"/>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3153"/>
        <w:gridCol w:w="3151"/>
        <w:gridCol w:w="3154"/>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667" w:type="pct"/>
            <w:noWrap/>
            <w:vAlign w:val="center"/>
          </w:tcPr>
          <w:p>
            <w:pPr>
              <w:pStyle w:val="131"/>
              <w:ind w:firstLine="480"/>
              <w:rPr>
                <w:snapToGrid w:val="0"/>
                <w:kern w:val="2"/>
              </w:rPr>
            </w:pPr>
            <w:r>
              <w:rPr>
                <w:snapToGrid w:val="0"/>
                <w:kern w:val="2"/>
              </w:rPr>
              <w:t>类别</w:t>
            </w:r>
          </w:p>
        </w:tc>
        <w:tc>
          <w:tcPr>
            <w:tcW w:w="1666" w:type="pct"/>
            <w:noWrap/>
            <w:vAlign w:val="center"/>
          </w:tcPr>
          <w:p>
            <w:pPr>
              <w:pStyle w:val="131"/>
              <w:ind w:firstLine="480"/>
              <w:rPr>
                <w:snapToGrid w:val="0"/>
                <w:kern w:val="2"/>
              </w:rPr>
            </w:pPr>
            <w:r>
              <w:rPr>
                <w:snapToGrid w:val="0"/>
                <w:kern w:val="2"/>
              </w:rPr>
              <w:t>昼间</w:t>
            </w:r>
          </w:p>
        </w:tc>
        <w:tc>
          <w:tcPr>
            <w:tcW w:w="1667" w:type="pct"/>
            <w:noWrap/>
            <w:vAlign w:val="center"/>
          </w:tcPr>
          <w:p>
            <w:pPr>
              <w:pStyle w:val="131"/>
              <w:ind w:firstLine="480"/>
              <w:rPr>
                <w:snapToGrid w:val="0"/>
                <w:kern w:val="2"/>
              </w:rPr>
            </w:pPr>
            <w:r>
              <w:rPr>
                <w:snapToGrid w:val="0"/>
                <w:kern w:val="2"/>
              </w:rPr>
              <w:t>夜间</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1667" w:type="pct"/>
            <w:noWrap/>
            <w:vAlign w:val="center"/>
          </w:tcPr>
          <w:p>
            <w:pPr>
              <w:pStyle w:val="131"/>
              <w:ind w:firstLine="480"/>
              <w:rPr>
                <w:snapToGrid w:val="0"/>
                <w:kern w:val="2"/>
              </w:rPr>
            </w:pPr>
            <w:r>
              <w:rPr>
                <w:snapToGrid w:val="0"/>
                <w:kern w:val="2"/>
              </w:rPr>
              <w:t>2类</w:t>
            </w:r>
          </w:p>
        </w:tc>
        <w:tc>
          <w:tcPr>
            <w:tcW w:w="1666" w:type="pct"/>
            <w:noWrap/>
            <w:vAlign w:val="center"/>
          </w:tcPr>
          <w:p>
            <w:pPr>
              <w:pStyle w:val="131"/>
              <w:ind w:firstLine="480"/>
              <w:rPr>
                <w:snapToGrid w:val="0"/>
                <w:kern w:val="2"/>
              </w:rPr>
            </w:pPr>
            <w:r>
              <w:rPr>
                <w:snapToGrid w:val="0"/>
                <w:kern w:val="2"/>
              </w:rPr>
              <w:t>60</w:t>
            </w:r>
          </w:p>
        </w:tc>
        <w:tc>
          <w:tcPr>
            <w:tcW w:w="1667" w:type="pct"/>
            <w:noWrap/>
            <w:vAlign w:val="center"/>
          </w:tcPr>
          <w:p>
            <w:pPr>
              <w:pStyle w:val="131"/>
              <w:ind w:firstLine="480"/>
              <w:rPr>
                <w:snapToGrid w:val="0"/>
                <w:kern w:val="2"/>
              </w:rPr>
            </w:pPr>
            <w:r>
              <w:rPr>
                <w:snapToGrid w:val="0"/>
                <w:kern w:val="2"/>
              </w:rPr>
              <w:t>50</w:t>
            </w:r>
          </w:p>
        </w:tc>
      </w:tr>
    </w:tbl>
    <w:p>
      <w:pPr>
        <w:adjustRightInd w:val="0"/>
        <w:snapToGrid w:val="0"/>
        <w:jc w:val="center"/>
        <w:rPr>
          <w:rFonts w:ascii="Times New Roman" w:hAnsi="Times New Roman" w:cs="Times New Roman"/>
          <w:b/>
          <w:color w:val="auto"/>
          <w:sz w:val="24"/>
          <w:szCs w:val="24"/>
        </w:rPr>
      </w:pPr>
      <w:bookmarkStart w:id="38" w:name="_Toc16853"/>
      <w:r>
        <w:rPr>
          <w:rFonts w:ascii="Times New Roman" w:hAnsi="Times New Roman" w:cs="Times New Roman"/>
          <w:b/>
          <w:color w:val="auto"/>
          <w:sz w:val="24"/>
          <w:szCs w:val="24"/>
        </w:rPr>
        <w:t>表</w:t>
      </w:r>
      <w:r>
        <w:rPr>
          <w:rFonts w:hint="eastAsia" w:ascii="Times New Roman" w:hAnsi="Times New Roman" w:cs="Times New Roman"/>
          <w:b/>
          <w:color w:val="auto"/>
          <w:sz w:val="24"/>
          <w:szCs w:val="24"/>
          <w:lang w:val="en-US" w:eastAsia="zh-CN"/>
        </w:rPr>
        <w:t>6.3-2</w:t>
      </w:r>
      <w:r>
        <w:rPr>
          <w:rFonts w:ascii="Times New Roman" w:hAnsi="Times New Roman" w:cs="Times New Roman"/>
          <w:b/>
          <w:color w:val="auto"/>
          <w:sz w:val="24"/>
          <w:szCs w:val="24"/>
        </w:rPr>
        <w:t xml:space="preserve">  声环境质量标准     单位：dB(A)</w:t>
      </w:r>
    </w:p>
    <w:tbl>
      <w:tblPr>
        <w:tblStyle w:val="43"/>
        <w:tblpPr w:leftFromText="180" w:rightFromText="180" w:vertAnchor="text" w:tblpXSpec="center" w:tblpY="1"/>
        <w:tblOverlap w:val="never"/>
        <w:tblW w:w="5000"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4"/>
        <w:gridCol w:w="1853"/>
        <w:gridCol w:w="1824"/>
        <w:gridCol w:w="419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2" w:hRule="atLeast"/>
        </w:trPr>
        <w:tc>
          <w:tcPr>
            <w:tcW w:w="837" w:type="pct"/>
            <w:vMerge w:val="restart"/>
            <w:noWrap w:val="0"/>
            <w:vAlign w:val="center"/>
          </w:tcPr>
          <w:p>
            <w:pPr>
              <w:adjustRightInd w:val="0"/>
              <w:snapToGrid w:val="0"/>
              <w:spacing w:line="360" w:lineRule="exact"/>
              <w:jc w:val="center"/>
              <w:rPr>
                <w:rFonts w:ascii="Times New Roman" w:hAnsi="Times New Roman" w:cs="Times New Roman"/>
                <w:b/>
                <w:color w:val="auto"/>
                <w:sz w:val="21"/>
                <w:szCs w:val="21"/>
              </w:rPr>
            </w:pPr>
            <w:r>
              <w:rPr>
                <w:rFonts w:ascii="Times New Roman" w:hAnsi="Times New Roman" w:cs="Times New Roman"/>
                <w:b/>
                <w:color w:val="auto"/>
                <w:sz w:val="21"/>
                <w:szCs w:val="21"/>
              </w:rPr>
              <w:t>类别</w:t>
            </w:r>
          </w:p>
        </w:tc>
        <w:tc>
          <w:tcPr>
            <w:tcW w:w="1943" w:type="pct"/>
            <w:gridSpan w:val="2"/>
            <w:noWrap w:val="0"/>
            <w:vAlign w:val="center"/>
          </w:tcPr>
          <w:p>
            <w:pPr>
              <w:adjustRightInd w:val="0"/>
              <w:snapToGrid w:val="0"/>
              <w:spacing w:line="360" w:lineRule="exact"/>
              <w:jc w:val="center"/>
              <w:rPr>
                <w:rFonts w:ascii="Times New Roman" w:hAnsi="Times New Roman" w:cs="Times New Roman"/>
                <w:b/>
                <w:color w:val="auto"/>
                <w:sz w:val="21"/>
                <w:szCs w:val="21"/>
              </w:rPr>
            </w:pPr>
            <w:r>
              <w:rPr>
                <w:rFonts w:ascii="Times New Roman" w:hAnsi="Times New Roman" w:cs="Times New Roman"/>
                <w:b/>
                <w:color w:val="auto"/>
                <w:sz w:val="21"/>
                <w:szCs w:val="21"/>
              </w:rPr>
              <w:t>标准值</w:t>
            </w:r>
          </w:p>
        </w:tc>
        <w:tc>
          <w:tcPr>
            <w:tcW w:w="2218" w:type="pct"/>
            <w:vMerge w:val="restart"/>
            <w:noWrap w:val="0"/>
            <w:vAlign w:val="center"/>
          </w:tcPr>
          <w:p>
            <w:pPr>
              <w:adjustRightInd w:val="0"/>
              <w:snapToGrid w:val="0"/>
              <w:spacing w:line="360" w:lineRule="exact"/>
              <w:jc w:val="center"/>
              <w:rPr>
                <w:rFonts w:ascii="Times New Roman" w:hAnsi="Times New Roman" w:cs="Times New Roman"/>
                <w:b/>
                <w:color w:val="auto"/>
                <w:sz w:val="21"/>
                <w:szCs w:val="21"/>
              </w:rPr>
            </w:pPr>
            <w:r>
              <w:rPr>
                <w:rFonts w:ascii="Times New Roman" w:hAnsi="Times New Roman" w:cs="Times New Roman"/>
                <w:b/>
                <w:color w:val="auto"/>
                <w:sz w:val="21"/>
                <w:szCs w:val="21"/>
              </w:rPr>
              <w:t>依据</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4" w:hRule="atLeast"/>
        </w:trPr>
        <w:tc>
          <w:tcPr>
            <w:tcW w:w="837" w:type="pct"/>
            <w:vMerge w:val="continue"/>
            <w:noWrap w:val="0"/>
            <w:vAlign w:val="center"/>
          </w:tcPr>
          <w:p>
            <w:pPr>
              <w:adjustRightInd w:val="0"/>
              <w:snapToGrid w:val="0"/>
              <w:spacing w:line="360" w:lineRule="exact"/>
              <w:jc w:val="center"/>
              <w:rPr>
                <w:rFonts w:ascii="Times New Roman" w:hAnsi="Times New Roman" w:cs="Times New Roman"/>
                <w:b/>
                <w:color w:val="auto"/>
                <w:sz w:val="21"/>
                <w:szCs w:val="21"/>
              </w:rPr>
            </w:pPr>
          </w:p>
        </w:tc>
        <w:tc>
          <w:tcPr>
            <w:tcW w:w="979" w:type="pct"/>
            <w:noWrap w:val="0"/>
            <w:vAlign w:val="center"/>
          </w:tcPr>
          <w:p>
            <w:pPr>
              <w:adjustRightInd w:val="0"/>
              <w:snapToGrid w:val="0"/>
              <w:spacing w:line="360" w:lineRule="exact"/>
              <w:jc w:val="center"/>
              <w:rPr>
                <w:rFonts w:ascii="Times New Roman" w:hAnsi="Times New Roman" w:cs="Times New Roman"/>
                <w:b/>
                <w:color w:val="auto"/>
                <w:sz w:val="21"/>
                <w:szCs w:val="21"/>
              </w:rPr>
            </w:pPr>
            <w:r>
              <w:rPr>
                <w:rFonts w:ascii="Times New Roman" w:hAnsi="Times New Roman" w:cs="Times New Roman"/>
                <w:b/>
                <w:color w:val="auto"/>
                <w:sz w:val="21"/>
                <w:szCs w:val="21"/>
              </w:rPr>
              <w:t>昼间</w:t>
            </w:r>
          </w:p>
        </w:tc>
        <w:tc>
          <w:tcPr>
            <w:tcW w:w="964" w:type="pct"/>
            <w:noWrap w:val="0"/>
            <w:vAlign w:val="center"/>
          </w:tcPr>
          <w:p>
            <w:pPr>
              <w:adjustRightInd w:val="0"/>
              <w:snapToGrid w:val="0"/>
              <w:spacing w:line="360" w:lineRule="exact"/>
              <w:jc w:val="center"/>
              <w:rPr>
                <w:rFonts w:ascii="Times New Roman" w:hAnsi="Times New Roman" w:cs="Times New Roman"/>
                <w:b/>
                <w:color w:val="auto"/>
                <w:sz w:val="21"/>
                <w:szCs w:val="21"/>
              </w:rPr>
            </w:pPr>
            <w:r>
              <w:rPr>
                <w:rFonts w:ascii="Times New Roman" w:hAnsi="Times New Roman" w:cs="Times New Roman"/>
                <w:b/>
                <w:color w:val="auto"/>
                <w:sz w:val="21"/>
                <w:szCs w:val="21"/>
              </w:rPr>
              <w:t>夜间</w:t>
            </w:r>
          </w:p>
        </w:tc>
        <w:tc>
          <w:tcPr>
            <w:tcW w:w="2218" w:type="pct"/>
            <w:vMerge w:val="continue"/>
            <w:noWrap w:val="0"/>
            <w:vAlign w:val="center"/>
          </w:tcPr>
          <w:p>
            <w:pPr>
              <w:adjustRightInd w:val="0"/>
              <w:snapToGrid w:val="0"/>
              <w:spacing w:line="360" w:lineRule="exact"/>
              <w:jc w:val="center"/>
              <w:rPr>
                <w:rFonts w:ascii="Times New Roman" w:hAnsi="Times New Roman" w:cs="Times New Roman"/>
                <w:b/>
                <w:color w:val="auto"/>
                <w:sz w:val="2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37" w:type="pct"/>
            <w:noWrap w:val="0"/>
            <w:vAlign w:val="center"/>
          </w:tcPr>
          <w:p>
            <w:pPr>
              <w:adjustRightInd w:val="0"/>
              <w:snapToGrid w:val="0"/>
              <w:spacing w:line="36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2类</w:t>
            </w:r>
          </w:p>
        </w:tc>
        <w:tc>
          <w:tcPr>
            <w:tcW w:w="979" w:type="pct"/>
            <w:noWrap w:val="0"/>
            <w:vAlign w:val="center"/>
          </w:tcPr>
          <w:p>
            <w:pPr>
              <w:adjustRightInd w:val="0"/>
              <w:snapToGrid w:val="0"/>
              <w:spacing w:line="36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60</w:t>
            </w:r>
          </w:p>
        </w:tc>
        <w:tc>
          <w:tcPr>
            <w:tcW w:w="964" w:type="pct"/>
            <w:noWrap w:val="0"/>
            <w:vAlign w:val="center"/>
          </w:tcPr>
          <w:p>
            <w:pPr>
              <w:adjustRightInd w:val="0"/>
              <w:snapToGrid w:val="0"/>
              <w:spacing w:line="36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50</w:t>
            </w:r>
          </w:p>
        </w:tc>
        <w:tc>
          <w:tcPr>
            <w:tcW w:w="2218" w:type="pct"/>
            <w:noWrap w:val="0"/>
            <w:vAlign w:val="center"/>
          </w:tcPr>
          <w:p>
            <w:pPr>
              <w:adjustRightInd w:val="0"/>
              <w:snapToGrid w:val="0"/>
              <w:spacing w:line="360" w:lineRule="exact"/>
              <w:jc w:val="center"/>
              <w:rPr>
                <w:rFonts w:ascii="Times New Roman" w:hAnsi="Times New Roman" w:cs="Times New Roman"/>
                <w:color w:val="auto"/>
                <w:sz w:val="21"/>
                <w:szCs w:val="21"/>
              </w:rPr>
            </w:pPr>
            <w:r>
              <w:rPr>
                <w:rFonts w:ascii="Times New Roman" w:hAnsi="Times New Roman" w:cs="Times New Roman"/>
                <w:color w:val="auto"/>
                <w:sz w:val="21"/>
                <w:szCs w:val="21"/>
              </w:rPr>
              <w:t>《声环境质量标准》（GB3096-2008）</w:t>
            </w:r>
          </w:p>
        </w:tc>
      </w:tr>
    </w:tbl>
    <w:p>
      <w:pPr>
        <w:pStyle w:val="62"/>
        <w:ind w:firstLine="643"/>
      </w:pPr>
      <w:bookmarkStart w:id="39" w:name="_Toc5442"/>
      <w:r>
        <w:t>6.</w:t>
      </w:r>
      <w:r>
        <w:rPr>
          <w:rFonts w:hint="eastAsia"/>
          <w:lang w:val="en-US"/>
        </w:rPr>
        <w:t>4</w:t>
      </w:r>
      <w:r>
        <w:rPr>
          <w:rFonts w:hint="eastAsia"/>
        </w:rPr>
        <w:t xml:space="preserve"> 固废验收执行</w:t>
      </w:r>
      <w:r>
        <w:t>标准</w:t>
      </w:r>
      <w:bookmarkEnd w:id="38"/>
      <w:bookmarkEnd w:id="39"/>
    </w:p>
    <w:p>
      <w:pPr>
        <w:sectPr>
          <w:footerReference r:id="rId14" w:type="default"/>
          <w:pgSz w:w="11906" w:h="16838"/>
          <w:pgMar w:top="1134" w:right="1247" w:bottom="1134" w:left="1417" w:header="851" w:footer="283" w:gutter="0"/>
          <w:cols w:space="425" w:num="1"/>
          <w:docGrid w:type="lines" w:linePitch="312" w:charSpace="0"/>
        </w:sectPr>
      </w:pPr>
      <w:r>
        <w:rPr>
          <w:rFonts w:hint="eastAsia"/>
        </w:rPr>
        <w:t>项目</w:t>
      </w:r>
      <w:r>
        <w:t>一般</w:t>
      </w:r>
      <w:r>
        <w:rPr>
          <w:rFonts w:hint="eastAsia"/>
        </w:rPr>
        <w:t>固废</w:t>
      </w:r>
      <w:r>
        <w:t>贮存执行《一般工业固体废物贮存、处理场污染控制标准》（GB18599-20</w:t>
      </w:r>
      <w:r>
        <w:rPr>
          <w:rFonts w:hint="eastAsia"/>
        </w:rPr>
        <w:t>20</w:t>
      </w:r>
      <w:r>
        <w:t>）</w:t>
      </w:r>
      <w:r>
        <w:rPr>
          <w:rFonts w:hint="eastAsia"/>
        </w:rPr>
        <w:t>要求</w:t>
      </w:r>
      <w:r>
        <w:t>；危险废物临时贮存执行《危险废物贮存污染控制标准》</w:t>
      </w:r>
      <w:r>
        <w:rPr>
          <w:rFonts w:hint="eastAsia"/>
        </w:rPr>
        <w:t>（</w:t>
      </w:r>
      <w:r>
        <w:t>GB18597-20</w:t>
      </w:r>
      <w:r>
        <w:rPr>
          <w:rFonts w:hint="eastAsia"/>
        </w:rPr>
        <w:t>23）要求</w:t>
      </w:r>
      <w:r>
        <w:t>。</w:t>
      </w:r>
    </w:p>
    <w:p>
      <w:pPr>
        <w:pStyle w:val="42"/>
      </w:pPr>
      <w:bookmarkStart w:id="40" w:name="_Toc21697"/>
      <w:r>
        <w:rPr>
          <w:rFonts w:hint="eastAsia"/>
        </w:rPr>
        <w:t>7 验收监测内容</w:t>
      </w:r>
      <w:bookmarkEnd w:id="40"/>
    </w:p>
    <w:p>
      <w:pPr>
        <w:ind w:firstLine="480"/>
        <w:jc w:val="left"/>
      </w:pPr>
      <w:r>
        <w:rPr>
          <w:rFonts w:hint="eastAsia"/>
        </w:rPr>
        <w:t>根据现场踏勘该项目主要污染源污染物排放情况及环境保护设施建设运行情况调查结果，确定本次验收监测内容。</w:t>
      </w:r>
    </w:p>
    <w:p>
      <w:pPr>
        <w:pStyle w:val="62"/>
        <w:ind w:left="0" w:leftChars="0" w:firstLine="321" w:firstLineChars="100"/>
        <w:jc w:val="left"/>
      </w:pPr>
      <w:bookmarkStart w:id="41" w:name="_Toc15395"/>
      <w:r>
        <w:rPr>
          <w:rFonts w:hint="eastAsia"/>
        </w:rPr>
        <w:t>7.1环境保护设施</w:t>
      </w:r>
      <w:r>
        <w:t>调试运行效果</w:t>
      </w:r>
      <w:bookmarkEnd w:id="41"/>
    </w:p>
    <w:p>
      <w:pPr>
        <w:pStyle w:val="67"/>
        <w:ind w:firstLine="482"/>
        <w:jc w:val="left"/>
      </w:pPr>
      <w:r>
        <w:t>7.1.</w:t>
      </w:r>
      <w:r>
        <w:rPr>
          <w:rFonts w:hint="eastAsia"/>
        </w:rPr>
        <w:t>1</w:t>
      </w:r>
      <w:r>
        <w:t>废水</w:t>
      </w:r>
      <w:r>
        <w:rPr>
          <w:rFonts w:hint="eastAsia"/>
        </w:rPr>
        <w:t>监测因子</w:t>
      </w:r>
      <w:r>
        <w:t>及监测频次</w:t>
      </w:r>
    </w:p>
    <w:p>
      <w:pPr>
        <w:ind w:firstLine="480"/>
        <w:jc w:val="left"/>
        <w:rPr>
          <w:rFonts w:hint="eastAsia"/>
        </w:rPr>
      </w:pPr>
      <w:r>
        <w:rPr>
          <w:rFonts w:hint="eastAsia"/>
        </w:rPr>
        <w:t>废水监测因子及监测频次见下表。</w:t>
      </w:r>
    </w:p>
    <w:p>
      <w:pPr>
        <w:ind w:firstLine="480"/>
        <w:jc w:val="center"/>
      </w:pPr>
      <w:r>
        <w:rPr>
          <w:b/>
          <w:bCs/>
        </w:rPr>
        <w:t>表7.1-1  废水监测情况一览表</w:t>
      </w:r>
    </w:p>
    <w:tbl>
      <w:tblPr>
        <w:tblStyle w:val="43"/>
        <w:tblW w:w="504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62"/>
        <w:gridCol w:w="2055"/>
        <w:gridCol w:w="4000"/>
        <w:gridCol w:w="1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atLeast"/>
          <w:jc w:val="center"/>
        </w:trPr>
        <w:tc>
          <w:tcPr>
            <w:tcW w:w="45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序号</w:t>
            </w:r>
          </w:p>
        </w:tc>
        <w:tc>
          <w:tcPr>
            <w:tcW w:w="122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监测点位</w:t>
            </w:r>
          </w:p>
        </w:tc>
        <w:tc>
          <w:tcPr>
            <w:tcW w:w="23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监测项目</w:t>
            </w:r>
          </w:p>
        </w:tc>
        <w:tc>
          <w:tcPr>
            <w:tcW w:w="935" w:type="pct"/>
            <w:vAlign w:val="center"/>
          </w:tcPr>
          <w:p>
            <w:pPr>
              <w:ind w:firstLine="480"/>
            </w:pPr>
            <w: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4" w:hRule="atLeast"/>
          <w:jc w:val="center"/>
        </w:trPr>
        <w:tc>
          <w:tcPr>
            <w:tcW w:w="45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eastAsia="zh-CN"/>
              </w:rPr>
            </w:pPr>
            <w:r>
              <w:rPr>
                <w:rFonts w:hint="eastAsia"/>
                <w:b w:val="0"/>
                <w:bCs/>
                <w:sz w:val="21"/>
                <w:szCs w:val="21"/>
                <w:lang w:val="en-US" w:eastAsia="zh-CN"/>
              </w:rPr>
              <w:t>1</w:t>
            </w:r>
          </w:p>
        </w:tc>
        <w:tc>
          <w:tcPr>
            <w:tcW w:w="1225"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厂区总排口</w:t>
            </w:r>
          </w:p>
        </w:tc>
        <w:tc>
          <w:tcPr>
            <w:tcW w:w="23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流量、pH 值、悬浮物、 化学需氧量、五日生化需氧量、氨氮、总磷、总氮、游离氯</w:t>
            </w:r>
          </w:p>
        </w:tc>
        <w:tc>
          <w:tcPr>
            <w:tcW w:w="935" w:type="pct"/>
            <w:vAlign w:val="center"/>
          </w:tcPr>
          <w:p>
            <w:pPr>
              <w:ind w:left="0" w:leftChars="0" w:firstLine="0" w:firstLineChars="0"/>
              <w:rPr>
                <w:sz w:val="21"/>
                <w:szCs w:val="21"/>
              </w:rPr>
            </w:pPr>
            <w:r>
              <w:rPr>
                <w:sz w:val="21"/>
                <w:szCs w:val="21"/>
              </w:rPr>
              <w:t>监测4次/天，</w:t>
            </w:r>
          </w:p>
          <w:p>
            <w:pPr>
              <w:rPr>
                <w:sz w:val="21"/>
                <w:szCs w:val="21"/>
              </w:rPr>
            </w:pPr>
            <w:r>
              <w:rPr>
                <w:sz w:val="21"/>
                <w:szCs w:val="21"/>
              </w:rPr>
              <w:t>监测2天</w:t>
            </w:r>
          </w:p>
        </w:tc>
      </w:tr>
    </w:tbl>
    <w:p>
      <w:pPr>
        <w:pStyle w:val="67"/>
        <w:ind w:firstLine="482"/>
      </w:pPr>
      <w:r>
        <w:t>7.1.</w:t>
      </w:r>
      <w:r>
        <w:rPr>
          <w:rFonts w:hint="eastAsia"/>
        </w:rPr>
        <w:t>2</w:t>
      </w:r>
      <w:r>
        <w:t>废气</w:t>
      </w:r>
      <w:r>
        <w:rPr>
          <w:rFonts w:hint="eastAsia"/>
        </w:rPr>
        <w:t>监测因子</w:t>
      </w:r>
      <w:r>
        <w:t>及监测频次</w:t>
      </w:r>
    </w:p>
    <w:p>
      <w:pPr>
        <w:ind w:firstLine="480"/>
        <w:jc w:val="left"/>
        <w:rPr>
          <w:rFonts w:hint="eastAsia"/>
        </w:rPr>
      </w:pPr>
      <w:r>
        <w:rPr>
          <w:rFonts w:hint="eastAsia"/>
          <w:color w:val="FF0000"/>
          <w:lang w:val="en-US" w:eastAsia="zh-CN"/>
        </w:rPr>
        <w:t>由于切割、焊接、抛丸、喷涂等工序产生的废气均为多管路收集，未设置集气总管，本次无法对废气处理设施进口进行检测，因此仅对切割、焊接、抛丸、喷涂等工序产生的废气处理设施出口进行检测。</w:t>
      </w:r>
      <w:r>
        <w:rPr>
          <w:rFonts w:hint="eastAsia"/>
        </w:rPr>
        <w:t>废气监测因子及监测频次见下表。</w:t>
      </w:r>
    </w:p>
    <w:p>
      <w:pPr>
        <w:ind w:firstLine="1446" w:firstLineChars="600"/>
        <w:rPr>
          <w:rFonts w:hAnsi="宋体"/>
          <w:b/>
          <w:bCs/>
          <w:sz w:val="24"/>
        </w:rPr>
      </w:pPr>
      <w:r>
        <w:rPr>
          <w:b/>
          <w:bCs/>
        </w:rPr>
        <w:t>表7.1-2  有组织废气废气监测内容一览表</w:t>
      </w:r>
      <w:r>
        <w:rPr>
          <w:rFonts w:hint="eastAsia"/>
          <w:b/>
          <w:bCs/>
          <w:sz w:val="24"/>
        </w:rPr>
        <w:pict>
          <v:rect id="_x0000_s1029" o:spid="_x0000_s1029" o:spt="1" style="position:absolute;left:0pt;margin-left:511.45pt;margin-top:19.4pt;height:22.35pt;width:84.95pt;z-index:251661312;mso-width-relative:page;mso-height-relative:page;" filled="f" stroked="f" coordsize="21600,21600">
            <v:path/>
            <v:fill on="f" focussize="0,0"/>
            <v:stroke on="f"/>
            <v:imagedata o:title=""/>
            <o:lock v:ext="edit" aspectratio="f"/>
            <v:textbox>
              <w:txbxContent>
                <w:p>
                  <w:pPr>
                    <w:ind w:firstLine="480" w:firstLineChars="200"/>
                    <w:rPr>
                      <w:rFonts w:hint="eastAsia" w:ascii="宋体" w:hAnsi="宋体" w:eastAsia="宋体" w:cs="宋体"/>
                      <w:szCs w:val="21"/>
                      <w:lang w:eastAsia="zh-CN"/>
                    </w:rPr>
                  </w:pPr>
                  <w:r>
                    <w:rPr>
                      <w:rFonts w:hint="eastAsia" w:ascii="宋体" w:hAnsi="宋体" w:cs="宋体"/>
                      <w:bCs/>
                      <w:szCs w:val="21"/>
                    </w:rPr>
                    <w:t>◎</w:t>
                  </w:r>
                  <w:r>
                    <w:rPr>
                      <w:rFonts w:hint="eastAsia" w:ascii="宋体" w:hAnsi="宋体" w:cs="宋体"/>
                      <w:szCs w:val="21"/>
                    </w:rPr>
                    <w:t>出口</w:t>
                  </w:r>
                  <w:r>
                    <w:rPr>
                      <w:rFonts w:hint="eastAsia" w:ascii="宋体" w:hAnsi="宋体" w:cs="宋体"/>
                      <w:szCs w:val="21"/>
                      <w:lang w:val="en-US" w:eastAsia="zh-CN"/>
                    </w:rPr>
                    <w:t>1</w:t>
                  </w:r>
                  <w:r>
                    <w:rPr>
                      <w:rFonts w:hint="eastAsia" w:ascii="宋体" w:hAnsi="宋体" w:cs="宋体"/>
                      <w:szCs w:val="21"/>
                    </w:rPr>
                    <w:t>-</w:t>
                  </w:r>
                  <w:r>
                    <w:rPr>
                      <w:rFonts w:hint="eastAsia"/>
                      <w:szCs w:val="21"/>
                      <w:lang w:val="en-US" w:eastAsia="zh-CN"/>
                    </w:rPr>
                    <w:t>2</w:t>
                  </w:r>
                </w:p>
              </w:txbxContent>
            </v:textbox>
          </v:rect>
        </w:pict>
      </w:r>
      <w:r>
        <w:rPr>
          <w:rFonts w:ascii="宋体" w:hAnsi="宋体"/>
          <w:b/>
          <w:bCs/>
          <w:color w:val="000000"/>
          <w:sz w:val="24"/>
        </w:rPr>
        <w:pict>
          <v:shape id="文本框 3060" o:spid="_x0000_s1030" o:spt="202" type="#_x0000_t202" style="position:absolute;left:0pt;margin-left:608.4pt;margin-top:7.25pt;height:22.5pt;width:83.25pt;z-index:251660288;mso-width-relative:page;mso-height-relative:page;" fillcolor="#FFFFFF" filled="t" stroked="f" coordsize="21600,21600">
            <v:path/>
            <v:fill on="t" focussize="0,0"/>
            <v:stroke on="f"/>
            <v:imagedata o:title=""/>
            <o:lock v:ext="edit" aspectratio="f"/>
            <v:textbox>
              <w:txbxContent>
                <w:p>
                  <w:pPr>
                    <w:rPr>
                      <w:szCs w:val="21"/>
                    </w:rPr>
                  </w:pPr>
                  <w:r>
                    <w:rPr>
                      <w:rFonts w:hint="eastAsia"/>
                      <w:szCs w:val="21"/>
                    </w:rPr>
                    <w:t>引至楼顶排放</w:t>
                  </w:r>
                </w:p>
              </w:txbxContent>
            </v:textbox>
          </v:shape>
        </w:pict>
      </w:r>
    </w:p>
    <w:tbl>
      <w:tblPr>
        <w:tblStyle w:val="43"/>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1366"/>
        <w:gridCol w:w="2922"/>
        <w:gridCol w:w="2917"/>
        <w:gridCol w:w="111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16" w:hRule="atLeast"/>
          <w:jc w:val="center"/>
        </w:trPr>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污染源、工段</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监测点位及编号</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监测项目</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监测频次</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524" w:hRule="atLeast"/>
          <w:jc w:val="center"/>
        </w:trPr>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切割、焊接、抛丸</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lang w:val="en-US" w:eastAsia="zh-CN"/>
              </w:rPr>
              <w:t>滤筒除尘器</w:t>
            </w:r>
            <w:r>
              <w:rPr>
                <w:rFonts w:hint="eastAsia"/>
                <w:b w:val="0"/>
                <w:bCs/>
                <w:sz w:val="21"/>
                <w:szCs w:val="21"/>
              </w:rPr>
              <w:t>装置出</w:t>
            </w:r>
            <w:r>
              <w:rPr>
                <w:rFonts w:hint="default"/>
                <w:b w:val="0"/>
                <w:bCs/>
                <w:sz w:val="21"/>
                <w:szCs w:val="21"/>
              </w:rPr>
              <w:t>口</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rPr>
              <w:t>废</w:t>
            </w:r>
            <w:r>
              <w:rPr>
                <w:rFonts w:hint="default"/>
                <w:b w:val="0"/>
                <w:bCs/>
                <w:sz w:val="21"/>
                <w:szCs w:val="21"/>
              </w:rPr>
              <w:t>气参数</w:t>
            </w:r>
            <w:r>
              <w:rPr>
                <w:rFonts w:hint="eastAsia"/>
                <w:b w:val="0"/>
                <w:bCs/>
                <w:sz w:val="21"/>
                <w:szCs w:val="21"/>
              </w:rPr>
              <w:t>，</w:t>
            </w:r>
            <w:r>
              <w:rPr>
                <w:rFonts w:hint="eastAsia"/>
                <w:b w:val="0"/>
                <w:bCs/>
                <w:sz w:val="21"/>
                <w:szCs w:val="21"/>
                <w:lang w:val="en-US" w:eastAsia="zh-CN"/>
              </w:rPr>
              <w:t>颗粒物</w:t>
            </w:r>
          </w:p>
        </w:tc>
        <w:tc>
          <w:tcPr>
            <w:tcW w:w="0" w:type="auto"/>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default"/>
                <w:b w:val="0"/>
                <w:bCs/>
                <w:sz w:val="21"/>
                <w:szCs w:val="21"/>
              </w:rPr>
              <w:t>监测3次/天</w:t>
            </w:r>
            <w:r>
              <w:rPr>
                <w:rFonts w:hint="eastAsia"/>
                <w:b w:val="0"/>
                <w:bCs/>
                <w:sz w:val="21"/>
                <w:szCs w:val="21"/>
              </w:rPr>
              <w:t>，</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监测2天</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524" w:hRule="atLeast"/>
          <w:jc w:val="center"/>
        </w:trPr>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切割、焊接、抛丸</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eastAsia="zh-CN"/>
              </w:rPr>
            </w:pPr>
            <w:r>
              <w:rPr>
                <w:rFonts w:hint="eastAsia"/>
                <w:b w:val="0"/>
                <w:bCs/>
                <w:sz w:val="21"/>
                <w:szCs w:val="21"/>
                <w:lang w:val="en-US" w:eastAsia="zh-CN"/>
              </w:rPr>
              <w:t>滤筒除尘器</w:t>
            </w:r>
            <w:r>
              <w:rPr>
                <w:rFonts w:hint="eastAsia"/>
                <w:b w:val="0"/>
                <w:bCs/>
                <w:sz w:val="21"/>
                <w:szCs w:val="21"/>
              </w:rPr>
              <w:t>装置出</w:t>
            </w:r>
            <w:r>
              <w:rPr>
                <w:rFonts w:hint="default"/>
                <w:b w:val="0"/>
                <w:bCs/>
                <w:sz w:val="21"/>
                <w:szCs w:val="21"/>
              </w:rPr>
              <w:t>口</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废</w:t>
            </w:r>
            <w:r>
              <w:rPr>
                <w:rFonts w:hint="default"/>
                <w:b w:val="0"/>
                <w:bCs/>
                <w:sz w:val="21"/>
                <w:szCs w:val="21"/>
              </w:rPr>
              <w:t>气参数</w:t>
            </w:r>
            <w:r>
              <w:rPr>
                <w:rFonts w:hint="eastAsia"/>
                <w:b w:val="0"/>
                <w:bCs/>
                <w:sz w:val="21"/>
                <w:szCs w:val="21"/>
              </w:rPr>
              <w:t>，</w:t>
            </w:r>
            <w:r>
              <w:rPr>
                <w:rFonts w:hint="eastAsia"/>
                <w:b w:val="0"/>
                <w:bCs/>
                <w:sz w:val="21"/>
                <w:szCs w:val="21"/>
                <w:lang w:val="en-US" w:eastAsia="zh-CN"/>
              </w:rPr>
              <w:t>颗粒物</w:t>
            </w:r>
          </w:p>
        </w:tc>
        <w:tc>
          <w:tcPr>
            <w:tcW w:w="0" w:type="auto"/>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524" w:hRule="atLeast"/>
          <w:jc w:val="center"/>
        </w:trPr>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喷涂、危废暂存间</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干式过滤+活性炭吸附/脱附+催化燃烧</w:t>
            </w:r>
            <w:r>
              <w:rPr>
                <w:rFonts w:hint="eastAsia"/>
                <w:b w:val="0"/>
                <w:bCs/>
                <w:sz w:val="21"/>
                <w:szCs w:val="21"/>
              </w:rPr>
              <w:t>出</w:t>
            </w:r>
            <w:r>
              <w:rPr>
                <w:rFonts w:hint="default"/>
                <w:b w:val="0"/>
                <w:bCs/>
                <w:sz w:val="21"/>
                <w:szCs w:val="21"/>
              </w:rPr>
              <w:t>口</w:t>
            </w:r>
          </w:p>
        </w:tc>
        <w:tc>
          <w:tcPr>
            <w:tcW w:w="0" w:type="auto"/>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rPr>
              <w:t>废</w:t>
            </w:r>
            <w:r>
              <w:rPr>
                <w:rFonts w:hint="default"/>
                <w:b w:val="0"/>
                <w:bCs/>
                <w:sz w:val="21"/>
                <w:szCs w:val="21"/>
              </w:rPr>
              <w:t>气参数</w:t>
            </w:r>
            <w:r>
              <w:rPr>
                <w:rFonts w:hint="eastAsia"/>
                <w:b w:val="0"/>
                <w:bCs/>
                <w:sz w:val="21"/>
                <w:szCs w:val="21"/>
              </w:rPr>
              <w:t>，</w:t>
            </w:r>
            <w:r>
              <w:rPr>
                <w:rFonts w:hint="eastAsia"/>
                <w:b w:val="0"/>
                <w:bCs/>
                <w:sz w:val="21"/>
                <w:szCs w:val="21"/>
                <w:lang w:val="en-US" w:eastAsia="zh-CN"/>
              </w:rPr>
              <w:t>颗粒物、二甲苯、非甲烷总烃</w:t>
            </w:r>
          </w:p>
        </w:tc>
        <w:tc>
          <w:tcPr>
            <w:tcW w:w="0" w:type="auto"/>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r>
    </w:tbl>
    <w:p>
      <w:pPr>
        <w:ind w:firstLine="2409" w:firstLineChars="1000"/>
      </w:pPr>
      <w:r>
        <w:rPr>
          <w:b/>
          <w:bCs/>
        </w:rPr>
        <w:t>表7.1-3  无组织废气废气监测内容一览表</w:t>
      </w:r>
    </w:p>
    <w:tbl>
      <w:tblPr>
        <w:tblStyle w:val="4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2"/>
        <w:gridCol w:w="2827"/>
        <w:gridCol w:w="1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239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监测点位</w:t>
            </w:r>
          </w:p>
        </w:tc>
        <w:tc>
          <w:tcPr>
            <w:tcW w:w="165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 xml:space="preserve">  监测项目</w:t>
            </w:r>
          </w:p>
        </w:tc>
        <w:tc>
          <w:tcPr>
            <w:tcW w:w="94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239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厂界外上风向布设1个参照点○G1，</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厂界外下风向布设3个监控点○G2~○G4</w:t>
            </w:r>
          </w:p>
        </w:tc>
        <w:tc>
          <w:tcPr>
            <w:tcW w:w="165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 xml:space="preserve">   气象参数，</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非甲烷总烃、二甲苯颗粒物</w:t>
            </w:r>
          </w:p>
        </w:tc>
        <w:tc>
          <w:tcPr>
            <w:tcW w:w="945" w:type="pct"/>
            <w:vMerge w:val="restar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both"/>
              <w:rPr>
                <w:rFonts w:hint="eastAsia"/>
                <w:b w:val="0"/>
                <w:bCs/>
                <w:sz w:val="21"/>
                <w:szCs w:val="21"/>
                <w:lang w:val="en-US" w:eastAsia="zh-CN"/>
              </w:rPr>
            </w:pPr>
            <w:r>
              <w:rPr>
                <w:rFonts w:hint="eastAsia"/>
                <w:b w:val="0"/>
                <w:bCs/>
                <w:sz w:val="21"/>
                <w:szCs w:val="21"/>
                <w:lang w:val="en-US" w:eastAsia="zh-CN"/>
              </w:rPr>
              <w:t>监测3次/天，</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监测2天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239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厂区内车间外○G5</w:t>
            </w:r>
          </w:p>
        </w:tc>
        <w:tc>
          <w:tcPr>
            <w:tcW w:w="1659"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 xml:space="preserve"> 气象参数，非甲烷总烃</w:t>
            </w:r>
          </w:p>
        </w:tc>
        <w:tc>
          <w:tcPr>
            <w:tcW w:w="945" w:type="pct"/>
            <w:vMerge w:val="continue"/>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2395" w:type="pct"/>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备注</w:t>
            </w:r>
          </w:p>
        </w:tc>
        <w:tc>
          <w:tcPr>
            <w:tcW w:w="2604" w:type="pct"/>
            <w:gridSpan w:val="2"/>
            <w:noWrap w:val="0"/>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根据监测期间气象条件，布设监测点位</w:t>
            </w:r>
          </w:p>
        </w:tc>
      </w:tr>
    </w:tbl>
    <w:p>
      <w:pPr>
        <w:pStyle w:val="67"/>
        <w:ind w:firstLine="482"/>
      </w:pPr>
      <w:r>
        <w:t>7.1.</w:t>
      </w:r>
      <w:r>
        <w:rPr>
          <w:rFonts w:hint="eastAsia"/>
        </w:rPr>
        <w:t>3</w:t>
      </w:r>
      <w:r>
        <w:t>噪声</w:t>
      </w:r>
      <w:r>
        <w:rPr>
          <w:rFonts w:hint="eastAsia"/>
        </w:rPr>
        <w:t>监测因子</w:t>
      </w:r>
      <w:r>
        <w:t>及监测频次</w:t>
      </w:r>
    </w:p>
    <w:p>
      <w:pPr>
        <w:ind w:firstLine="480"/>
        <w:jc w:val="left"/>
      </w:pPr>
      <w:r>
        <w:rPr>
          <w:rFonts w:hint="eastAsia"/>
        </w:rPr>
        <w:t>项目噪声监测因子及监测频次见下表。</w:t>
      </w:r>
    </w:p>
    <w:p>
      <w:pPr>
        <w:ind w:firstLine="480"/>
        <w:jc w:val="center"/>
        <w:rPr>
          <w:rFonts w:hint="eastAsia"/>
          <w:b/>
          <w:bCs/>
        </w:rPr>
      </w:pPr>
    </w:p>
    <w:p>
      <w:pPr>
        <w:ind w:firstLine="480"/>
        <w:jc w:val="center"/>
        <w:rPr>
          <w:rFonts w:hint="eastAsia"/>
          <w:b/>
          <w:bCs/>
        </w:rPr>
      </w:pPr>
    </w:p>
    <w:p>
      <w:pPr>
        <w:ind w:firstLine="480"/>
        <w:jc w:val="center"/>
        <w:rPr>
          <w:rFonts w:hint="eastAsia"/>
          <w:b/>
          <w:bCs/>
        </w:rPr>
      </w:pPr>
      <w:r>
        <w:rPr>
          <w:rFonts w:hint="eastAsia"/>
          <w:b/>
          <w:bCs/>
        </w:rPr>
        <w:t>表7.1-3 噪声监测情况一览表</w:t>
      </w:r>
    </w:p>
    <w:tbl>
      <w:tblPr>
        <w:tblStyle w:val="4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6"/>
        <w:gridCol w:w="2320"/>
        <w:gridCol w:w="2619"/>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测点</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编号</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测点名称</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测点位置</w:t>
            </w:r>
          </w:p>
        </w:tc>
        <w:tc>
          <w:tcPr>
            <w:tcW w:w="1418"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N1</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厂界东北</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东北厂界外1m</w:t>
            </w:r>
          </w:p>
        </w:tc>
        <w:tc>
          <w:tcPr>
            <w:tcW w:w="1418"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连续监测2d，</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每天昼夜各监测1次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N2</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厂界东南</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东南厂界外1m</w:t>
            </w:r>
          </w:p>
        </w:tc>
        <w:tc>
          <w:tcPr>
            <w:tcW w:w="1418" w:type="pct"/>
            <w:vMerge w:val="continue"/>
            <w:vAlign w:val="center"/>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N3</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厂界南</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南厂界外1m</w:t>
            </w:r>
          </w:p>
        </w:tc>
        <w:tc>
          <w:tcPr>
            <w:tcW w:w="1418" w:type="pct"/>
            <w:vMerge w:val="continue"/>
            <w:vAlign w:val="center"/>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N4</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厂界西北</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西北厂界外1m</w:t>
            </w:r>
          </w:p>
        </w:tc>
        <w:tc>
          <w:tcPr>
            <w:tcW w:w="1418" w:type="pct"/>
            <w:vMerge w:val="continue"/>
            <w:vAlign w:val="center"/>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N5</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厂界西南</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西南厂界外1m</w:t>
            </w:r>
          </w:p>
        </w:tc>
        <w:tc>
          <w:tcPr>
            <w:tcW w:w="1418" w:type="pct"/>
            <w:vMerge w:val="continue"/>
            <w:vAlign w:val="center"/>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N6</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姚楼村</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敏感点处</w:t>
            </w:r>
          </w:p>
        </w:tc>
        <w:tc>
          <w:tcPr>
            <w:tcW w:w="1418" w:type="pct"/>
            <w:vMerge w:val="continue"/>
            <w:vAlign w:val="center"/>
          </w:tcPr>
          <w:p>
            <w:pPr>
              <w:ind w:firstLine="48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N7</w:t>
            </w:r>
          </w:p>
        </w:tc>
        <w:tc>
          <w:tcPr>
            <w:tcW w:w="136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姚楼小学</w:t>
            </w:r>
          </w:p>
        </w:tc>
        <w:tc>
          <w:tcPr>
            <w:tcW w:w="153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敏感点处</w:t>
            </w:r>
          </w:p>
        </w:tc>
        <w:tc>
          <w:tcPr>
            <w:tcW w:w="1418" w:type="pct"/>
            <w:vMerge w:val="continue"/>
            <w:vAlign w:val="center"/>
          </w:tcPr>
          <w:p>
            <w:pPr>
              <w:ind w:firstLine="480"/>
            </w:pPr>
          </w:p>
        </w:tc>
      </w:tr>
    </w:tbl>
    <w:p>
      <w:pPr>
        <w:pStyle w:val="6"/>
        <w:ind w:firstLine="480"/>
        <w:rPr>
          <w:kern w:val="0"/>
        </w:rPr>
        <w:sectPr>
          <w:footerReference r:id="rId15" w:type="default"/>
          <w:pgSz w:w="11906" w:h="16838"/>
          <w:pgMar w:top="1440" w:right="1800" w:bottom="1440" w:left="1800" w:header="851" w:footer="992" w:gutter="0"/>
          <w:cols w:space="425" w:num="1"/>
          <w:docGrid w:type="lines" w:linePitch="312" w:charSpace="0"/>
        </w:sectPr>
      </w:pPr>
    </w:p>
    <w:p>
      <w:pPr>
        <w:pStyle w:val="42"/>
      </w:pPr>
      <w:bookmarkStart w:id="42" w:name="_Toc23247"/>
      <w:r>
        <w:rPr>
          <w:rFonts w:hint="eastAsia"/>
        </w:rPr>
        <w:t>8 质量保证和</w:t>
      </w:r>
      <w:r>
        <w:t>质量控制</w:t>
      </w:r>
      <w:bookmarkEnd w:id="42"/>
    </w:p>
    <w:p>
      <w:pPr>
        <w:pStyle w:val="62"/>
        <w:ind w:left="0" w:leftChars="0" w:firstLine="0" w:firstLineChars="0"/>
      </w:pPr>
      <w:bookmarkStart w:id="43" w:name="_Toc533166992"/>
      <w:bookmarkStart w:id="44" w:name="_Toc27904"/>
      <w:r>
        <w:t>8.1 监测分析方法</w:t>
      </w:r>
      <w:bookmarkEnd w:id="43"/>
      <w:bookmarkEnd w:id="44"/>
      <w:r>
        <w:t xml:space="preserve"> </w:t>
      </w:r>
    </w:p>
    <w:p>
      <w:pPr>
        <w:ind w:firstLine="480"/>
        <w:rPr>
          <w:lang w:val="zh-CN"/>
        </w:rPr>
      </w:pPr>
      <w:r>
        <w:rPr>
          <w:lang w:val="zh-CN"/>
        </w:rPr>
        <w:t>项目废水、废气及噪声监测分析方法见下表。</w:t>
      </w:r>
    </w:p>
    <w:p>
      <w:pPr>
        <w:ind w:firstLine="2891" w:firstLineChars="1200"/>
        <w:jc w:val="both"/>
      </w:pPr>
      <w:r>
        <w:rPr>
          <w:b/>
          <w:bCs/>
        </w:rPr>
        <w:t>表8.1-1   监测项目分析方法表</w:t>
      </w:r>
    </w:p>
    <w:tbl>
      <w:tblPr>
        <w:tblStyle w:val="43"/>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
        <w:gridCol w:w="757"/>
        <w:gridCol w:w="1161"/>
        <w:gridCol w:w="2938"/>
        <w:gridCol w:w="2516"/>
        <w:gridCol w:w="1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序号</w:t>
            </w:r>
          </w:p>
        </w:tc>
        <w:tc>
          <w:tcPr>
            <w:tcW w:w="40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样品类别</w:t>
            </w: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检测项目</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方法依据</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检测仪器</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w:t>
            </w:r>
          </w:p>
        </w:tc>
        <w:tc>
          <w:tcPr>
            <w:tcW w:w="40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废水</w:t>
            </w: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pH值</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水质 pH 值的测定 电极法 HJ 1147-2020</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便携式pH计/</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PHBJ-260型</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2</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悬浮物</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水质 悬浮物的测定 重量法 GB/T 11901-1989</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电热鼓风干燥箱/GZX-9141MBE、电子天平/FA2104B</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3</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氨氮</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水质 氨氮的测定 纳氏试剂分光光度法 HJ 535-2009</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紫外可见分光光度计/752SD</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0.025mg/L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化学需氧量</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水质 化学需氧量的测定重铬酸盐法 HJ 828-2017</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COD消解器/HCA-100</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五日生化需氧量</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 xml:space="preserve">水质 五日生化需氧量（BOD5）的测定 稀释接种法  </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HJ 505-2009</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生化培养箱/SHP-160、溶解氧测定仪/JPSJ-605</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1"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6</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总磷</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水质 总磷的测定 钼酸铵</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 xml:space="preserve">分光光度法 </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GB/T 11893-1989</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手提式压力蒸汽灭菌器/YXQ-LS-18SII、紫外可见分光光度计/752SD</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0.01mg/L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7</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总氮</w:t>
            </w:r>
          </w:p>
        </w:tc>
        <w:tc>
          <w:tcPr>
            <w:tcW w:w="1553"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 xml:space="preserve">水质 总氮的测定 碱性过硫酸钾消解紫外分光光度法 </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HJ 636-2012</w:t>
            </w:r>
          </w:p>
        </w:tc>
        <w:tc>
          <w:tcPr>
            <w:tcW w:w="1330"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default"/>
                <w:b w:val="0"/>
                <w:bCs/>
                <w:sz w:val="21"/>
                <w:szCs w:val="21"/>
                <w:lang w:val="en-US" w:eastAsia="zh-CN"/>
              </w:rPr>
              <w:t>手提式压力蒸汽灭菌器/YXQ-LS-18SII、紫外可见分光光度计/752SD</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0.05mg/L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9"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8</w:t>
            </w:r>
          </w:p>
        </w:tc>
        <w:tc>
          <w:tcPr>
            <w:tcW w:w="40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废气</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（无组织）</w:t>
            </w:r>
          </w:p>
        </w:tc>
        <w:tc>
          <w:tcPr>
            <w:tcW w:w="614"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颗粒物</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环境空气 总悬浮颗粒物的测定 重量法 HJ 1263-2022</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恒温恒湿称重系统/HSX-350、电子天平/HZ-104/35S</w:t>
            </w:r>
          </w:p>
        </w:tc>
        <w:tc>
          <w:tcPr>
            <w:tcW w:w="1583" w:type="dxa"/>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210" w:firstLineChars="10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1.0mg/m</w:t>
            </w:r>
            <w:r>
              <w:rPr>
                <w:rFonts w:hint="eastAsia" w:ascii="Times New Roman" w:hAnsi="Times New Roman" w:eastAsia="宋体" w:cs="Times New Roman"/>
                <w:color w:val="000000"/>
                <w:kern w:val="0"/>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9</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非甲烷</w:t>
            </w:r>
          </w:p>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总烃</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环境空气 总烃、甲烷和非甲烷总烃的测定 直接进样-气相色谱法 HJ 604-2017</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气相色谱仪/GC-4000A</w:t>
            </w:r>
          </w:p>
        </w:tc>
        <w:tc>
          <w:tcPr>
            <w:tcW w:w="1583" w:type="dxa"/>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0.07mg/m</w:t>
            </w:r>
            <w:r>
              <w:rPr>
                <w:rFonts w:hint="eastAsia" w:ascii="Times New Roman" w:hAnsi="Times New Roman" w:eastAsia="宋体" w:cs="Times New Roman"/>
                <w:color w:val="000000"/>
                <w:kern w:val="0"/>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1"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二甲苯</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环境空气 苯系物的测定 活性炭吸附/二硫化碳解析-气相色谱法  HJ 584-2010</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气相色谱仪/GC2020N</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ind w:left="0" w:leftChars="0" w:firstLine="0" w:firstLineChars="0"/>
              <w:jc w:val="left"/>
              <w:rPr>
                <w:rFonts w:hint="default" w:ascii="Times New Roman" w:hAnsi="Times New Roman" w:eastAsia="宋体" w:cs="Times New Roman"/>
                <w:color w:val="000000"/>
                <w:kern w:val="0"/>
                <w:sz w:val="23"/>
                <w:szCs w:val="23"/>
                <w:lang w:val="en-US" w:eastAsia="zh-CN" w:bidi="ar"/>
              </w:rPr>
            </w:pPr>
            <w:r>
              <w:rPr>
                <w:rFonts w:hint="eastAsia" w:ascii="宋体" w:hAnsi="宋体" w:eastAsia="宋体" w:cs="宋体"/>
                <w:color w:val="000000"/>
                <w:kern w:val="0"/>
                <w:sz w:val="23"/>
                <w:szCs w:val="23"/>
                <w:lang w:val="en-US" w:eastAsia="zh-CN" w:bidi="ar"/>
              </w:rPr>
              <w:t>对二苯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1.5</w:t>
            </w:r>
            <w:r>
              <w:rPr>
                <w:rFonts w:hint="default" w:ascii="Arial" w:hAnsi="Arial" w:eastAsia="宋体" w:cs="Arial"/>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10</w:t>
            </w:r>
            <w:r>
              <w:rPr>
                <w:rFonts w:hint="eastAsia" w:ascii="Times New Roman" w:hAnsi="Times New Roman" w:eastAsia="宋体" w:cs="Times New Roman"/>
                <w:color w:val="000000"/>
                <w:kern w:val="0"/>
                <w:sz w:val="23"/>
                <w:szCs w:val="23"/>
                <w:vertAlign w:val="superscript"/>
                <w:lang w:val="en-US" w:eastAsia="zh-CN" w:bidi="ar"/>
              </w:rPr>
              <w:t>-3</w:t>
            </w:r>
          </w:p>
          <w:p>
            <w:pPr>
              <w:keepNext w:val="0"/>
              <w:keepLines w:val="0"/>
              <w:widowControl/>
              <w:suppressLineNumbers w:val="0"/>
              <w:ind w:left="0" w:leftChars="0" w:firstLine="0" w:firstLineChars="0"/>
              <w:jc w:val="left"/>
              <w:rPr>
                <w:rFonts w:hint="eastAsia" w:ascii="Times New Roman" w:hAnsi="Times New Roman" w:eastAsia="宋体" w:cs="Times New Roman"/>
                <w:color w:val="000000"/>
                <w:kern w:val="0"/>
                <w:sz w:val="23"/>
                <w:szCs w:val="23"/>
                <w:lang w:val="en-US" w:eastAsia="zh-CN" w:bidi="ar"/>
              </w:rPr>
            </w:pP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间</w:t>
            </w:r>
            <w:r>
              <w:rPr>
                <w:rFonts w:hint="eastAsia" w:ascii="宋体" w:hAnsi="宋体" w:eastAsia="宋体" w:cs="宋体"/>
                <w:color w:val="000000"/>
                <w:kern w:val="0"/>
                <w:sz w:val="23"/>
                <w:szCs w:val="23"/>
                <w:lang w:val="en-US" w:eastAsia="zh-CN" w:bidi="ar"/>
              </w:rPr>
              <w:t>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1.5</w:t>
            </w:r>
            <w:r>
              <w:rPr>
                <w:rFonts w:hint="default" w:ascii="Arial" w:hAnsi="Arial" w:eastAsia="宋体" w:cs="Arial"/>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10</w:t>
            </w:r>
            <w:r>
              <w:rPr>
                <w:rFonts w:hint="eastAsia" w:ascii="Times New Roman" w:hAnsi="Times New Roman" w:eastAsia="宋体" w:cs="Times New Roman"/>
                <w:color w:val="000000"/>
                <w:kern w:val="0"/>
                <w:sz w:val="23"/>
                <w:szCs w:val="23"/>
                <w:vertAlign w:val="superscript"/>
                <w:lang w:val="en-US" w:eastAsia="zh-CN" w:bidi="ar"/>
              </w:rPr>
              <w:t>-3</w:t>
            </w:r>
          </w:p>
          <w:p>
            <w:pPr>
              <w:keepNext w:val="0"/>
              <w:keepLines w:val="0"/>
              <w:widowControl/>
              <w:suppressLineNumbers w:val="0"/>
              <w:ind w:left="0" w:leftChars="0" w:firstLine="0" w:firstLineChars="0"/>
              <w:jc w:val="left"/>
              <w:rPr>
                <w:rFonts w:hint="default"/>
                <w:lang w:val="en-US"/>
              </w:rPr>
            </w:pPr>
            <w:r>
              <w:rPr>
                <w:rFonts w:hint="default" w:ascii="Times New Roman" w:hAnsi="Times New Roman" w:eastAsia="宋体" w:cs="Times New Roman"/>
                <w:color w:val="000000"/>
                <w:kern w:val="0"/>
                <w:sz w:val="23"/>
                <w:szCs w:val="23"/>
                <w:lang w:val="en-US" w:eastAsia="zh-CN" w:bidi="ar"/>
              </w:rPr>
              <w:t>+</w:t>
            </w:r>
            <w:r>
              <w:rPr>
                <w:rFonts w:hint="eastAsia" w:ascii="宋体" w:hAnsi="宋体" w:eastAsia="宋体" w:cs="宋体"/>
                <w:color w:val="000000"/>
                <w:kern w:val="0"/>
                <w:sz w:val="23"/>
                <w:szCs w:val="23"/>
                <w:lang w:val="en-US" w:eastAsia="zh-CN" w:bidi="ar"/>
              </w:rPr>
              <w:t>邻二苯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1.5</w:t>
            </w:r>
            <w:r>
              <w:rPr>
                <w:rFonts w:hint="default" w:ascii="Arial" w:hAnsi="Arial" w:eastAsia="宋体" w:cs="Arial"/>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10</w:t>
            </w:r>
            <w:r>
              <w:rPr>
                <w:rFonts w:hint="eastAsia" w:ascii="Times New Roman" w:hAnsi="Times New Roman" w:eastAsia="宋体" w:cs="Times New Roman"/>
                <w:color w:val="000000"/>
                <w:kern w:val="0"/>
                <w:sz w:val="23"/>
                <w:szCs w:val="23"/>
                <w:vertAlign w:val="superscript"/>
                <w:lang w:val="en-US" w:eastAsia="zh-CN" w:bidi="ar"/>
              </w:rPr>
              <w:t>-3</w:t>
            </w:r>
          </w:p>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宋体" w:hAnsi="宋体" w:eastAsia="宋体" w:cs="宋体"/>
                <w:color w:val="000000"/>
                <w:kern w:val="0"/>
                <w:sz w:val="23"/>
                <w:szCs w:val="23"/>
                <w:lang w:val="en-US" w:eastAsia="zh-CN" w:bidi="ar"/>
              </w:rPr>
              <w:t>（</w:t>
            </w:r>
            <w:r>
              <w:rPr>
                <w:rFonts w:hint="default" w:ascii="Times New Roman" w:hAnsi="Times New Roman" w:eastAsia="宋体" w:cs="Times New Roman"/>
                <w:color w:val="000000"/>
                <w:kern w:val="0"/>
                <w:sz w:val="23"/>
                <w:szCs w:val="23"/>
                <w:lang w:val="en-US" w:eastAsia="zh-CN" w:bidi="ar"/>
              </w:rPr>
              <w:t>mg/m</w:t>
            </w:r>
            <w:r>
              <w:rPr>
                <w:rFonts w:hint="default" w:ascii="Times New Roman" w:hAnsi="Times New Roman" w:eastAsia="宋体" w:cs="Times New Roman"/>
                <w:color w:val="000000"/>
                <w:kern w:val="0"/>
                <w:sz w:val="14"/>
                <w:szCs w:val="14"/>
                <w:lang w:val="en-US" w:eastAsia="zh-CN" w:bidi="ar"/>
              </w:rPr>
              <w:t>3</w:t>
            </w:r>
            <w:r>
              <w:rPr>
                <w:rFonts w:hint="eastAsia" w:ascii="宋体" w:hAnsi="宋体" w:eastAsia="宋体" w:cs="宋体"/>
                <w:color w:val="000000"/>
                <w:kern w:val="0"/>
                <w:sz w:val="23"/>
                <w:szCs w:val="23"/>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8"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11</w:t>
            </w:r>
          </w:p>
        </w:tc>
        <w:tc>
          <w:tcPr>
            <w:tcW w:w="40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废气</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（有组织）</w:t>
            </w: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低浓度颗粒物</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1050" w:leftChars="0" w:hanging="1050" w:hangingChars="500"/>
              <w:jc w:val="both"/>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固定污染源废气 低浓度颗</w:t>
            </w:r>
          </w:p>
          <w:p>
            <w:pPr>
              <w:spacing w:line="240" w:lineRule="auto"/>
              <w:ind w:left="1050" w:leftChars="0" w:hanging="1050" w:hangingChars="500"/>
              <w:jc w:val="both"/>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粒物的测定 重量法 </w:t>
            </w:r>
          </w:p>
          <w:p>
            <w:pPr>
              <w:spacing w:line="240" w:lineRule="auto"/>
              <w:ind w:left="1050" w:leftChars="0" w:hanging="1050" w:hangingChars="500"/>
              <w:jc w:val="both"/>
              <w:rPr>
                <w:rFonts w:hint="eastAsia"/>
                <w:b w:val="0"/>
                <w:bCs/>
                <w:sz w:val="21"/>
                <w:szCs w:val="21"/>
                <w:lang w:val="en-US" w:eastAsia="zh-CN"/>
              </w:rPr>
            </w:pPr>
            <w:r>
              <w:rPr>
                <w:rFonts w:hint="default" w:ascii="Times New Roman" w:hAnsi="Times New Roman" w:eastAsia="宋体" w:cs="Times New Roman"/>
                <w:color w:val="000000"/>
                <w:kern w:val="0"/>
                <w:sz w:val="21"/>
                <w:szCs w:val="21"/>
                <w:lang w:val="en-US" w:eastAsia="zh-CN"/>
              </w:rPr>
              <w:t>HJ 836-2017</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恒温恒湿称重系统/HSX-350、电热鼓风干燥箱/GZX-9141MBE、电子天平/HZ-104/35S</w:t>
            </w:r>
          </w:p>
        </w:tc>
        <w:tc>
          <w:tcPr>
            <w:tcW w:w="837"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210" w:firstLineChars="100"/>
              <w:jc w:val="both"/>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1.0mg/m</w:t>
            </w:r>
            <w:r>
              <w:rPr>
                <w:rFonts w:hint="eastAsia" w:ascii="Times New Roman" w:hAnsi="Times New Roman" w:eastAsia="宋体" w:cs="Times New Roman"/>
                <w:color w:val="000000"/>
                <w:kern w:val="0"/>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2"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非甲烷总烃</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 xml:space="preserve">固定污染源废气 总烃、甲烷和非甲烷总烃的测定 </w:t>
            </w:r>
          </w:p>
          <w:p>
            <w:pPr>
              <w:spacing w:line="240" w:lineRule="auto"/>
              <w:ind w:left="0" w:leftChars="0" w:firstLine="0" w:firstLineChars="0"/>
              <w:jc w:val="both"/>
              <w:rPr>
                <w:rFonts w:hint="eastAsia"/>
                <w:b w:val="0"/>
                <w:bCs/>
                <w:sz w:val="21"/>
                <w:szCs w:val="21"/>
                <w:lang w:val="en-US" w:eastAsia="zh-CN"/>
              </w:rPr>
            </w:pPr>
            <w:r>
              <w:rPr>
                <w:rFonts w:hint="default" w:ascii="Times New Roman" w:hAnsi="Times New Roman" w:eastAsia="宋体" w:cs="Times New Roman"/>
                <w:color w:val="000000"/>
                <w:kern w:val="0"/>
                <w:sz w:val="21"/>
                <w:szCs w:val="21"/>
                <w:lang w:val="en-US" w:eastAsia="zh-CN"/>
              </w:rPr>
              <w:t>气相色谱法 HJ 38-2017</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气相色谱仪/GC-4000A</w:t>
            </w:r>
          </w:p>
        </w:tc>
        <w:tc>
          <w:tcPr>
            <w:tcW w:w="837"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0.07mg/m</w:t>
            </w:r>
            <w:r>
              <w:rPr>
                <w:rFonts w:hint="eastAsia" w:ascii="Times New Roman" w:hAnsi="Times New Roman" w:eastAsia="宋体" w:cs="Times New Roman"/>
                <w:color w:val="000000"/>
                <w:kern w:val="0"/>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2"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13</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二甲苯</w:t>
            </w:r>
          </w:p>
        </w:tc>
        <w:tc>
          <w:tcPr>
            <w:tcW w:w="1553"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b w:val="0"/>
                <w:bCs/>
                <w:sz w:val="21"/>
                <w:szCs w:val="21"/>
                <w:lang w:val="en-US" w:eastAsia="zh-CN"/>
              </w:rPr>
            </w:pPr>
            <w:r>
              <w:rPr>
                <w:rFonts w:hint="default" w:ascii="Times New Roman" w:hAnsi="Times New Roman" w:eastAsia="宋体" w:cs="Times New Roman"/>
                <w:color w:val="000000"/>
                <w:kern w:val="0"/>
                <w:sz w:val="21"/>
                <w:szCs w:val="21"/>
                <w:lang w:val="en-US" w:eastAsia="zh-CN"/>
              </w:rPr>
              <w:t>固定污染源废气 苯系物的测定 气袋采样/直接进样-气相色谱法 HJ 1261-2022</w:t>
            </w:r>
          </w:p>
        </w:tc>
        <w:tc>
          <w:tcPr>
            <w:tcW w:w="1330" w:type="pct"/>
            <w:tcBorders>
              <w:top w:val="single" w:color="auto" w:sz="4" w:space="0"/>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气相色谱仪/GC-4000A</w:t>
            </w:r>
          </w:p>
        </w:tc>
        <w:tc>
          <w:tcPr>
            <w:tcW w:w="837" w:type="pct"/>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ind w:left="0" w:leftChars="0" w:firstLine="0" w:firstLineChars="0"/>
              <w:jc w:val="left"/>
              <w:rPr>
                <w:rFonts w:hint="eastAsia" w:ascii="Times New Roman" w:hAnsi="Times New Roman" w:eastAsia="宋体" w:cs="Times New Roman"/>
                <w:color w:val="000000"/>
                <w:kern w:val="0"/>
                <w:sz w:val="23"/>
                <w:szCs w:val="23"/>
                <w:lang w:val="en-US" w:eastAsia="zh-CN" w:bidi="ar"/>
              </w:rPr>
            </w:pPr>
            <w:r>
              <w:rPr>
                <w:rFonts w:hint="eastAsia" w:ascii="宋体" w:hAnsi="宋体" w:eastAsia="宋体" w:cs="宋体"/>
                <w:color w:val="000000"/>
                <w:kern w:val="0"/>
                <w:sz w:val="23"/>
                <w:szCs w:val="23"/>
                <w:lang w:val="en-US" w:eastAsia="zh-CN" w:bidi="ar"/>
              </w:rPr>
              <w:t>对二苯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0.3</w:t>
            </w:r>
          </w:p>
          <w:p>
            <w:pPr>
              <w:keepNext w:val="0"/>
              <w:keepLines w:val="0"/>
              <w:widowControl/>
              <w:suppressLineNumbers w:val="0"/>
              <w:ind w:left="0" w:leftChars="0" w:firstLine="0" w:firstLineChars="0"/>
              <w:jc w:val="left"/>
              <w:rPr>
                <w:rFonts w:hint="eastAsia" w:ascii="Times New Roman" w:hAnsi="Times New Roman" w:eastAsia="宋体" w:cs="Times New Roman"/>
                <w:color w:val="000000"/>
                <w:kern w:val="0"/>
                <w:sz w:val="23"/>
                <w:szCs w:val="23"/>
                <w:lang w:val="en-US" w:eastAsia="zh-CN" w:bidi="ar"/>
              </w:rPr>
            </w:pP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间二</w:t>
            </w:r>
            <w:r>
              <w:rPr>
                <w:rFonts w:hint="eastAsia" w:ascii="宋体" w:hAnsi="宋体" w:eastAsia="宋体" w:cs="宋体"/>
                <w:color w:val="000000"/>
                <w:kern w:val="0"/>
                <w:sz w:val="23"/>
                <w:szCs w:val="23"/>
                <w:lang w:val="en-US" w:eastAsia="zh-CN" w:bidi="ar"/>
              </w:rPr>
              <w:t>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0.2</w:t>
            </w:r>
          </w:p>
          <w:p>
            <w:pPr>
              <w:keepNext w:val="0"/>
              <w:keepLines w:val="0"/>
              <w:widowControl/>
              <w:suppressLineNumbers w:val="0"/>
              <w:ind w:left="0" w:leftChars="0" w:firstLine="0" w:firstLineChars="0"/>
              <w:jc w:val="left"/>
              <w:rPr>
                <w:rFonts w:hint="default"/>
                <w:lang w:val="en-US"/>
              </w:rPr>
            </w:pPr>
            <w:r>
              <w:rPr>
                <w:rFonts w:hint="default" w:ascii="Times New Roman" w:hAnsi="Times New Roman" w:eastAsia="宋体" w:cs="Times New Roman"/>
                <w:color w:val="000000"/>
                <w:kern w:val="0"/>
                <w:sz w:val="23"/>
                <w:szCs w:val="23"/>
                <w:lang w:val="en-US" w:eastAsia="zh-CN" w:bidi="ar"/>
              </w:rPr>
              <w:t>+</w:t>
            </w:r>
            <w:r>
              <w:rPr>
                <w:rFonts w:hint="eastAsia" w:ascii="宋体" w:hAnsi="宋体" w:eastAsia="宋体" w:cs="宋体"/>
                <w:color w:val="000000"/>
                <w:kern w:val="0"/>
                <w:sz w:val="23"/>
                <w:szCs w:val="23"/>
                <w:lang w:val="en-US" w:eastAsia="zh-CN" w:bidi="ar"/>
              </w:rPr>
              <w:t>邻二苯</w:t>
            </w:r>
            <w:r>
              <w:rPr>
                <w:rFonts w:hint="default" w:ascii="Times New Roman" w:hAnsi="Times New Roman" w:eastAsia="宋体" w:cs="Times New Roman"/>
                <w:color w:val="000000"/>
                <w:kern w:val="0"/>
                <w:sz w:val="23"/>
                <w:szCs w:val="23"/>
                <w:lang w:val="en-US" w:eastAsia="zh-CN" w:bidi="ar"/>
              </w:rPr>
              <w:t>:</w:t>
            </w:r>
            <w:r>
              <w:rPr>
                <w:rFonts w:hint="eastAsia" w:ascii="Times New Roman" w:hAnsi="Times New Roman" w:eastAsia="宋体" w:cs="Times New Roman"/>
                <w:color w:val="000000"/>
                <w:kern w:val="0"/>
                <w:sz w:val="23"/>
                <w:szCs w:val="23"/>
                <w:lang w:val="en-US" w:eastAsia="zh-CN" w:bidi="ar"/>
              </w:rPr>
              <w:t>0.2</w:t>
            </w:r>
          </w:p>
          <w:p>
            <w:pPr>
              <w:keepNext w:val="0"/>
              <w:keepLines w:val="0"/>
              <w:widowControl/>
              <w:suppressLineNumbers w:val="0"/>
              <w:ind w:left="0" w:leftChars="0" w:firstLine="0" w:firstLineChars="0"/>
              <w:jc w:val="left"/>
              <w:rPr>
                <w:rFonts w:hint="eastAsia" w:ascii="Times New Roman" w:hAnsi="Times New Roman" w:eastAsia="宋体" w:cs="Times New Roman"/>
                <w:color w:val="000000"/>
                <w:kern w:val="0"/>
                <w:sz w:val="21"/>
                <w:szCs w:val="21"/>
                <w:lang w:val="en-US" w:eastAsia="zh-CN"/>
              </w:rPr>
            </w:pPr>
            <w:r>
              <w:rPr>
                <w:rFonts w:hint="eastAsia" w:ascii="宋体" w:hAnsi="宋体" w:eastAsia="宋体" w:cs="宋体"/>
                <w:color w:val="000000"/>
                <w:kern w:val="0"/>
                <w:sz w:val="23"/>
                <w:szCs w:val="23"/>
                <w:lang w:val="en-US" w:eastAsia="zh-CN" w:bidi="ar"/>
              </w:rPr>
              <w:t>（</w:t>
            </w:r>
            <w:r>
              <w:rPr>
                <w:rFonts w:hint="default" w:ascii="Times New Roman" w:hAnsi="Times New Roman" w:eastAsia="宋体" w:cs="Times New Roman"/>
                <w:color w:val="000000"/>
                <w:kern w:val="0"/>
                <w:sz w:val="23"/>
                <w:szCs w:val="23"/>
                <w:lang w:val="en-US" w:eastAsia="zh-CN" w:bidi="ar"/>
              </w:rPr>
              <w:t>mg/m</w:t>
            </w:r>
            <w:r>
              <w:rPr>
                <w:rFonts w:hint="default" w:ascii="Times New Roman" w:hAnsi="Times New Roman" w:eastAsia="宋体" w:cs="Times New Roman"/>
                <w:color w:val="000000"/>
                <w:kern w:val="0"/>
                <w:sz w:val="14"/>
                <w:szCs w:val="14"/>
                <w:lang w:val="en-US" w:eastAsia="zh-CN" w:bidi="ar"/>
              </w:rPr>
              <w:t>3</w:t>
            </w:r>
            <w:r>
              <w:rPr>
                <w:rFonts w:hint="eastAsia" w:ascii="宋体" w:hAnsi="宋体" w:eastAsia="宋体" w:cs="宋体"/>
                <w:color w:val="000000"/>
                <w:kern w:val="0"/>
                <w:sz w:val="23"/>
                <w:szCs w:val="23"/>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bookmarkStart w:id="45" w:name="_Toc533166994"/>
            <w:r>
              <w:rPr>
                <w:rFonts w:hint="eastAsia"/>
                <w:b w:val="0"/>
                <w:bCs/>
                <w:sz w:val="21"/>
                <w:szCs w:val="21"/>
                <w:lang w:val="en-US" w:eastAsia="zh-CN"/>
              </w:rPr>
              <w:t>14</w:t>
            </w:r>
          </w:p>
        </w:tc>
        <w:tc>
          <w:tcPr>
            <w:tcW w:w="40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噪声</w:t>
            </w:r>
          </w:p>
        </w:tc>
        <w:tc>
          <w:tcPr>
            <w:tcW w:w="614"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厂界环境</w:t>
            </w:r>
          </w:p>
          <w:p>
            <w:pPr>
              <w:ind w:left="0" w:leftChars="0" w:firstLine="0" w:firstLineChars="0"/>
              <w:jc w:val="center"/>
              <w:rPr>
                <w:rFonts w:hint="eastAsia"/>
                <w:b w:val="0"/>
                <w:bCs/>
                <w:sz w:val="21"/>
                <w:szCs w:val="21"/>
                <w:lang w:val="en-US" w:eastAsia="zh-CN"/>
              </w:rPr>
            </w:pPr>
            <w:r>
              <w:rPr>
                <w:rFonts w:hint="eastAsia" w:ascii="Times New Roman" w:hAnsi="Times New Roman" w:eastAsia="宋体" w:cs="Times New Roman"/>
                <w:color w:val="000000"/>
                <w:kern w:val="0"/>
                <w:sz w:val="21"/>
                <w:szCs w:val="21"/>
                <w:lang w:val="en-US" w:eastAsia="zh-CN"/>
              </w:rPr>
              <w:t>噪声</w:t>
            </w:r>
          </w:p>
        </w:tc>
        <w:tc>
          <w:tcPr>
            <w:tcW w:w="1553"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both"/>
              <w:rPr>
                <w:rFonts w:hint="default" w:ascii="Times New Roman" w:hAnsi="Times New Roman" w:eastAsia="宋体" w:cs="Times New Roman"/>
                <w:color w:val="000000"/>
                <w:kern w:val="0"/>
                <w:sz w:val="21"/>
                <w:szCs w:val="21"/>
                <w:lang w:val="en-US" w:eastAsia="zh-CN"/>
              </w:rPr>
            </w:pPr>
            <w:r>
              <w:rPr>
                <w:rFonts w:hint="default" w:ascii="Times New Roman" w:hAnsi="Times New Roman" w:cs="Times New Roman"/>
                <w:color w:val="000000"/>
                <w:kern w:val="0"/>
                <w:sz w:val="21"/>
                <w:szCs w:val="21"/>
                <w:lang w:eastAsia="zh-CN"/>
              </w:rPr>
              <w:t>工业企业厂界环境噪声排放标准GB 12348-2008</w:t>
            </w:r>
          </w:p>
        </w:tc>
        <w:tc>
          <w:tcPr>
            <w:tcW w:w="1330" w:type="pct"/>
            <w:vMerge w:val="restart"/>
            <w:tcBorders>
              <w:top w:val="single" w:color="auto" w:sz="4" w:space="0"/>
              <w:left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声校准器/AWA6022A型</w:t>
            </w:r>
            <w:r>
              <w:rPr>
                <w:rFonts w:hint="eastAsia" w:ascii="Times New Roman" w:hAnsi="Times New Roman" w:eastAsia="宋体" w:cs="Times New Roman"/>
                <w:color w:val="000000"/>
                <w:kern w:val="0"/>
                <w:sz w:val="21"/>
                <w:szCs w:val="21"/>
                <w:lang w:val="en-US" w:eastAsia="zh-CN"/>
              </w:rPr>
              <w:t>、多功能声级计/AWA5688、</w:t>
            </w:r>
            <w:r>
              <w:rPr>
                <w:rFonts w:hint="default" w:ascii="Times New Roman" w:hAnsi="Times New Roman" w:eastAsia="宋体" w:cs="Times New Roman"/>
                <w:color w:val="000000"/>
                <w:kern w:val="0"/>
                <w:sz w:val="21"/>
                <w:szCs w:val="21"/>
                <w:lang w:val="en-US" w:eastAsia="zh-CN"/>
              </w:rPr>
              <w:t>便携式风向风速仪PLC-16025</w:t>
            </w:r>
          </w:p>
        </w:tc>
        <w:tc>
          <w:tcPr>
            <w:tcW w:w="837" w:type="pct"/>
            <w:tcBorders>
              <w:top w:val="single" w:color="auto" w:sz="4" w:space="0"/>
              <w:left w:val="single" w:color="auto" w:sz="4"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exact"/>
        </w:trPr>
        <w:tc>
          <w:tcPr>
            <w:tcW w:w="262"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w:t>
            </w:r>
          </w:p>
        </w:tc>
        <w:tc>
          <w:tcPr>
            <w:tcW w:w="40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614"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环境噪声</w:t>
            </w:r>
          </w:p>
        </w:tc>
        <w:tc>
          <w:tcPr>
            <w:tcW w:w="1553" w:type="pct"/>
            <w:tcBorders>
              <w:top w:val="single" w:color="auto" w:sz="4" w:space="0"/>
              <w:left w:val="single" w:color="auto" w:sz="4" w:space="0"/>
              <w:bottom w:val="single" w:color="auto" w:sz="4" w:space="0"/>
              <w:right w:val="single" w:color="auto" w:sz="4" w:space="0"/>
            </w:tcBorders>
            <w:vAlign w:val="center"/>
          </w:tcPr>
          <w:p>
            <w:pPr>
              <w:jc w:val="both"/>
              <w:rPr>
                <w:rFonts w:hint="default" w:ascii="Times New Roman" w:hAnsi="Times New Roman" w:cs="Times New Roman"/>
                <w:color w:val="000000"/>
                <w:kern w:val="0"/>
                <w:sz w:val="21"/>
                <w:szCs w:val="21"/>
                <w:lang w:eastAsia="zh-CN"/>
              </w:rPr>
            </w:pPr>
            <w:r>
              <w:rPr>
                <w:rFonts w:hint="default" w:ascii="Times New Roman" w:hAnsi="Times New Roman" w:cs="Times New Roman"/>
                <w:color w:val="000000"/>
                <w:kern w:val="0"/>
                <w:sz w:val="21"/>
                <w:szCs w:val="21"/>
                <w:lang w:eastAsia="zh-CN"/>
              </w:rPr>
              <w:t>声环境质量标准</w:t>
            </w:r>
          </w:p>
          <w:p>
            <w:pPr>
              <w:jc w:val="both"/>
              <w:rPr>
                <w:rFonts w:hint="default" w:ascii="Times New Roman" w:hAnsi="Times New Roman" w:cs="Times New Roman"/>
                <w:color w:val="000000"/>
                <w:kern w:val="0"/>
                <w:sz w:val="21"/>
                <w:szCs w:val="21"/>
                <w:lang w:eastAsia="zh-CN"/>
              </w:rPr>
            </w:pPr>
            <w:r>
              <w:rPr>
                <w:rFonts w:hint="default" w:ascii="Times New Roman" w:hAnsi="Times New Roman" w:cs="Times New Roman"/>
                <w:color w:val="000000"/>
                <w:kern w:val="0"/>
                <w:sz w:val="21"/>
                <w:szCs w:val="21"/>
                <w:lang w:eastAsia="zh-CN"/>
              </w:rPr>
              <w:t>GB 3096-2008</w:t>
            </w:r>
          </w:p>
        </w:tc>
        <w:tc>
          <w:tcPr>
            <w:tcW w:w="1330" w:type="pct"/>
            <w:vMerge w:val="continue"/>
            <w:tcBorders>
              <w:left w:val="single" w:color="auto" w:sz="4" w:space="0"/>
              <w:bottom w:val="single" w:color="auto" w:sz="4" w:space="0"/>
              <w:right w:val="single" w:color="auto" w:sz="4" w:space="0"/>
            </w:tcBorders>
            <w:vAlign w:val="center"/>
          </w:tcPr>
          <w:p>
            <w:pPr>
              <w:spacing w:line="240" w:lineRule="auto"/>
              <w:ind w:left="0" w:leftChars="0" w:firstLine="0" w:firstLineChars="0"/>
              <w:jc w:val="both"/>
              <w:rPr>
                <w:rFonts w:hint="eastAsia" w:ascii="Times New Roman" w:hAnsi="Times New Roman" w:eastAsia="宋体" w:cs="Times New Roman"/>
                <w:color w:val="000000"/>
                <w:kern w:val="0"/>
                <w:sz w:val="21"/>
                <w:szCs w:val="21"/>
                <w:lang w:val="en-US" w:eastAsia="zh-CN"/>
              </w:rPr>
            </w:pPr>
          </w:p>
        </w:tc>
        <w:tc>
          <w:tcPr>
            <w:tcW w:w="837" w:type="pct"/>
            <w:tcBorders>
              <w:left w:val="single" w:color="auto" w:sz="4" w:space="0"/>
              <w:bottom w:val="single" w:color="auto" w:sz="4" w:space="0"/>
              <w:right w:val="single" w:color="auto" w:sz="4" w:space="0"/>
            </w:tcBorders>
            <w:vAlign w:val="center"/>
          </w:tcPr>
          <w:p>
            <w:pPr>
              <w:spacing w:line="240" w:lineRule="auto"/>
              <w:ind w:left="0" w:leftChars="0" w:firstLine="0" w:firstLineChars="0"/>
              <w:jc w:val="center"/>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w:t>
            </w:r>
          </w:p>
        </w:tc>
      </w:tr>
    </w:tbl>
    <w:p>
      <w:pPr>
        <w:pStyle w:val="62"/>
        <w:ind w:left="0" w:leftChars="0" w:firstLine="0" w:firstLineChars="0"/>
      </w:pPr>
      <w:bookmarkStart w:id="46" w:name="_Toc26044"/>
      <w:r>
        <w:t>8.</w:t>
      </w:r>
      <w:r>
        <w:rPr>
          <w:rFonts w:hint="eastAsia"/>
          <w:lang w:val="en-US" w:eastAsia="zh-CN"/>
        </w:rPr>
        <w:t>2</w:t>
      </w:r>
      <w:r>
        <w:t xml:space="preserve"> 人员能力</w:t>
      </w:r>
      <w:bookmarkEnd w:id="45"/>
      <w:bookmarkEnd w:id="46"/>
      <w:r>
        <w:t xml:space="preserve"> </w:t>
      </w:r>
    </w:p>
    <w:p>
      <w:pPr>
        <w:ind w:firstLine="480"/>
        <w:rPr>
          <w:lang w:val="zh-CN"/>
        </w:rPr>
      </w:pPr>
      <w:r>
        <w:rPr>
          <w:lang w:val="zh-CN"/>
        </w:rPr>
        <w:t>参加验收监测人员均持有环境检测上岗证，且已通过相应检测项目。</w:t>
      </w:r>
    </w:p>
    <w:p>
      <w:pPr>
        <w:ind w:firstLine="480"/>
        <w:rPr>
          <w:rFonts w:ascii="Times New Roman" w:hAnsi="Times New Roman" w:cs="Times New Roman"/>
          <w:lang w:val="zh-CN"/>
        </w:rPr>
      </w:pPr>
      <w:r>
        <w:drawing>
          <wp:inline distT="0" distB="0" distL="114300" distR="114300">
            <wp:extent cx="5297170" cy="7379335"/>
            <wp:effectExtent l="0" t="0" r="17780" b="12065"/>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33"/>
                    <a:stretch>
                      <a:fillRect/>
                    </a:stretch>
                  </pic:blipFill>
                  <pic:spPr>
                    <a:xfrm>
                      <a:off x="0" y="0"/>
                      <a:ext cx="5297170" cy="7379335"/>
                    </a:xfrm>
                    <a:prstGeom prst="rect">
                      <a:avLst/>
                    </a:prstGeom>
                    <a:noFill/>
                    <a:ln>
                      <a:noFill/>
                    </a:ln>
                  </pic:spPr>
                </pic:pic>
              </a:graphicData>
            </a:graphic>
          </wp:inline>
        </w:drawing>
      </w:r>
    </w:p>
    <w:p>
      <w:pPr>
        <w:pStyle w:val="62"/>
        <w:ind w:left="0" w:leftChars="0" w:firstLine="0" w:firstLineChars="0"/>
      </w:pPr>
      <w:bookmarkStart w:id="47" w:name="_Toc533166995"/>
      <w:bookmarkStart w:id="48" w:name="_Toc16333"/>
      <w:r>
        <w:t>8.</w:t>
      </w:r>
      <w:r>
        <w:rPr>
          <w:rFonts w:hint="eastAsia"/>
          <w:lang w:val="en-US" w:eastAsia="zh-CN"/>
        </w:rPr>
        <w:t>3</w:t>
      </w:r>
      <w:r>
        <w:t xml:space="preserve"> 水质监测分析过程中的质量保证和质量控制</w:t>
      </w:r>
      <w:bookmarkEnd w:id="47"/>
      <w:bookmarkEnd w:id="48"/>
    </w:p>
    <w:p>
      <w:pPr>
        <w:ind w:firstLine="480"/>
      </w:pPr>
      <w:r>
        <w:t>（1）监测前质控措施</w:t>
      </w:r>
    </w:p>
    <w:p>
      <w:pPr>
        <w:ind w:firstLine="480"/>
      </w:pPr>
      <w:r>
        <w:t>为保证监测分析结果的准确可靠，监测所用分析方法优先选用国标分析方法；在监测期间，样品采集、运输、保存严格按照国家标准和《环境水质监测质量保证手册》的技术要求进行，每批样品分析的同时做空白实验，质控样品或平行双样、密码样等，质控样品量达到每批分析样品量的10%以上，质控数据合格；所用监测仪器均经过计量部门检定，且在有效使用期内；监测人员持证上岗；监测数据均经三级审核。</w:t>
      </w:r>
    </w:p>
    <w:p>
      <w:pPr>
        <w:ind w:firstLine="480"/>
      </w:pPr>
      <w:r>
        <w:t>（2）监测中质控措施</w:t>
      </w:r>
    </w:p>
    <w:p>
      <w:pPr>
        <w:ind w:firstLine="480"/>
      </w:pPr>
      <w:r>
        <w:t>水样的采集、运输、保存、实验室分析和数据计算的全过程均按照《环境水质监测质量保证手册》（第四版）的要求进行。</w:t>
      </w:r>
    </w:p>
    <w:p>
      <w:pPr>
        <w:ind w:firstLine="480"/>
      </w:pPr>
      <w:r>
        <w:t>1）水样采集按质控方案对各点采样频次、样品采集量的要求完成。</w:t>
      </w:r>
    </w:p>
    <w:p>
      <w:pPr>
        <w:ind w:firstLine="480"/>
      </w:pPr>
      <w:r>
        <w:t>2）水样按各分析项目要求在现场加固定剂，保证样品运输条件、所采样品在保存时间内到达实验室及时分析。</w:t>
      </w:r>
    </w:p>
    <w:p>
      <w:pPr>
        <w:ind w:firstLine="480"/>
      </w:pPr>
      <w:r>
        <w:t>3）所采样品在现场保存期间，设置专用保存间，并由质控负责人专人进行上锁管理。</w:t>
      </w:r>
    </w:p>
    <w:p>
      <w:pPr>
        <w:ind w:firstLine="480"/>
      </w:pPr>
      <w:r>
        <w:t xml:space="preserve">4）按不少于所采集总样品数的 10%的比例采取密码平行样。 </w:t>
      </w:r>
    </w:p>
    <w:p>
      <w:pPr>
        <w:pStyle w:val="62"/>
        <w:ind w:left="0" w:leftChars="0" w:firstLine="0" w:firstLineChars="0"/>
      </w:pPr>
      <w:bookmarkStart w:id="49" w:name="_Toc533166996"/>
      <w:bookmarkStart w:id="50" w:name="_Toc11840"/>
      <w:r>
        <w:t>8.</w:t>
      </w:r>
      <w:r>
        <w:rPr>
          <w:rFonts w:hint="eastAsia"/>
          <w:lang w:val="en-US" w:eastAsia="zh-CN"/>
        </w:rPr>
        <w:t>4</w:t>
      </w:r>
      <w:r>
        <w:t xml:space="preserve"> 气体监测分析过程中的质量保证和质量控制</w:t>
      </w:r>
      <w:bookmarkEnd w:id="49"/>
      <w:bookmarkEnd w:id="50"/>
    </w:p>
    <w:p>
      <w:pPr>
        <w:ind w:firstLine="480"/>
      </w:pPr>
      <w:r>
        <w:t>（1）监测前质控措施</w:t>
      </w:r>
    </w:p>
    <w:p>
      <w:pPr>
        <w:ind w:firstLine="480"/>
      </w:pPr>
      <w:r>
        <w:t>废气监测的质量保证按照国家环保局发布的《环境监测技术规范》要求进行全过程质量控制。采样器在采样前对流量计进行校准，烟气采集方法和采气量严格按照《固定污染源排气中颗粒物测定与气态污染物采样方法》（ GB/T16157-1996）执行。监测仪器经计量部门检验并在有效期内使用，监测人员持证上岗，监测数据经三级审核。烟气成份测试仪器测量前均经标准气体校准。</w:t>
      </w:r>
    </w:p>
    <w:p>
      <w:pPr>
        <w:ind w:firstLine="480"/>
      </w:pPr>
      <w:r>
        <w:t>1、现场监测前，制定现场监测质控方案，并由质控室派专人进行现场质控。</w:t>
      </w:r>
    </w:p>
    <w:p>
      <w:pPr>
        <w:ind w:firstLine="480"/>
      </w:pPr>
      <w:r>
        <w:t xml:space="preserve">2、烟尘采样器、烟气分析仪、噪声仪，具有现场测试数据打印功能。 </w:t>
      </w:r>
    </w:p>
    <w:p>
      <w:pPr>
        <w:ind w:firstLine="480"/>
      </w:pPr>
      <w:r>
        <w:t>3、烟尘采样仪在进入现场前应对采样仪流量计、流速计等进行校核。烟气监测（分析）仪器在测试前按监测因子分别用标准气体和流量计对其进行校核（标定）。</w:t>
      </w:r>
    </w:p>
    <w:p>
      <w:pPr>
        <w:ind w:firstLine="480"/>
      </w:pPr>
      <w:r>
        <w:t>4、大气采样仪在进入现场前应对采样仪流量计、仪器内置的温度、压力等参数进行校核。</w:t>
      </w:r>
    </w:p>
    <w:p>
      <w:pPr>
        <w:ind w:firstLine="480"/>
      </w:pPr>
      <w:r>
        <w:t>5、进入现场的气象因素测量仪器需满足测量要求，且在计量检定周期内。</w:t>
      </w:r>
    </w:p>
    <w:p>
      <w:pPr>
        <w:ind w:firstLine="480"/>
      </w:pPr>
      <w:r>
        <w:t>（2）监测中质控措施</w:t>
      </w:r>
    </w:p>
    <w:p>
      <w:pPr>
        <w:ind w:firstLine="480"/>
      </w:pPr>
      <w:r>
        <w:t>1、无组织废气在现场采样、测试时，按各监测项目质控要求，采集一定数量的现场空白样品。</w:t>
      </w:r>
    </w:p>
    <w:p>
      <w:pPr>
        <w:ind w:firstLine="480"/>
      </w:pPr>
      <w:r>
        <w:t>2、无组织废气在现场监测时，应按当地风向变化及时调整监控点和参照点位置，在现场采样时段同时测量气象因素。</w:t>
      </w:r>
    </w:p>
    <w:p>
      <w:pPr>
        <w:ind w:firstLine="480"/>
      </w:pPr>
      <w:r>
        <w:t>3、监测人员进行煤样现场采取，并进行保密编号。</w:t>
      </w:r>
    </w:p>
    <w:p>
      <w:pPr>
        <w:ind w:firstLine="480"/>
      </w:pPr>
      <w:r>
        <w:t>（3）监测后质控措施</w:t>
      </w:r>
    </w:p>
    <w:p>
      <w:pPr>
        <w:ind w:firstLine="480"/>
      </w:pPr>
      <w:r>
        <w:t>1、监测后数据采取三级审核制，密码样由质控室专人负责保管；监测数据统一由质控室审核、出具。</w:t>
      </w:r>
    </w:p>
    <w:p>
      <w:pPr>
        <w:ind w:firstLine="480"/>
      </w:pPr>
      <w:r>
        <w:t xml:space="preserve">2、监测数据未正式出具前，不以任何方式告知被监测方。 </w:t>
      </w:r>
    </w:p>
    <w:p>
      <w:pPr>
        <w:pStyle w:val="62"/>
        <w:ind w:left="0" w:leftChars="0" w:firstLine="0" w:firstLineChars="0"/>
      </w:pPr>
      <w:bookmarkStart w:id="51" w:name="_Toc20647"/>
      <w:bookmarkStart w:id="52" w:name="_Toc533166997"/>
      <w:r>
        <w:t>8.</w:t>
      </w:r>
      <w:r>
        <w:rPr>
          <w:rFonts w:hint="eastAsia"/>
          <w:lang w:val="en-US" w:eastAsia="zh-CN"/>
        </w:rPr>
        <w:t>5</w:t>
      </w:r>
      <w:r>
        <w:t xml:space="preserve"> 噪声监测分析过程中的质量保证和质量控制</w:t>
      </w:r>
      <w:bookmarkEnd w:id="51"/>
      <w:bookmarkEnd w:id="52"/>
    </w:p>
    <w:p>
      <w:pPr>
        <w:ind w:firstLine="480"/>
        <w:sectPr>
          <w:pgSz w:w="11906" w:h="16838"/>
          <w:pgMar w:top="1134" w:right="1247" w:bottom="1134" w:left="1417" w:header="851" w:footer="992" w:gutter="0"/>
          <w:cols w:space="425" w:num="1"/>
          <w:docGrid w:type="lines" w:linePitch="312" w:charSpace="0"/>
        </w:sectPr>
      </w:pPr>
      <w:r>
        <w:t xml:space="preserve">厂 界 噪 声 监 测 依 据 《 工 业 企 业 厂 界 环 境 噪 声 排 放 标 准 》（ GB12348-2008）中相应要求进行。质量控制执行国家环保部《环境监测技术规范》有关噪声部分，声级计测量前后均进行校准。 </w:t>
      </w:r>
    </w:p>
    <w:p>
      <w:pPr>
        <w:pStyle w:val="42"/>
      </w:pPr>
      <w:bookmarkStart w:id="53" w:name="_Toc13600"/>
      <w:r>
        <w:t>9</w:t>
      </w:r>
      <w:r>
        <w:rPr>
          <w:rFonts w:hint="eastAsia"/>
        </w:rPr>
        <w:t xml:space="preserve"> 验收监测结果及分析评价</w:t>
      </w:r>
      <w:bookmarkEnd w:id="53"/>
    </w:p>
    <w:p>
      <w:pPr>
        <w:ind w:firstLine="480"/>
      </w:pPr>
      <w:r>
        <w:t>此次验收监测是对</w:t>
      </w:r>
      <w:r>
        <w:rPr>
          <w:rFonts w:hint="eastAsia"/>
        </w:rPr>
        <w:t>安徽新邦机械制造有限公司年产10000吨机械加工生产项目</w:t>
      </w:r>
      <w:r>
        <w:rPr>
          <w:rFonts w:hint="eastAsia"/>
          <w:lang w:val="en-US" w:eastAsia="zh-CN"/>
        </w:rPr>
        <w:t>机加工、手动喷涂</w:t>
      </w:r>
      <w:r>
        <w:rPr>
          <w:rFonts w:eastAsia="宋体"/>
          <w:kern w:val="0"/>
        </w:rPr>
        <w:t>及配套</w:t>
      </w:r>
      <w:r>
        <w:t>环保设施的建设、运行和环境管理进行全面考核，对环保设施的处理效果进行</w:t>
      </w:r>
      <w:r>
        <w:rPr>
          <w:rFonts w:hint="eastAsia"/>
        </w:rPr>
        <w:t>检验</w:t>
      </w:r>
      <w:r>
        <w:t>，对排放的主要污染物进行监测，以检查是否达到国家规定的各类污染物的排放标准</w:t>
      </w:r>
      <w:r>
        <w:rPr>
          <w:rFonts w:hint="eastAsia"/>
        </w:rPr>
        <w:t>，</w:t>
      </w:r>
      <w:r>
        <w:t>各种污染防治设施是否落实并达到环评要求和预期效果</w:t>
      </w:r>
      <w:r>
        <w:rPr>
          <w:rFonts w:hint="eastAsia"/>
        </w:rPr>
        <w:t>，并监测</w:t>
      </w:r>
      <w:r>
        <w:t>该项目投产后对周围环境产生的影响。</w:t>
      </w:r>
    </w:p>
    <w:p>
      <w:pPr>
        <w:pStyle w:val="62"/>
        <w:ind w:firstLine="643"/>
      </w:pPr>
      <w:bookmarkStart w:id="54" w:name="_Toc9689"/>
      <w:bookmarkStart w:id="55" w:name="_Toc533166999"/>
      <w:r>
        <w:t>9.1 验收监测期间工况</w:t>
      </w:r>
      <w:bookmarkEnd w:id="54"/>
      <w:bookmarkEnd w:id="55"/>
      <w:r>
        <w:t xml:space="preserve"> </w:t>
      </w:r>
    </w:p>
    <w:p>
      <w:pPr>
        <w:ind w:firstLine="480"/>
      </w:pPr>
      <w:r>
        <w:t>根据</w:t>
      </w:r>
      <w:r>
        <w:rPr>
          <w:rFonts w:hint="eastAsia"/>
        </w:rPr>
        <w:t>安徽新邦机械制造有限公司年产10000吨机械加工生产项目</w:t>
      </w:r>
      <w:r>
        <w:t>生产的实际情况，</w:t>
      </w:r>
    </w:p>
    <w:p>
      <w:pPr>
        <w:ind w:left="0" w:leftChars="0" w:firstLine="0" w:firstLineChars="0"/>
      </w:pPr>
      <w:r>
        <w:rPr>
          <w:rFonts w:hint="eastAsia"/>
          <w:lang w:eastAsia="zh-CN"/>
        </w:rPr>
        <w:t>安徽鑫程检测科技</w:t>
      </w:r>
      <w:r>
        <w:rPr>
          <w:rFonts w:hint="eastAsia"/>
        </w:rPr>
        <w:t>有限公司</w:t>
      </w:r>
      <w:r>
        <w:t>于202</w:t>
      </w:r>
      <w:r>
        <w:rPr>
          <w:rFonts w:hint="eastAsia"/>
          <w:lang w:val="en-US" w:eastAsia="zh-CN"/>
        </w:rPr>
        <w:t>4</w:t>
      </w:r>
      <w:r>
        <w:t>年</w:t>
      </w:r>
      <w:r>
        <w:rPr>
          <w:rFonts w:hint="eastAsia"/>
          <w:lang w:val="en-US" w:eastAsia="zh-CN"/>
        </w:rPr>
        <w:t>1</w:t>
      </w:r>
      <w:r>
        <w:t>月</w:t>
      </w:r>
      <w:r>
        <w:rPr>
          <w:rFonts w:hint="eastAsia"/>
          <w:lang w:val="en-US" w:eastAsia="zh-CN"/>
        </w:rPr>
        <w:t>9</w:t>
      </w:r>
      <w:r>
        <w:t>日</w:t>
      </w:r>
      <w:r>
        <w:rPr>
          <w:rFonts w:eastAsia="宋体"/>
        </w:rPr>
        <w:t>~</w:t>
      </w:r>
      <w:r>
        <w:rPr>
          <w:rFonts w:hint="eastAsia" w:eastAsia="宋体"/>
          <w:lang w:val="en-US" w:eastAsia="zh-CN"/>
        </w:rPr>
        <w:t>10</w:t>
      </w:r>
      <w:r>
        <w:t>日</w:t>
      </w:r>
      <w:r>
        <w:rPr>
          <w:rFonts w:hint="eastAsia"/>
        </w:rPr>
        <w:t>入场</w:t>
      </w:r>
      <w:r>
        <w:t>进行了验收监测。监测期间生产正常，生产工况稳定，</w:t>
      </w:r>
      <w:r>
        <w:rPr>
          <w:rFonts w:hint="eastAsia"/>
        </w:rPr>
        <w:t>配套的环保设施均正常运行</w:t>
      </w:r>
      <w:r>
        <w:t>，满足验收监测的要求，监测结果具有代表性。</w:t>
      </w:r>
      <w:r>
        <w:rPr>
          <w:rFonts w:hint="eastAsia"/>
        </w:rPr>
        <w:t>生产工况</w:t>
      </w:r>
      <w:r>
        <w:t>具体如下：</w:t>
      </w:r>
    </w:p>
    <w:p>
      <w:pPr>
        <w:ind w:firstLine="480"/>
        <w:jc w:val="center"/>
        <w:rPr>
          <w:b/>
          <w:bCs/>
        </w:rPr>
      </w:pPr>
      <w:r>
        <w:rPr>
          <w:b/>
          <w:bCs/>
        </w:rPr>
        <w:t>表9.1-1  验收期间生产工况一览表</w:t>
      </w:r>
    </w:p>
    <w:tbl>
      <w:tblPr>
        <w:tblStyle w:val="43"/>
        <w:tblW w:w="4996" w:type="pct"/>
        <w:jc w:val="center"/>
        <w:tblLayout w:type="autofit"/>
        <w:tblCellMar>
          <w:top w:w="15" w:type="dxa"/>
          <w:left w:w="15" w:type="dxa"/>
          <w:bottom w:w="15" w:type="dxa"/>
          <w:right w:w="15" w:type="dxa"/>
        </w:tblCellMar>
      </w:tblPr>
      <w:tblGrid>
        <w:gridCol w:w="618"/>
        <w:gridCol w:w="2564"/>
        <w:gridCol w:w="1869"/>
        <w:gridCol w:w="2099"/>
        <w:gridCol w:w="2115"/>
      </w:tblGrid>
      <w:tr>
        <w:tblPrEx>
          <w:tblCellMar>
            <w:top w:w="15" w:type="dxa"/>
            <w:left w:w="15" w:type="dxa"/>
            <w:bottom w:w="15" w:type="dxa"/>
            <w:right w:w="15" w:type="dxa"/>
          </w:tblCellMar>
        </w:tblPrEx>
        <w:trPr>
          <w:trHeight w:val="340" w:hRule="exact"/>
          <w:jc w:val="center"/>
        </w:trPr>
        <w:tc>
          <w:tcPr>
            <w:tcW w:w="334" w:type="pct"/>
            <w:tcBorders>
              <w:top w:val="single" w:color="000000" w:sz="4" w:space="0"/>
              <w:left w:val="single" w:color="000000" w:sz="4" w:space="0"/>
              <w:bottom w:val="single" w:color="000000" w:sz="4" w:space="0"/>
              <w:right w:val="single" w:color="000000" w:sz="4" w:space="0"/>
            </w:tcBorders>
            <w:shd w:val="clear" w:color="auto" w:fill="auto"/>
            <w:vAlign w:val="center"/>
          </w:tcPr>
          <w:p>
            <w:pPr>
              <w:ind w:left="0" w:leftChars="0" w:firstLine="0" w:firstLineChars="0"/>
              <w:rPr>
                <w:rFonts w:hint="default" w:ascii="Times New Roman" w:hAnsi="Times New Roman" w:cs="Times New Roman"/>
              </w:rPr>
            </w:pPr>
            <w:r>
              <w:rPr>
                <w:rFonts w:hint="default" w:ascii="Times New Roman" w:hAnsi="Times New Roman" w:cs="Times New Roman"/>
                <w:kern w:val="0"/>
              </w:rPr>
              <w:t>序号</w:t>
            </w:r>
          </w:p>
        </w:tc>
        <w:tc>
          <w:tcPr>
            <w:tcW w:w="1383" w:type="pct"/>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80"/>
              <w:rPr>
                <w:rFonts w:hint="default" w:ascii="Times New Roman" w:hAnsi="Times New Roman" w:cs="Times New Roman"/>
              </w:rPr>
            </w:pPr>
            <w:r>
              <w:rPr>
                <w:rFonts w:hint="default" w:ascii="Times New Roman" w:hAnsi="Times New Roman" w:cs="Times New Roman"/>
                <w:kern w:val="0"/>
              </w:rPr>
              <w:t>产品名称</w:t>
            </w:r>
          </w:p>
        </w:tc>
        <w:tc>
          <w:tcPr>
            <w:tcW w:w="1008" w:type="pct"/>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80"/>
              <w:rPr>
                <w:rFonts w:hint="default" w:ascii="Times New Roman" w:hAnsi="Times New Roman" w:cs="Times New Roman"/>
              </w:rPr>
            </w:pPr>
            <w:r>
              <w:rPr>
                <w:rFonts w:hint="default" w:ascii="Times New Roman" w:hAnsi="Times New Roman" w:cs="Times New Roman"/>
                <w:kern w:val="0"/>
              </w:rPr>
              <w:t>设计产量</w:t>
            </w:r>
          </w:p>
        </w:tc>
        <w:tc>
          <w:tcPr>
            <w:tcW w:w="2273" w:type="pct"/>
            <w:gridSpan w:val="2"/>
            <w:tcBorders>
              <w:top w:val="single" w:color="000000" w:sz="4" w:space="0"/>
              <w:left w:val="single" w:color="000000" w:sz="4" w:space="0"/>
              <w:bottom w:val="single" w:color="000000" w:sz="4" w:space="0"/>
              <w:right w:val="single" w:color="000000" w:sz="4" w:space="0"/>
            </w:tcBorders>
            <w:vAlign w:val="center"/>
          </w:tcPr>
          <w:p>
            <w:pPr>
              <w:ind w:firstLine="480"/>
              <w:rPr>
                <w:rFonts w:hint="default" w:ascii="Times New Roman" w:hAnsi="Times New Roman" w:cs="Times New Roman"/>
                <w:kern w:val="0"/>
              </w:rPr>
            </w:pPr>
            <w:r>
              <w:rPr>
                <w:rFonts w:hint="default" w:ascii="Times New Roman" w:hAnsi="Times New Roman" w:cs="Times New Roman"/>
                <w:kern w:val="0"/>
              </w:rPr>
              <w:t>验收期间实际产量</w:t>
            </w:r>
          </w:p>
        </w:tc>
      </w:tr>
      <w:tr>
        <w:tblPrEx>
          <w:tblCellMar>
            <w:top w:w="15" w:type="dxa"/>
            <w:left w:w="15" w:type="dxa"/>
            <w:bottom w:w="15" w:type="dxa"/>
            <w:right w:w="15" w:type="dxa"/>
          </w:tblCellMar>
        </w:tblPrEx>
        <w:trPr>
          <w:trHeight w:val="340" w:hRule="exact"/>
          <w:jc w:val="center"/>
        </w:trPr>
        <w:tc>
          <w:tcPr>
            <w:tcW w:w="334" w:type="pct"/>
            <w:vMerge w:val="restart"/>
            <w:tcBorders>
              <w:top w:val="single" w:color="000000" w:sz="4" w:space="0"/>
              <w:left w:val="single" w:color="000000" w:sz="4" w:space="0"/>
              <w:right w:val="single" w:color="000000" w:sz="4" w:space="0"/>
            </w:tcBorders>
            <w:shd w:val="clear" w:color="auto" w:fill="auto"/>
            <w:vAlign w:val="center"/>
          </w:tcPr>
          <w:p>
            <w:pPr>
              <w:ind w:left="0" w:leftChars="0" w:firstLine="240" w:firstLineChars="100"/>
              <w:rPr>
                <w:rFonts w:hint="default" w:ascii="Times New Roman" w:hAnsi="Times New Roman" w:cs="Times New Roman"/>
                <w:kern w:val="0"/>
              </w:rPr>
            </w:pPr>
            <w:r>
              <w:rPr>
                <w:rFonts w:hint="default" w:ascii="Times New Roman" w:hAnsi="Times New Roman" w:cs="Times New Roman"/>
                <w:kern w:val="0"/>
              </w:rPr>
              <w:t>1</w:t>
            </w:r>
          </w:p>
        </w:tc>
        <w:tc>
          <w:tcPr>
            <w:tcW w:w="1383" w:type="pct"/>
            <w:vMerge w:val="restart"/>
            <w:tcBorders>
              <w:top w:val="single" w:color="000000" w:sz="4" w:space="0"/>
              <w:left w:val="single" w:color="000000" w:sz="4" w:space="0"/>
              <w:right w:val="single" w:color="000000" w:sz="4" w:space="0"/>
            </w:tcBorders>
            <w:shd w:val="clear" w:color="auto" w:fill="auto"/>
            <w:vAlign w:val="center"/>
          </w:tcPr>
          <w:p>
            <w:pPr>
              <w:ind w:left="0" w:leftChars="0" w:firstLine="0" w:firstLineChars="0"/>
              <w:rPr>
                <w:rFonts w:hint="default" w:ascii="Times New Roman" w:hAnsi="Times New Roman" w:eastAsia="宋体" w:cs="Times New Roman"/>
                <w:kern w:val="0"/>
                <w:lang w:val="en-US" w:eastAsia="zh-CN"/>
              </w:rPr>
            </w:pPr>
            <w:r>
              <w:rPr>
                <w:rFonts w:hint="eastAsia" w:ascii="Times New Roman" w:hAnsi="Times New Roman" w:eastAsia="宋体" w:cs="Times New Roman"/>
                <w:kern w:val="0"/>
                <w:lang w:val="en-US" w:eastAsia="zh-CN"/>
              </w:rPr>
              <w:t>钢结构件、机械加工件</w:t>
            </w:r>
          </w:p>
        </w:tc>
        <w:tc>
          <w:tcPr>
            <w:tcW w:w="1008" w:type="pct"/>
            <w:vMerge w:val="restart"/>
            <w:tcBorders>
              <w:top w:val="single" w:color="000000" w:sz="4" w:space="0"/>
              <w:left w:val="single" w:color="000000" w:sz="4" w:space="0"/>
              <w:right w:val="single" w:color="000000" w:sz="4" w:space="0"/>
            </w:tcBorders>
            <w:shd w:val="clear" w:color="auto" w:fill="auto"/>
            <w:vAlign w:val="center"/>
          </w:tcPr>
          <w:p>
            <w:pPr>
              <w:ind w:firstLine="480"/>
              <w:rPr>
                <w:rFonts w:hint="default" w:ascii="Times New Roman" w:hAnsi="Times New Roman" w:cs="Times New Roman" w:eastAsiaTheme="minorEastAsia"/>
                <w:color w:val="000000"/>
                <w:kern w:val="0"/>
                <w:lang w:val="en-US" w:eastAsia="zh-CN"/>
              </w:rPr>
            </w:pPr>
            <w:r>
              <w:rPr>
                <w:rFonts w:hint="eastAsia" w:ascii="Times New Roman" w:hAnsi="Times New Roman" w:cs="Times New Roman"/>
                <w:color w:val="000000"/>
                <w:kern w:val="0"/>
                <w:lang w:val="en-US" w:eastAsia="zh-CN"/>
              </w:rPr>
              <w:t>10000t</w:t>
            </w:r>
          </w:p>
        </w:tc>
        <w:tc>
          <w:tcPr>
            <w:tcW w:w="1132" w:type="pct"/>
            <w:tcBorders>
              <w:top w:val="single" w:color="000000" w:sz="4" w:space="0"/>
              <w:left w:val="single" w:color="000000" w:sz="4" w:space="0"/>
              <w:bottom w:val="single" w:color="000000" w:sz="4" w:space="0"/>
              <w:right w:val="single" w:color="000000" w:sz="4" w:space="0"/>
            </w:tcBorders>
            <w:vAlign w:val="center"/>
          </w:tcPr>
          <w:p>
            <w:pPr>
              <w:ind w:left="0" w:leftChars="0" w:firstLine="0" w:firstLineChars="0"/>
              <w:rPr>
                <w:rFonts w:hint="default" w:ascii="Times New Roman" w:hAnsi="Times New Roman" w:cs="Times New Roman"/>
                <w:kern w:val="0"/>
              </w:rPr>
            </w:pPr>
            <w:r>
              <w:rPr>
                <w:rFonts w:hint="default" w:ascii="Times New Roman" w:hAnsi="Times New Roman" w:cs="Times New Roman"/>
                <w:kern w:val="0"/>
              </w:rPr>
              <w:t>202</w:t>
            </w:r>
            <w:r>
              <w:rPr>
                <w:rFonts w:hint="eastAsia" w:ascii="Times New Roman" w:hAnsi="Times New Roman" w:cs="Times New Roman"/>
                <w:kern w:val="0"/>
                <w:lang w:val="en-US" w:eastAsia="zh-CN"/>
              </w:rPr>
              <w:t>4</w:t>
            </w:r>
            <w:r>
              <w:rPr>
                <w:rFonts w:hint="default" w:ascii="Times New Roman" w:hAnsi="Times New Roman" w:cs="Times New Roman"/>
                <w:kern w:val="0"/>
              </w:rPr>
              <w:t>年</w:t>
            </w:r>
            <w:r>
              <w:rPr>
                <w:rFonts w:hint="eastAsia" w:ascii="Times New Roman" w:hAnsi="Times New Roman" w:cs="Times New Roman"/>
                <w:kern w:val="0"/>
                <w:lang w:val="en-US" w:eastAsia="zh-CN"/>
              </w:rPr>
              <w:t>1</w:t>
            </w:r>
            <w:r>
              <w:rPr>
                <w:rFonts w:hint="default" w:ascii="Times New Roman" w:hAnsi="Times New Roman" w:cs="Times New Roman"/>
                <w:kern w:val="0"/>
              </w:rPr>
              <w:t>月</w:t>
            </w:r>
            <w:r>
              <w:rPr>
                <w:rFonts w:hint="eastAsia" w:ascii="Times New Roman" w:hAnsi="Times New Roman" w:cs="Times New Roman"/>
                <w:kern w:val="0"/>
                <w:lang w:val="en-US" w:eastAsia="zh-CN"/>
              </w:rPr>
              <w:t>9</w:t>
            </w:r>
            <w:r>
              <w:rPr>
                <w:rFonts w:hint="default" w:ascii="Times New Roman" w:hAnsi="Times New Roman" w:cs="Times New Roman"/>
                <w:kern w:val="0"/>
              </w:rPr>
              <w:t>日</w:t>
            </w:r>
          </w:p>
        </w:tc>
        <w:tc>
          <w:tcPr>
            <w:tcW w:w="1141" w:type="pct"/>
            <w:tcBorders>
              <w:top w:val="single" w:color="000000" w:sz="4" w:space="0"/>
              <w:left w:val="single" w:color="000000" w:sz="4" w:space="0"/>
              <w:bottom w:val="single" w:color="000000" w:sz="4" w:space="0"/>
              <w:right w:val="single" w:color="000000" w:sz="4" w:space="0"/>
            </w:tcBorders>
            <w:vAlign w:val="center"/>
          </w:tcPr>
          <w:p>
            <w:pPr>
              <w:ind w:left="0" w:leftChars="0" w:firstLine="0" w:firstLineChars="0"/>
              <w:rPr>
                <w:rFonts w:hint="default" w:ascii="Times New Roman" w:hAnsi="Times New Roman" w:cs="Times New Roman"/>
                <w:kern w:val="0"/>
              </w:rPr>
            </w:pPr>
            <w:r>
              <w:rPr>
                <w:rFonts w:hint="default" w:ascii="Times New Roman" w:hAnsi="Times New Roman" w:cs="Times New Roman"/>
                <w:kern w:val="0"/>
              </w:rPr>
              <w:t>2023年1月</w:t>
            </w:r>
            <w:r>
              <w:rPr>
                <w:rFonts w:hint="eastAsia" w:ascii="Times New Roman" w:hAnsi="Times New Roman" w:cs="Times New Roman"/>
                <w:kern w:val="0"/>
                <w:lang w:val="en-US" w:eastAsia="zh-CN"/>
              </w:rPr>
              <w:t>10</w:t>
            </w:r>
            <w:r>
              <w:rPr>
                <w:rFonts w:hint="default" w:ascii="Times New Roman" w:hAnsi="Times New Roman" w:cs="Times New Roman"/>
                <w:kern w:val="0"/>
              </w:rPr>
              <w:t>日</w:t>
            </w:r>
          </w:p>
        </w:tc>
      </w:tr>
      <w:tr>
        <w:tblPrEx>
          <w:tblCellMar>
            <w:top w:w="15" w:type="dxa"/>
            <w:left w:w="15" w:type="dxa"/>
            <w:bottom w:w="15" w:type="dxa"/>
            <w:right w:w="15" w:type="dxa"/>
          </w:tblCellMar>
        </w:tblPrEx>
        <w:trPr>
          <w:trHeight w:val="340" w:hRule="exact"/>
          <w:jc w:val="center"/>
        </w:trPr>
        <w:tc>
          <w:tcPr>
            <w:tcW w:w="334" w:type="pct"/>
            <w:vMerge w:val="continue"/>
            <w:tcBorders>
              <w:left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p>
        </w:tc>
        <w:tc>
          <w:tcPr>
            <w:tcW w:w="1383" w:type="pct"/>
            <w:vMerge w:val="continue"/>
            <w:tcBorders>
              <w:left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p>
        </w:tc>
        <w:tc>
          <w:tcPr>
            <w:tcW w:w="1008" w:type="pct"/>
            <w:vMerge w:val="continue"/>
            <w:tcBorders>
              <w:left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p>
        </w:tc>
        <w:tc>
          <w:tcPr>
            <w:tcW w:w="1132" w:type="pct"/>
            <w:tcBorders>
              <w:top w:val="single" w:color="000000" w:sz="4" w:space="0"/>
              <w:left w:val="single" w:color="000000" w:sz="4" w:space="0"/>
              <w:bottom w:val="single" w:color="000000" w:sz="4" w:space="0"/>
              <w:right w:val="single" w:color="000000" w:sz="4" w:space="0"/>
            </w:tcBorders>
            <w:vAlign w:val="center"/>
          </w:tcPr>
          <w:p>
            <w:pPr>
              <w:ind w:firstLine="960" w:firstLineChars="400"/>
              <w:rPr>
                <w:rFonts w:hint="default" w:ascii="Times New Roman" w:hAnsi="Times New Roman" w:cs="Times New Roman" w:eastAsiaTheme="minorEastAsia"/>
                <w:kern w:val="0"/>
                <w:lang w:val="en-US" w:eastAsia="zh-CN"/>
              </w:rPr>
            </w:pPr>
            <w:r>
              <w:rPr>
                <w:rFonts w:hint="eastAsia" w:ascii="Times New Roman" w:hAnsi="Times New Roman" w:cs="Times New Roman"/>
                <w:kern w:val="0"/>
                <w:lang w:val="en-US" w:eastAsia="zh-CN"/>
              </w:rPr>
              <w:t>26.64</w:t>
            </w:r>
          </w:p>
        </w:tc>
        <w:tc>
          <w:tcPr>
            <w:tcW w:w="1141" w:type="pct"/>
            <w:tcBorders>
              <w:top w:val="single" w:color="000000" w:sz="4" w:space="0"/>
              <w:left w:val="single" w:color="000000" w:sz="4" w:space="0"/>
              <w:bottom w:val="single" w:color="000000" w:sz="4" w:space="0"/>
              <w:right w:val="single" w:color="000000" w:sz="4" w:space="0"/>
            </w:tcBorders>
            <w:vAlign w:val="center"/>
          </w:tcPr>
          <w:p>
            <w:pPr>
              <w:ind w:firstLine="720" w:firstLineChars="300"/>
              <w:rPr>
                <w:rFonts w:hint="default" w:ascii="Times New Roman" w:hAnsi="Times New Roman" w:cs="Times New Roman" w:eastAsiaTheme="minorEastAsia"/>
                <w:kern w:val="0"/>
                <w:lang w:val="en-US" w:eastAsia="zh-CN"/>
              </w:rPr>
            </w:pPr>
            <w:r>
              <w:rPr>
                <w:rFonts w:hint="eastAsia" w:ascii="Times New Roman" w:hAnsi="Times New Roman" w:cs="Times New Roman"/>
                <w:kern w:val="0"/>
                <w:lang w:val="en-US" w:eastAsia="zh-CN"/>
              </w:rPr>
              <w:t>25</w:t>
            </w:r>
          </w:p>
        </w:tc>
      </w:tr>
      <w:tr>
        <w:tblPrEx>
          <w:tblCellMar>
            <w:top w:w="15" w:type="dxa"/>
            <w:left w:w="15" w:type="dxa"/>
            <w:bottom w:w="15" w:type="dxa"/>
            <w:right w:w="15" w:type="dxa"/>
          </w:tblCellMar>
        </w:tblPrEx>
        <w:trPr>
          <w:trHeight w:val="340" w:hRule="exact"/>
          <w:jc w:val="center"/>
        </w:trPr>
        <w:tc>
          <w:tcPr>
            <w:tcW w:w="334" w:type="pct"/>
            <w:vMerge w:val="continue"/>
            <w:tcBorders>
              <w:left w:val="single" w:color="000000" w:sz="4" w:space="0"/>
              <w:bottom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bookmarkStart w:id="56" w:name="_Toc533167000"/>
          </w:p>
        </w:tc>
        <w:tc>
          <w:tcPr>
            <w:tcW w:w="1383" w:type="pct"/>
            <w:vMerge w:val="continue"/>
            <w:tcBorders>
              <w:left w:val="single" w:color="000000" w:sz="4" w:space="0"/>
              <w:bottom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p>
        </w:tc>
        <w:tc>
          <w:tcPr>
            <w:tcW w:w="1008" w:type="pct"/>
            <w:vMerge w:val="continue"/>
            <w:tcBorders>
              <w:left w:val="single" w:color="000000" w:sz="4" w:space="0"/>
              <w:bottom w:val="single" w:color="000000" w:sz="4" w:space="0"/>
              <w:right w:val="single" w:color="000000" w:sz="4" w:space="0"/>
            </w:tcBorders>
            <w:shd w:val="clear" w:color="auto" w:fill="auto"/>
            <w:vAlign w:val="center"/>
          </w:tcPr>
          <w:p>
            <w:pPr>
              <w:ind w:firstLine="480"/>
              <w:rPr>
                <w:rFonts w:hint="default" w:ascii="Times New Roman" w:hAnsi="Times New Roman" w:cs="Times New Roman"/>
                <w:kern w:val="0"/>
              </w:rPr>
            </w:pPr>
          </w:p>
        </w:tc>
        <w:tc>
          <w:tcPr>
            <w:tcW w:w="1132" w:type="pct"/>
            <w:tcBorders>
              <w:top w:val="single" w:color="000000" w:sz="4" w:space="0"/>
              <w:left w:val="single" w:color="000000" w:sz="4" w:space="0"/>
              <w:bottom w:val="single" w:color="000000" w:sz="4" w:space="0"/>
              <w:right w:val="single" w:color="000000" w:sz="4" w:space="0"/>
            </w:tcBorders>
            <w:vAlign w:val="center"/>
          </w:tcPr>
          <w:p>
            <w:pPr>
              <w:ind w:firstLine="480"/>
              <w:rPr>
                <w:rFonts w:hint="default" w:ascii="Times New Roman" w:hAnsi="Times New Roman" w:cs="Times New Roman"/>
                <w:kern w:val="0"/>
              </w:rPr>
            </w:pPr>
            <w:r>
              <w:rPr>
                <w:rFonts w:hint="default" w:ascii="Times New Roman" w:hAnsi="Times New Roman" w:cs="Times New Roman"/>
                <w:kern w:val="0"/>
              </w:rPr>
              <w:t>生产负荷80%</w:t>
            </w:r>
          </w:p>
        </w:tc>
        <w:tc>
          <w:tcPr>
            <w:tcW w:w="1141" w:type="pct"/>
            <w:tcBorders>
              <w:top w:val="single" w:color="000000" w:sz="4" w:space="0"/>
              <w:left w:val="single" w:color="000000" w:sz="4" w:space="0"/>
              <w:bottom w:val="single" w:color="000000" w:sz="4" w:space="0"/>
              <w:right w:val="single" w:color="000000" w:sz="4" w:space="0"/>
            </w:tcBorders>
            <w:vAlign w:val="center"/>
          </w:tcPr>
          <w:p>
            <w:pPr>
              <w:ind w:firstLine="480"/>
              <w:rPr>
                <w:rFonts w:hint="default" w:ascii="Times New Roman" w:hAnsi="Times New Roman" w:cs="Times New Roman"/>
                <w:kern w:val="0"/>
              </w:rPr>
            </w:pPr>
            <w:r>
              <w:rPr>
                <w:rFonts w:hint="default" w:ascii="Times New Roman" w:hAnsi="Times New Roman" w:cs="Times New Roman"/>
                <w:kern w:val="0"/>
              </w:rPr>
              <w:t>生产负荷75%</w:t>
            </w:r>
          </w:p>
        </w:tc>
      </w:tr>
    </w:tbl>
    <w:p>
      <w:pPr>
        <w:pStyle w:val="62"/>
        <w:ind w:firstLine="643"/>
      </w:pPr>
      <w:bookmarkStart w:id="57" w:name="_Toc13745"/>
      <w:r>
        <w:t>9.2废气监测结果及评价</w:t>
      </w:r>
      <w:bookmarkEnd w:id="56"/>
      <w:bookmarkEnd w:id="57"/>
    </w:p>
    <w:p>
      <w:pPr>
        <w:ind w:firstLine="480"/>
      </w:pPr>
      <w:r>
        <w:t>废气监测结果及达标情况见下表。</w:t>
      </w:r>
    </w:p>
    <w:p>
      <w:pPr>
        <w:ind w:firstLine="480"/>
      </w:pPr>
      <w:r>
        <w:t>1、有组织废气</w:t>
      </w:r>
    </w:p>
    <w:p>
      <w:pPr>
        <w:ind w:firstLine="480"/>
      </w:pPr>
      <w:r>
        <w:t>项目有组织废气排放情况见下表。</w:t>
      </w: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1687" w:firstLineChars="700"/>
        <w:rPr>
          <w:b/>
          <w:bCs/>
        </w:rPr>
      </w:pPr>
    </w:p>
    <w:p>
      <w:pPr>
        <w:ind w:firstLine="964" w:firstLineChars="400"/>
        <w:rPr>
          <w:b/>
          <w:bCs/>
        </w:rPr>
      </w:pPr>
      <w:r>
        <w:rPr>
          <w:b/>
          <w:bCs/>
        </w:rPr>
        <w:t>表9.2-</w:t>
      </w:r>
      <w:r>
        <w:rPr>
          <w:rFonts w:hint="eastAsia"/>
          <w:b/>
          <w:bCs/>
        </w:rPr>
        <w:t>1</w:t>
      </w:r>
      <w:r>
        <w:rPr>
          <w:b/>
          <w:bCs/>
        </w:rPr>
        <w:t xml:space="preserve">  厂区有组织</w:t>
      </w:r>
      <w:r>
        <w:rPr>
          <w:rFonts w:hint="eastAsia"/>
          <w:b/>
          <w:bCs/>
          <w:lang w:val="en-US" w:eastAsia="zh-CN"/>
        </w:rPr>
        <w:t>DA001排气筒</w:t>
      </w:r>
      <w:r>
        <w:rPr>
          <w:b/>
          <w:bCs/>
        </w:rPr>
        <w:t>排放</w:t>
      </w:r>
      <w:r>
        <w:rPr>
          <w:rFonts w:hint="eastAsia"/>
          <w:b/>
          <w:bCs/>
          <w:lang w:val="en-US" w:eastAsia="zh-CN"/>
        </w:rPr>
        <w:t>颗粒物</w:t>
      </w:r>
      <w:r>
        <w:rPr>
          <w:b/>
          <w:bCs/>
        </w:rPr>
        <w:t>监测结果统计评价表</w:t>
      </w:r>
    </w:p>
    <w:tbl>
      <w:tblPr>
        <w:tblStyle w:val="4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74"/>
        <w:gridCol w:w="879"/>
        <w:gridCol w:w="991"/>
        <w:gridCol w:w="1288"/>
        <w:gridCol w:w="4"/>
        <w:gridCol w:w="1250"/>
        <w:gridCol w:w="1373"/>
        <w:gridCol w:w="13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98"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点位</w:t>
            </w:r>
          </w:p>
        </w:tc>
        <w:tc>
          <w:tcPr>
            <w:tcW w:w="62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采样时间</w:t>
            </w:r>
          </w:p>
        </w:tc>
        <w:tc>
          <w:tcPr>
            <w:tcW w:w="465"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测频次</w:t>
            </w:r>
          </w:p>
        </w:tc>
        <w:tc>
          <w:tcPr>
            <w:tcW w:w="2790" w:type="pct"/>
            <w:gridSpan w:val="5"/>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检</w:t>
            </w:r>
            <w:r>
              <w:rPr>
                <w:rFonts w:hint="default"/>
                <w:b w:val="0"/>
                <w:bCs/>
                <w:sz w:val="21"/>
                <w:szCs w:val="21"/>
              </w:rPr>
              <w:t xml:space="preserve">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标干流量</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r>
              <w:rPr>
                <w:rFonts w:hint="default"/>
                <w:b w:val="0"/>
                <w:bCs/>
                <w:sz w:val="21"/>
                <w:szCs w:val="21"/>
                <w:vertAlign w:val="superscript"/>
              </w:rPr>
              <w:t>3</w:t>
            </w:r>
            <w:r>
              <w:rPr>
                <w:rFonts w:hint="default"/>
                <w:b w:val="0"/>
                <w:bCs/>
                <w:sz w:val="21"/>
                <w:szCs w:val="21"/>
              </w:rPr>
              <w:t>/h）</w:t>
            </w:r>
          </w:p>
        </w:tc>
        <w:tc>
          <w:tcPr>
            <w:tcW w:w="663" w:type="pct"/>
            <w:gridSpan w:val="2"/>
            <w:vMerge w:val="restart"/>
            <w:tcBorders>
              <w:top w:val="single" w:color="auto" w:sz="4" w:space="0"/>
              <w:left w:val="single" w:color="auto" w:sz="4" w:space="0"/>
              <w:right w:val="single" w:color="auto" w:sz="4" w:space="0"/>
            </w:tcBorders>
            <w:vAlign w:val="center"/>
          </w:tcPr>
          <w:p>
            <w:pPr>
              <w:ind w:left="0" w:leftChars="0" w:firstLine="0" w:firstLineChars="0"/>
              <w:jc w:val="both"/>
              <w:rPr>
                <w:rFonts w:hint="default"/>
                <w:b w:val="0"/>
                <w:bCs/>
                <w:sz w:val="21"/>
                <w:szCs w:val="21"/>
              </w:rPr>
            </w:pPr>
            <w:r>
              <w:rPr>
                <w:rFonts w:hint="default" w:ascii="Times New Roman" w:hAnsi="Times New Roman" w:cs="Times New Roman"/>
                <w:color w:val="000000"/>
                <w:sz w:val="21"/>
                <w:szCs w:val="21"/>
              </w:rPr>
              <w:t>平均流速</w:t>
            </w:r>
            <w:r>
              <w:rPr>
                <w:rFonts w:hint="default" w:ascii="Times New Roman" w:hAnsi="Times New Roman" w:cs="Times New Roman"/>
                <w:color w:val="000000"/>
                <w:spacing w:val="-16"/>
                <w:sz w:val="21"/>
                <w:szCs w:val="21"/>
              </w:rPr>
              <w:t>(</w:t>
            </w:r>
            <w:r>
              <w:rPr>
                <w:rFonts w:hint="default" w:ascii="Times New Roman" w:hAnsi="Times New Roman" w:cs="Times New Roman"/>
                <w:color w:val="000000"/>
                <w:sz w:val="21"/>
                <w:szCs w:val="21"/>
              </w:rPr>
              <w:t>m/s</w:t>
            </w:r>
            <w:r>
              <w:rPr>
                <w:rFonts w:hint="default" w:ascii="Times New Roman" w:hAnsi="Times New Roman" w:cs="Times New Roman"/>
                <w:color w:val="000000"/>
                <w:spacing w:val="-16"/>
                <w:sz w:val="21"/>
                <w:szCs w:val="21"/>
              </w:rPr>
              <w:t>)</w:t>
            </w:r>
          </w:p>
        </w:tc>
        <w:tc>
          <w:tcPr>
            <w:tcW w:w="1445" w:type="pct"/>
            <w:gridSpan w:val="2"/>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63" w:type="pct"/>
            <w:gridSpan w:val="2"/>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726"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（mg/m3）</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排放速率</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切割、焊接、抛丸滤筒除尘器</w:t>
            </w:r>
            <w:r>
              <w:rPr>
                <w:rFonts w:hint="eastAsia"/>
                <w:b w:val="0"/>
                <w:bCs/>
                <w:sz w:val="21"/>
                <w:szCs w:val="21"/>
              </w:rPr>
              <w:t>装置出</w:t>
            </w:r>
            <w:r>
              <w:rPr>
                <w:rFonts w:hint="default"/>
                <w:b w:val="0"/>
                <w:bCs/>
                <w:sz w:val="21"/>
                <w:szCs w:val="21"/>
              </w:rPr>
              <w:t>口</w:t>
            </w:r>
            <w:r>
              <w:rPr>
                <w:rFonts w:hint="eastAsia"/>
                <w:b w:val="0"/>
                <w:bCs/>
                <w:sz w:val="21"/>
                <w:szCs w:val="21"/>
                <w:lang w:val="en-US" w:eastAsia="zh-CN"/>
              </w:rPr>
              <w:t>DA001</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2024.01.09</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6012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8.88</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2.9</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1.74</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5480</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8.11</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3.1</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1.70</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5244</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7.72</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1.57</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切割、焊接、抛丸滤筒除尘器</w:t>
            </w:r>
            <w:r>
              <w:rPr>
                <w:rFonts w:hint="eastAsia"/>
                <w:b w:val="0"/>
                <w:bCs/>
                <w:sz w:val="21"/>
                <w:szCs w:val="21"/>
              </w:rPr>
              <w:t>装置出</w:t>
            </w:r>
            <w:r>
              <w:rPr>
                <w:rFonts w:hint="default"/>
                <w:b w:val="0"/>
                <w:bCs/>
                <w:sz w:val="21"/>
                <w:szCs w:val="21"/>
              </w:rPr>
              <w:t>口</w:t>
            </w:r>
            <w:r>
              <w:rPr>
                <w:rFonts w:hint="eastAsia"/>
                <w:b w:val="0"/>
                <w:bCs/>
                <w:sz w:val="21"/>
                <w:szCs w:val="21"/>
                <w:lang w:val="en-US" w:eastAsia="zh-CN"/>
              </w:rPr>
              <w:t>DA001</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lang w:val="en-US" w:eastAsia="zh-CN"/>
              </w:rPr>
              <w:t>2024.01.10</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5755</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8.33</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2.8</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1.61</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5533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8.12</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3.1</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1.72</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5719</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8.21</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2.9</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1.66</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排放限值</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3"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达标情况</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3"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bl>
    <w:p>
      <w:pPr>
        <w:ind w:firstLine="480"/>
        <w:rPr>
          <w:rFonts w:hint="default" w:eastAsiaTheme="minorEastAsia"/>
          <w:lang w:val="en-US" w:eastAsia="zh-CN"/>
        </w:rPr>
      </w:pPr>
      <w:r>
        <w:rPr>
          <w:rFonts w:hint="eastAsia"/>
        </w:rPr>
        <w:t>根据监测结果</w:t>
      </w:r>
      <w:r>
        <w:t>，</w:t>
      </w:r>
      <w:r>
        <w:rPr>
          <w:rFonts w:hint="eastAsia"/>
        </w:rPr>
        <w:t>项目</w:t>
      </w:r>
      <w:r>
        <w:rPr>
          <w:rFonts w:hint="eastAsia"/>
          <w:lang w:val="en-US" w:eastAsia="zh-CN"/>
        </w:rPr>
        <w:t>切割、焊接、抛丸产生的粉尘经滤筒除尘器装置处理后，颗粒物排放浓度及排放速率均能满足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中标准限值。</w:t>
      </w:r>
    </w:p>
    <w:p>
      <w:pPr>
        <w:ind w:firstLine="964" w:firstLineChars="400"/>
        <w:rPr>
          <w:b/>
          <w:bCs/>
        </w:rPr>
      </w:pPr>
      <w:r>
        <w:rPr>
          <w:b/>
          <w:bCs/>
        </w:rPr>
        <w:t>表9.2-</w:t>
      </w:r>
      <w:r>
        <w:rPr>
          <w:rFonts w:hint="eastAsia"/>
          <w:b/>
          <w:bCs/>
          <w:lang w:val="en-US" w:eastAsia="zh-CN"/>
        </w:rPr>
        <w:t>2</w:t>
      </w:r>
      <w:r>
        <w:rPr>
          <w:b/>
          <w:bCs/>
        </w:rPr>
        <w:t xml:space="preserve">  厂区有组织</w:t>
      </w:r>
      <w:r>
        <w:rPr>
          <w:rFonts w:hint="eastAsia"/>
          <w:b/>
          <w:bCs/>
          <w:lang w:val="en-US" w:eastAsia="zh-CN"/>
        </w:rPr>
        <w:t>DA002排气筒</w:t>
      </w:r>
      <w:r>
        <w:rPr>
          <w:b/>
          <w:bCs/>
        </w:rPr>
        <w:t>排放</w:t>
      </w:r>
      <w:r>
        <w:rPr>
          <w:rFonts w:hint="eastAsia"/>
          <w:b/>
          <w:bCs/>
          <w:lang w:val="en-US" w:eastAsia="zh-CN"/>
        </w:rPr>
        <w:t>颗粒物</w:t>
      </w:r>
      <w:r>
        <w:rPr>
          <w:b/>
          <w:bCs/>
        </w:rPr>
        <w:t>监测结果统计评价表</w:t>
      </w:r>
    </w:p>
    <w:tbl>
      <w:tblPr>
        <w:tblStyle w:val="4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74"/>
        <w:gridCol w:w="879"/>
        <w:gridCol w:w="991"/>
        <w:gridCol w:w="1288"/>
        <w:gridCol w:w="4"/>
        <w:gridCol w:w="1252"/>
        <w:gridCol w:w="1373"/>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98"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点位</w:t>
            </w:r>
          </w:p>
        </w:tc>
        <w:tc>
          <w:tcPr>
            <w:tcW w:w="62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采样时间</w:t>
            </w:r>
          </w:p>
        </w:tc>
        <w:tc>
          <w:tcPr>
            <w:tcW w:w="465"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频次</w:t>
            </w:r>
          </w:p>
        </w:tc>
        <w:tc>
          <w:tcPr>
            <w:tcW w:w="2790" w:type="pct"/>
            <w:gridSpan w:val="5"/>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检</w:t>
            </w:r>
            <w:r>
              <w:rPr>
                <w:rFonts w:hint="default"/>
                <w:b w:val="0"/>
                <w:bCs/>
                <w:sz w:val="21"/>
                <w:szCs w:val="21"/>
              </w:rPr>
              <w:t xml:space="preserve">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标干流量</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r>
              <w:rPr>
                <w:rFonts w:hint="default"/>
                <w:b w:val="0"/>
                <w:bCs/>
                <w:sz w:val="21"/>
                <w:szCs w:val="21"/>
                <w:vertAlign w:val="superscript"/>
              </w:rPr>
              <w:t>3</w:t>
            </w:r>
            <w:r>
              <w:rPr>
                <w:rFonts w:hint="default"/>
                <w:b w:val="0"/>
                <w:bCs/>
                <w:sz w:val="21"/>
                <w:szCs w:val="21"/>
              </w:rPr>
              <w:t>/h）</w:t>
            </w:r>
          </w:p>
        </w:tc>
        <w:tc>
          <w:tcPr>
            <w:tcW w:w="663" w:type="pct"/>
            <w:gridSpan w:val="2"/>
            <w:vMerge w:val="restart"/>
            <w:tcBorders>
              <w:top w:val="single" w:color="auto" w:sz="4" w:space="0"/>
              <w:left w:val="single" w:color="auto" w:sz="4" w:space="0"/>
              <w:right w:val="single" w:color="auto" w:sz="4" w:space="0"/>
            </w:tcBorders>
            <w:vAlign w:val="center"/>
          </w:tcPr>
          <w:p>
            <w:pPr>
              <w:ind w:left="0" w:leftChars="0" w:firstLine="0" w:firstLineChars="0"/>
              <w:jc w:val="center"/>
              <w:rPr>
                <w:rFonts w:hint="default"/>
                <w:b w:val="0"/>
                <w:bCs/>
                <w:sz w:val="21"/>
                <w:szCs w:val="21"/>
              </w:rPr>
            </w:pPr>
            <w:r>
              <w:rPr>
                <w:rFonts w:hint="default" w:ascii="Times New Roman" w:hAnsi="Times New Roman" w:cs="Times New Roman"/>
                <w:color w:val="000000"/>
                <w:sz w:val="21"/>
                <w:szCs w:val="21"/>
              </w:rPr>
              <w:t>平均流速</w:t>
            </w:r>
            <w:r>
              <w:rPr>
                <w:rFonts w:hint="default" w:ascii="Times New Roman" w:hAnsi="Times New Roman" w:cs="Times New Roman"/>
                <w:color w:val="000000"/>
                <w:spacing w:val="-16"/>
                <w:sz w:val="21"/>
                <w:szCs w:val="21"/>
              </w:rPr>
              <w:t>(</w:t>
            </w:r>
            <w:r>
              <w:rPr>
                <w:rFonts w:hint="default" w:ascii="Times New Roman" w:hAnsi="Times New Roman" w:cs="Times New Roman"/>
                <w:color w:val="000000"/>
                <w:sz w:val="21"/>
                <w:szCs w:val="21"/>
              </w:rPr>
              <w:t>m/s</w:t>
            </w:r>
            <w:r>
              <w:rPr>
                <w:rFonts w:hint="default" w:ascii="Times New Roman" w:hAnsi="Times New Roman" w:cs="Times New Roman"/>
                <w:color w:val="000000"/>
                <w:spacing w:val="-16"/>
                <w:sz w:val="21"/>
                <w:szCs w:val="21"/>
              </w:rPr>
              <w:t>)</w:t>
            </w:r>
          </w:p>
        </w:tc>
        <w:tc>
          <w:tcPr>
            <w:tcW w:w="1445" w:type="pct"/>
            <w:gridSpan w:val="2"/>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63" w:type="pct"/>
            <w:gridSpan w:val="2"/>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726"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（mg/m3）</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排放速率</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切割、焊接、抛丸滤筒除尘器</w:t>
            </w:r>
            <w:r>
              <w:rPr>
                <w:rFonts w:hint="eastAsia"/>
                <w:b w:val="0"/>
                <w:bCs/>
                <w:sz w:val="21"/>
                <w:szCs w:val="21"/>
              </w:rPr>
              <w:t>装置出</w:t>
            </w:r>
            <w:r>
              <w:rPr>
                <w:rFonts w:hint="default"/>
                <w:b w:val="0"/>
                <w:bCs/>
                <w:sz w:val="21"/>
                <w:szCs w:val="21"/>
              </w:rPr>
              <w:t>口</w:t>
            </w:r>
            <w:r>
              <w:rPr>
                <w:rFonts w:hint="eastAsia"/>
                <w:b w:val="0"/>
                <w:bCs/>
                <w:sz w:val="21"/>
                <w:szCs w:val="21"/>
                <w:lang w:val="en-US" w:eastAsia="zh-CN"/>
              </w:rPr>
              <w:t>DA002</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2024.01.09</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10749</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15.83</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1.72</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3"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10853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16.01</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1.74</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10669</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15.62</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1.4</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1.49</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lang w:val="en-US" w:eastAsia="zh-CN"/>
              </w:rPr>
              <w:t>切割、焊接、抛丸滤筒除尘器</w:t>
            </w:r>
            <w:r>
              <w:rPr>
                <w:rFonts w:hint="eastAsia"/>
                <w:b w:val="0"/>
                <w:bCs/>
                <w:sz w:val="21"/>
                <w:szCs w:val="21"/>
              </w:rPr>
              <w:t>装置出</w:t>
            </w:r>
            <w:r>
              <w:rPr>
                <w:rFonts w:hint="default"/>
                <w:b w:val="0"/>
                <w:bCs/>
                <w:sz w:val="21"/>
                <w:szCs w:val="21"/>
              </w:rPr>
              <w:t>口</w:t>
            </w:r>
            <w:r>
              <w:rPr>
                <w:rFonts w:hint="eastAsia"/>
                <w:b w:val="0"/>
                <w:bCs/>
                <w:sz w:val="21"/>
                <w:szCs w:val="21"/>
                <w:lang w:val="en-US" w:eastAsia="zh-CN"/>
              </w:rPr>
              <w:t>DA002</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lang w:val="en-US" w:eastAsia="zh-CN"/>
              </w:rPr>
              <w:t>2024.01.10</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10983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15.87</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1.87</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10509</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15.37</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1.58</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10199</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15.00</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1.73</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排放限值</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3"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达标情况</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3"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bl>
    <w:p>
      <w:pPr>
        <w:ind w:firstLine="480"/>
        <w:rPr>
          <w:rFonts w:hint="default" w:eastAsiaTheme="minorEastAsia"/>
          <w:lang w:val="en-US" w:eastAsia="zh-CN"/>
        </w:rPr>
      </w:pPr>
      <w:r>
        <w:rPr>
          <w:rFonts w:hint="eastAsia"/>
        </w:rPr>
        <w:t>根据监测结果</w:t>
      </w:r>
      <w:r>
        <w:t>，</w:t>
      </w:r>
      <w:r>
        <w:rPr>
          <w:rFonts w:hint="eastAsia"/>
        </w:rPr>
        <w:t>项目</w:t>
      </w:r>
      <w:r>
        <w:rPr>
          <w:rFonts w:hint="eastAsia"/>
          <w:lang w:val="en-US" w:eastAsia="zh-CN"/>
        </w:rPr>
        <w:t>切割、焊接、抛丸产生的粉尘经滤筒除尘器装置处理后，颗粒物排放浓度及排放速率均能满足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中标准限值。</w:t>
      </w:r>
    </w:p>
    <w:p>
      <w:pPr>
        <w:ind w:firstLine="964" w:firstLineChars="400"/>
        <w:rPr>
          <w:b/>
          <w:bCs/>
        </w:rPr>
      </w:pPr>
      <w:r>
        <w:rPr>
          <w:b/>
          <w:bCs/>
        </w:rPr>
        <w:t>表9.2-</w:t>
      </w:r>
      <w:r>
        <w:rPr>
          <w:rFonts w:hint="eastAsia"/>
          <w:b/>
          <w:bCs/>
          <w:lang w:val="en-US" w:eastAsia="zh-CN"/>
        </w:rPr>
        <w:t>3</w:t>
      </w:r>
      <w:r>
        <w:rPr>
          <w:b/>
          <w:bCs/>
        </w:rPr>
        <w:t xml:space="preserve">  厂区有组织</w:t>
      </w:r>
      <w:r>
        <w:rPr>
          <w:rFonts w:hint="eastAsia"/>
          <w:b/>
          <w:bCs/>
          <w:lang w:val="en-US" w:eastAsia="zh-CN"/>
        </w:rPr>
        <w:t>DA003排气筒</w:t>
      </w:r>
      <w:r>
        <w:rPr>
          <w:b/>
          <w:bCs/>
        </w:rPr>
        <w:t>排放</w:t>
      </w:r>
      <w:r>
        <w:rPr>
          <w:rFonts w:hint="eastAsia"/>
          <w:b/>
          <w:bCs/>
          <w:lang w:val="en-US" w:eastAsia="zh-CN"/>
        </w:rPr>
        <w:t>颗粒物</w:t>
      </w:r>
      <w:r>
        <w:rPr>
          <w:b/>
          <w:bCs/>
        </w:rPr>
        <w:t>监测结果统计评价表</w:t>
      </w:r>
    </w:p>
    <w:tbl>
      <w:tblPr>
        <w:tblStyle w:val="4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74"/>
        <w:gridCol w:w="879"/>
        <w:gridCol w:w="991"/>
        <w:gridCol w:w="1288"/>
        <w:gridCol w:w="6"/>
        <w:gridCol w:w="1250"/>
        <w:gridCol w:w="1373"/>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98"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点位</w:t>
            </w:r>
          </w:p>
        </w:tc>
        <w:tc>
          <w:tcPr>
            <w:tcW w:w="62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采样时间</w:t>
            </w:r>
          </w:p>
        </w:tc>
        <w:tc>
          <w:tcPr>
            <w:tcW w:w="465"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频次</w:t>
            </w:r>
          </w:p>
        </w:tc>
        <w:tc>
          <w:tcPr>
            <w:tcW w:w="2790" w:type="pct"/>
            <w:gridSpan w:val="5"/>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检</w:t>
            </w:r>
            <w:r>
              <w:rPr>
                <w:rFonts w:hint="default"/>
                <w:b w:val="0"/>
                <w:bCs/>
                <w:sz w:val="21"/>
                <w:szCs w:val="21"/>
              </w:rPr>
              <w:t xml:space="preserve">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标干流量</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r>
              <w:rPr>
                <w:rFonts w:hint="default"/>
                <w:b w:val="0"/>
                <w:bCs/>
                <w:sz w:val="21"/>
                <w:szCs w:val="21"/>
                <w:vertAlign w:val="superscript"/>
              </w:rPr>
              <w:t>3</w:t>
            </w:r>
            <w:r>
              <w:rPr>
                <w:rFonts w:hint="default"/>
                <w:b w:val="0"/>
                <w:bCs/>
                <w:sz w:val="21"/>
                <w:szCs w:val="21"/>
              </w:rPr>
              <w:t>/h）</w:t>
            </w:r>
          </w:p>
        </w:tc>
        <w:tc>
          <w:tcPr>
            <w:tcW w:w="663" w:type="pct"/>
            <w:gridSpan w:val="2"/>
            <w:vMerge w:val="restart"/>
            <w:tcBorders>
              <w:top w:val="single" w:color="auto" w:sz="4" w:space="0"/>
              <w:left w:val="single" w:color="auto" w:sz="4" w:space="0"/>
              <w:right w:val="single" w:color="auto" w:sz="4" w:space="0"/>
            </w:tcBorders>
            <w:vAlign w:val="center"/>
          </w:tcPr>
          <w:p>
            <w:pPr>
              <w:ind w:left="420" w:leftChars="0" w:hanging="420" w:hangingChars="200"/>
              <w:jc w:val="both"/>
              <w:rPr>
                <w:rFonts w:hint="default"/>
                <w:b w:val="0"/>
                <w:bCs/>
                <w:sz w:val="21"/>
                <w:szCs w:val="21"/>
              </w:rPr>
            </w:pPr>
            <w:r>
              <w:rPr>
                <w:rFonts w:hint="default" w:ascii="Times New Roman" w:hAnsi="Times New Roman" w:cs="Times New Roman"/>
                <w:color w:val="000000"/>
                <w:sz w:val="21"/>
                <w:szCs w:val="21"/>
              </w:rPr>
              <w:t>平均流速</w:t>
            </w:r>
            <w:r>
              <w:rPr>
                <w:rFonts w:hint="default" w:ascii="Times New Roman" w:hAnsi="Times New Roman" w:cs="Times New Roman"/>
                <w:color w:val="000000"/>
                <w:spacing w:val="-16"/>
                <w:sz w:val="21"/>
                <w:szCs w:val="21"/>
              </w:rPr>
              <w:t>(</w:t>
            </w:r>
            <w:r>
              <w:rPr>
                <w:rFonts w:hint="default" w:ascii="Times New Roman" w:hAnsi="Times New Roman" w:cs="Times New Roman"/>
                <w:color w:val="000000"/>
                <w:sz w:val="21"/>
                <w:szCs w:val="21"/>
              </w:rPr>
              <w:t>m/s</w:t>
            </w:r>
            <w:r>
              <w:rPr>
                <w:rFonts w:hint="default" w:ascii="Times New Roman" w:hAnsi="Times New Roman" w:cs="Times New Roman"/>
                <w:color w:val="000000"/>
                <w:spacing w:val="-16"/>
                <w:sz w:val="21"/>
                <w:szCs w:val="21"/>
              </w:rPr>
              <w:t>)</w:t>
            </w:r>
          </w:p>
        </w:tc>
        <w:tc>
          <w:tcPr>
            <w:tcW w:w="1445" w:type="pct"/>
            <w:gridSpan w:val="2"/>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63" w:type="pct"/>
            <w:gridSpan w:val="2"/>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726"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（mg/m3）</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排放速率</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2024.01.09</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42542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24.55</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6.81</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41443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23.84</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1.6</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6.63</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43226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24.75</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1.5</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6.48</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lang w:val="en-US" w:eastAsia="zh-CN"/>
              </w:rPr>
              <w:t>2024.01.10</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42976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24.32</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1.4</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6.02</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41762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23.79</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1.7</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7.10</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39457</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22.71</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1.3</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5.13</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排放限值</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达标情况</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bl>
    <w:p>
      <w:pPr>
        <w:ind w:firstLine="964" w:firstLineChars="400"/>
        <w:rPr>
          <w:b/>
          <w:bCs/>
        </w:rPr>
      </w:pPr>
    </w:p>
    <w:p>
      <w:pPr>
        <w:ind w:firstLine="964" w:firstLineChars="400"/>
        <w:rPr>
          <w:b/>
          <w:bCs/>
        </w:rPr>
      </w:pPr>
    </w:p>
    <w:p>
      <w:pPr>
        <w:ind w:firstLine="964" w:firstLineChars="400"/>
        <w:rPr>
          <w:b/>
          <w:bCs/>
        </w:rPr>
      </w:pPr>
    </w:p>
    <w:p>
      <w:pPr>
        <w:ind w:firstLine="964" w:firstLineChars="400"/>
        <w:rPr>
          <w:b/>
          <w:bCs/>
        </w:rPr>
      </w:pPr>
    </w:p>
    <w:p>
      <w:pPr>
        <w:ind w:left="0" w:leftChars="0" w:firstLine="0" w:firstLineChars="0"/>
        <w:rPr>
          <w:b/>
          <w:bCs/>
        </w:rPr>
      </w:pPr>
    </w:p>
    <w:p>
      <w:pPr>
        <w:ind w:left="0" w:leftChars="0" w:firstLine="964" w:firstLineChars="400"/>
        <w:rPr>
          <w:b/>
          <w:bCs/>
        </w:rPr>
      </w:pPr>
      <w:r>
        <w:rPr>
          <w:b/>
          <w:bCs/>
        </w:rPr>
        <w:t>表9.2-</w:t>
      </w:r>
      <w:r>
        <w:rPr>
          <w:rFonts w:hint="eastAsia"/>
          <w:b/>
          <w:bCs/>
          <w:lang w:val="en-US" w:eastAsia="zh-CN"/>
        </w:rPr>
        <w:t>4</w:t>
      </w:r>
      <w:r>
        <w:rPr>
          <w:b/>
          <w:bCs/>
        </w:rPr>
        <w:t xml:space="preserve">  厂区有组织</w:t>
      </w:r>
      <w:r>
        <w:rPr>
          <w:rFonts w:hint="eastAsia"/>
          <w:b/>
          <w:bCs/>
          <w:lang w:val="en-US" w:eastAsia="zh-CN"/>
        </w:rPr>
        <w:t>DA003排气筒</w:t>
      </w:r>
      <w:r>
        <w:rPr>
          <w:b/>
          <w:bCs/>
        </w:rPr>
        <w:t>排放</w:t>
      </w:r>
      <w:r>
        <w:rPr>
          <w:rFonts w:hint="eastAsia"/>
          <w:b/>
          <w:bCs/>
          <w:lang w:val="en-US" w:eastAsia="zh-CN"/>
        </w:rPr>
        <w:t>非甲烷总烃</w:t>
      </w:r>
      <w:r>
        <w:rPr>
          <w:b/>
          <w:bCs/>
        </w:rPr>
        <w:t>监测结果统计评价表</w:t>
      </w:r>
    </w:p>
    <w:tbl>
      <w:tblPr>
        <w:tblStyle w:val="4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74"/>
        <w:gridCol w:w="879"/>
        <w:gridCol w:w="991"/>
        <w:gridCol w:w="1288"/>
        <w:gridCol w:w="6"/>
        <w:gridCol w:w="1250"/>
        <w:gridCol w:w="1373"/>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98"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点位</w:t>
            </w:r>
          </w:p>
        </w:tc>
        <w:tc>
          <w:tcPr>
            <w:tcW w:w="62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采样时间</w:t>
            </w:r>
          </w:p>
        </w:tc>
        <w:tc>
          <w:tcPr>
            <w:tcW w:w="465"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频次</w:t>
            </w:r>
          </w:p>
        </w:tc>
        <w:tc>
          <w:tcPr>
            <w:tcW w:w="2790" w:type="pct"/>
            <w:gridSpan w:val="5"/>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检</w:t>
            </w:r>
            <w:r>
              <w:rPr>
                <w:rFonts w:hint="default"/>
                <w:b w:val="0"/>
                <w:bCs/>
                <w:sz w:val="21"/>
                <w:szCs w:val="21"/>
              </w:rPr>
              <w:t xml:space="preserve">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标干流量</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r>
              <w:rPr>
                <w:rFonts w:hint="default"/>
                <w:b w:val="0"/>
                <w:bCs/>
                <w:sz w:val="21"/>
                <w:szCs w:val="21"/>
                <w:vertAlign w:val="superscript"/>
              </w:rPr>
              <w:t>3</w:t>
            </w:r>
            <w:r>
              <w:rPr>
                <w:rFonts w:hint="default"/>
                <w:b w:val="0"/>
                <w:bCs/>
                <w:sz w:val="21"/>
                <w:szCs w:val="21"/>
              </w:rPr>
              <w:t>/h）</w:t>
            </w:r>
          </w:p>
        </w:tc>
        <w:tc>
          <w:tcPr>
            <w:tcW w:w="663" w:type="pct"/>
            <w:gridSpan w:val="2"/>
            <w:vMerge w:val="restart"/>
            <w:tcBorders>
              <w:top w:val="single" w:color="auto" w:sz="4" w:space="0"/>
              <w:left w:val="single" w:color="auto" w:sz="4" w:space="0"/>
              <w:right w:val="single" w:color="auto" w:sz="4" w:space="0"/>
            </w:tcBorders>
            <w:vAlign w:val="center"/>
          </w:tcPr>
          <w:p>
            <w:pPr>
              <w:ind w:left="420" w:leftChars="0" w:hanging="420" w:hangingChars="200"/>
              <w:jc w:val="both"/>
              <w:rPr>
                <w:rFonts w:hint="default"/>
                <w:b w:val="0"/>
                <w:bCs/>
                <w:sz w:val="21"/>
                <w:szCs w:val="21"/>
              </w:rPr>
            </w:pPr>
            <w:r>
              <w:rPr>
                <w:rFonts w:hint="default" w:ascii="Times New Roman" w:hAnsi="Times New Roman" w:cs="Times New Roman"/>
                <w:color w:val="000000"/>
                <w:sz w:val="21"/>
                <w:szCs w:val="21"/>
              </w:rPr>
              <w:t>平均流速</w:t>
            </w:r>
            <w:r>
              <w:rPr>
                <w:rFonts w:hint="default" w:ascii="Times New Roman" w:hAnsi="Times New Roman" w:cs="Times New Roman"/>
                <w:color w:val="000000"/>
                <w:spacing w:val="-16"/>
                <w:sz w:val="21"/>
                <w:szCs w:val="21"/>
              </w:rPr>
              <w:t>(</w:t>
            </w:r>
            <w:r>
              <w:rPr>
                <w:rFonts w:hint="default" w:ascii="Times New Roman" w:hAnsi="Times New Roman" w:cs="Times New Roman"/>
                <w:color w:val="000000"/>
                <w:sz w:val="21"/>
                <w:szCs w:val="21"/>
              </w:rPr>
              <w:t>m/s</w:t>
            </w:r>
            <w:r>
              <w:rPr>
                <w:rFonts w:hint="default" w:ascii="Times New Roman" w:hAnsi="Times New Roman" w:cs="Times New Roman"/>
                <w:color w:val="000000"/>
                <w:spacing w:val="-16"/>
                <w:sz w:val="21"/>
                <w:szCs w:val="21"/>
              </w:rPr>
              <w:t>)</w:t>
            </w:r>
          </w:p>
        </w:tc>
        <w:tc>
          <w:tcPr>
            <w:tcW w:w="1445" w:type="pct"/>
            <w:gridSpan w:val="2"/>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非甲烷总烃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63" w:type="pct"/>
            <w:gridSpan w:val="2"/>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726"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（mg/m</w:t>
            </w:r>
            <w:r>
              <w:rPr>
                <w:rFonts w:hint="default"/>
                <w:b w:val="0"/>
                <w:bCs/>
                <w:sz w:val="21"/>
                <w:szCs w:val="21"/>
                <w:vertAlign w:val="superscript"/>
              </w:rPr>
              <w:t>3</w:t>
            </w:r>
            <w:r>
              <w:rPr>
                <w:rFonts w:hint="default"/>
                <w:b w:val="0"/>
                <w:bCs/>
                <w:sz w:val="21"/>
                <w:szCs w:val="21"/>
              </w:rPr>
              <w:t>）</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排放速率</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2024.01.09</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42542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24.55</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1.02</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4.34</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41443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23.84</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1.00</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4.14</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43226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24.75</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1.04</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4.50</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lang w:val="en-US" w:eastAsia="zh-CN"/>
              </w:rPr>
              <w:t>2024.01.10</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42976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24.32</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1.05</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4.51</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41762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23.79</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1.06</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4.43</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39457</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22.71</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1.04</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4.10</w:t>
            </w:r>
            <w:r>
              <w:rPr>
                <w:rFonts w:hint="default"/>
                <w:b w:val="0"/>
                <w:bCs/>
                <w:sz w:val="21"/>
                <w:szCs w:val="21"/>
                <w:lang w:val="en-US" w:eastAsia="zh-CN"/>
              </w:rPr>
              <w:t>×</w:t>
            </w:r>
            <w:r>
              <w:rPr>
                <w:rFonts w:hint="eastAsia"/>
                <w:b w:val="0"/>
                <w:bCs/>
                <w:sz w:val="21"/>
                <w:szCs w:val="21"/>
                <w:lang w:val="en-US" w:eastAsia="zh-CN"/>
              </w:rPr>
              <w:t>10</w:t>
            </w:r>
            <w:r>
              <w:rPr>
                <w:rFonts w:hint="eastAsia"/>
                <w:b w:val="0"/>
                <w:bCs/>
                <w:sz w:val="21"/>
                <w:szCs w:val="21"/>
                <w:vertAlign w:val="superscript"/>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排放限值</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达标情况</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bl>
    <w:p>
      <w:pPr>
        <w:ind w:left="0" w:leftChars="0" w:firstLine="964" w:firstLineChars="400"/>
        <w:rPr>
          <w:b/>
          <w:bCs/>
        </w:rPr>
      </w:pPr>
      <w:r>
        <w:rPr>
          <w:b/>
          <w:bCs/>
        </w:rPr>
        <w:t>表9.2-</w:t>
      </w:r>
      <w:r>
        <w:rPr>
          <w:rFonts w:hint="eastAsia"/>
          <w:b/>
          <w:bCs/>
          <w:lang w:val="en-US" w:eastAsia="zh-CN"/>
        </w:rPr>
        <w:t>5</w:t>
      </w:r>
      <w:r>
        <w:rPr>
          <w:b/>
          <w:bCs/>
        </w:rPr>
        <w:t xml:space="preserve">  厂区有组织</w:t>
      </w:r>
      <w:r>
        <w:rPr>
          <w:rFonts w:hint="eastAsia"/>
          <w:b/>
          <w:bCs/>
          <w:lang w:val="en-US" w:eastAsia="zh-CN"/>
        </w:rPr>
        <w:t>DA003排气筒</w:t>
      </w:r>
      <w:r>
        <w:rPr>
          <w:b/>
          <w:bCs/>
        </w:rPr>
        <w:t>排放</w:t>
      </w:r>
      <w:r>
        <w:rPr>
          <w:rFonts w:hint="eastAsia"/>
          <w:b/>
          <w:bCs/>
          <w:lang w:val="en-US" w:eastAsia="zh-CN"/>
        </w:rPr>
        <w:t>二甲苯</w:t>
      </w:r>
      <w:r>
        <w:rPr>
          <w:b/>
          <w:bCs/>
        </w:rPr>
        <w:t>监测结果统计评价表</w:t>
      </w:r>
    </w:p>
    <w:tbl>
      <w:tblPr>
        <w:tblStyle w:val="43"/>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74"/>
        <w:gridCol w:w="879"/>
        <w:gridCol w:w="991"/>
        <w:gridCol w:w="1288"/>
        <w:gridCol w:w="6"/>
        <w:gridCol w:w="1250"/>
        <w:gridCol w:w="1373"/>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598"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点位</w:t>
            </w:r>
          </w:p>
        </w:tc>
        <w:tc>
          <w:tcPr>
            <w:tcW w:w="620"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采样时间</w:t>
            </w:r>
          </w:p>
        </w:tc>
        <w:tc>
          <w:tcPr>
            <w:tcW w:w="465"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排气筒</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高度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p>
        </w:tc>
        <w:tc>
          <w:tcPr>
            <w:tcW w:w="524"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检</w:t>
            </w:r>
            <w:r>
              <w:rPr>
                <w:rFonts w:hint="default"/>
                <w:b w:val="0"/>
                <w:bCs/>
                <w:sz w:val="21"/>
                <w:szCs w:val="21"/>
              </w:rPr>
              <w:t>测</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频次</w:t>
            </w:r>
          </w:p>
        </w:tc>
        <w:tc>
          <w:tcPr>
            <w:tcW w:w="2790" w:type="pct"/>
            <w:gridSpan w:val="5"/>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检</w:t>
            </w:r>
            <w:r>
              <w:rPr>
                <w:rFonts w:hint="default"/>
                <w:b w:val="0"/>
                <w:bCs/>
                <w:sz w:val="21"/>
                <w:szCs w:val="21"/>
              </w:rPr>
              <w:t xml:space="preserve">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8" w:hRule="atLeas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标干流量</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w:t>
            </w:r>
            <w:r>
              <w:rPr>
                <w:rFonts w:hint="default"/>
                <w:b w:val="0"/>
                <w:bCs/>
                <w:sz w:val="21"/>
                <w:szCs w:val="21"/>
                <w:vertAlign w:val="superscript"/>
              </w:rPr>
              <w:t>3</w:t>
            </w:r>
            <w:r>
              <w:rPr>
                <w:rFonts w:hint="default"/>
                <w:b w:val="0"/>
                <w:bCs/>
                <w:sz w:val="21"/>
                <w:szCs w:val="21"/>
              </w:rPr>
              <w:t>/h）</w:t>
            </w:r>
          </w:p>
        </w:tc>
        <w:tc>
          <w:tcPr>
            <w:tcW w:w="663" w:type="pct"/>
            <w:gridSpan w:val="2"/>
            <w:vMerge w:val="restart"/>
            <w:tcBorders>
              <w:top w:val="single" w:color="auto" w:sz="4" w:space="0"/>
              <w:left w:val="single" w:color="auto" w:sz="4" w:space="0"/>
              <w:right w:val="single" w:color="auto" w:sz="4" w:space="0"/>
            </w:tcBorders>
            <w:vAlign w:val="center"/>
          </w:tcPr>
          <w:p>
            <w:pPr>
              <w:ind w:left="420" w:leftChars="0" w:hanging="420" w:hangingChars="200"/>
              <w:jc w:val="both"/>
              <w:rPr>
                <w:rFonts w:hint="default"/>
                <w:b w:val="0"/>
                <w:bCs/>
                <w:sz w:val="21"/>
                <w:szCs w:val="21"/>
              </w:rPr>
            </w:pPr>
            <w:r>
              <w:rPr>
                <w:rFonts w:hint="default" w:ascii="Times New Roman" w:hAnsi="Times New Roman" w:cs="Times New Roman"/>
                <w:color w:val="000000"/>
                <w:sz w:val="21"/>
                <w:szCs w:val="21"/>
              </w:rPr>
              <w:t>平均流速</w:t>
            </w:r>
            <w:r>
              <w:rPr>
                <w:rFonts w:hint="default" w:ascii="Times New Roman" w:hAnsi="Times New Roman" w:cs="Times New Roman"/>
                <w:color w:val="000000"/>
                <w:spacing w:val="-16"/>
                <w:sz w:val="21"/>
                <w:szCs w:val="21"/>
              </w:rPr>
              <w:t>(</w:t>
            </w:r>
            <w:r>
              <w:rPr>
                <w:rFonts w:hint="default" w:ascii="Times New Roman" w:hAnsi="Times New Roman" w:cs="Times New Roman"/>
                <w:color w:val="000000"/>
                <w:sz w:val="21"/>
                <w:szCs w:val="21"/>
              </w:rPr>
              <w:t>m/s</w:t>
            </w:r>
            <w:r>
              <w:rPr>
                <w:rFonts w:hint="default" w:ascii="Times New Roman" w:hAnsi="Times New Roman" w:cs="Times New Roman"/>
                <w:color w:val="000000"/>
                <w:spacing w:val="-16"/>
                <w:sz w:val="21"/>
                <w:szCs w:val="21"/>
              </w:rPr>
              <w:t>)</w:t>
            </w:r>
          </w:p>
        </w:tc>
        <w:tc>
          <w:tcPr>
            <w:tcW w:w="1445" w:type="pct"/>
            <w:gridSpan w:val="2"/>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二甲苯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exact"/>
          <w:jc w:val="center"/>
        </w:trPr>
        <w:tc>
          <w:tcPr>
            <w:tcW w:w="598"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81" w:type="pct"/>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63" w:type="pct"/>
            <w:gridSpan w:val="2"/>
            <w:vMerge w:val="continue"/>
            <w:tcBorders>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726"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排放浓度</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（mg/m</w:t>
            </w:r>
            <w:r>
              <w:rPr>
                <w:rFonts w:hint="default"/>
                <w:b w:val="0"/>
                <w:bCs/>
                <w:sz w:val="21"/>
                <w:szCs w:val="21"/>
                <w:vertAlign w:val="superscript"/>
              </w:rPr>
              <w:t>3</w:t>
            </w:r>
            <w:r>
              <w:rPr>
                <w:rFonts w:hint="default"/>
                <w:b w:val="0"/>
                <w:bCs/>
                <w:sz w:val="21"/>
                <w:szCs w:val="21"/>
              </w:rPr>
              <w:t>）</w:t>
            </w:r>
          </w:p>
        </w:tc>
        <w:tc>
          <w:tcPr>
            <w:tcW w:w="718"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排放速率</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default"/>
                <w:b w:val="0"/>
                <w:bCs/>
                <w:sz w:val="21"/>
                <w:szCs w:val="21"/>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5"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2024.01.09</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b w:val="0"/>
                <w:bCs/>
                <w:sz w:val="21"/>
                <w:szCs w:val="21"/>
                <w:lang w:val="en-US" w:eastAsia="zh-CN"/>
              </w:rPr>
            </w:pPr>
            <w:r>
              <w:rPr>
                <w:rFonts w:hint="eastAsia"/>
                <w:b w:val="0"/>
                <w:bCs/>
                <w:sz w:val="21"/>
                <w:szCs w:val="21"/>
                <w:lang w:val="en-US" w:eastAsia="zh-CN"/>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42542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24.55</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41443</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23.84</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43226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24.75</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ascii="Times New Roman" w:hAnsi="Times New Roman" w:cs="Times New Roman"/>
                <w:color w:val="auto"/>
                <w:sz w:val="21"/>
                <w:szCs w:val="21"/>
                <w:lang w:val="en-US" w:eastAsia="zh-CN"/>
              </w:rPr>
              <w:t>喷涂</w:t>
            </w:r>
            <w:r>
              <w:rPr>
                <w:rFonts w:ascii="Times New Roman" w:hAnsi="Times New Roman" w:cs="Times New Roman"/>
                <w:color w:val="auto"/>
                <w:sz w:val="21"/>
                <w:szCs w:val="21"/>
              </w:rPr>
              <w:t>干式过滤+活性炭吸附/脱附+催化燃烧</w:t>
            </w:r>
            <w:r>
              <w:rPr>
                <w:rFonts w:hint="eastAsia"/>
                <w:b w:val="0"/>
                <w:bCs/>
                <w:sz w:val="21"/>
                <w:szCs w:val="21"/>
              </w:rPr>
              <w:t>出</w:t>
            </w:r>
            <w:r>
              <w:rPr>
                <w:rFonts w:hint="default"/>
                <w:b w:val="0"/>
                <w:bCs/>
                <w:sz w:val="21"/>
                <w:szCs w:val="21"/>
              </w:rPr>
              <w:t>口</w:t>
            </w:r>
            <w:r>
              <w:rPr>
                <w:rFonts w:hint="eastAsia"/>
                <w:b w:val="0"/>
                <w:bCs/>
                <w:sz w:val="21"/>
                <w:szCs w:val="21"/>
                <w:lang w:val="en-US" w:eastAsia="zh-CN"/>
              </w:rPr>
              <w:t>DA003</w:t>
            </w:r>
          </w:p>
        </w:tc>
        <w:tc>
          <w:tcPr>
            <w:tcW w:w="620"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rPr>
            </w:pPr>
            <w:r>
              <w:rPr>
                <w:rFonts w:hint="eastAsia"/>
                <w:b w:val="0"/>
                <w:bCs/>
                <w:sz w:val="21"/>
                <w:szCs w:val="21"/>
                <w:lang w:val="en-US" w:eastAsia="zh-CN"/>
              </w:rPr>
              <w:t>2024.01.10</w:t>
            </w:r>
          </w:p>
        </w:tc>
        <w:tc>
          <w:tcPr>
            <w:tcW w:w="465" w:type="pct"/>
            <w:vMerge w:val="restar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r>
              <w:rPr>
                <w:rFonts w:hint="eastAsia"/>
                <w:b w:val="0"/>
                <w:bCs/>
                <w:sz w:val="21"/>
                <w:szCs w:val="21"/>
              </w:rPr>
              <w:t>15</w:t>
            </w: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第一次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42976</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24.32</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第二次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41762</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23.79</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exact"/>
          <w:jc w:val="center"/>
        </w:trPr>
        <w:tc>
          <w:tcPr>
            <w:tcW w:w="598"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620"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465"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rPr>
            </w:pPr>
          </w:p>
        </w:tc>
        <w:tc>
          <w:tcPr>
            <w:tcW w:w="524"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default"/>
                <w:b w:val="0"/>
                <w:bCs/>
                <w:sz w:val="21"/>
                <w:szCs w:val="21"/>
                <w:lang w:val="en-US" w:eastAsia="zh-CN"/>
              </w:rPr>
              <w:t>第三次</w:t>
            </w:r>
          </w:p>
        </w:tc>
        <w:tc>
          <w:tcPr>
            <w:tcW w:w="681"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39457</w:t>
            </w:r>
          </w:p>
        </w:tc>
        <w:tc>
          <w:tcPr>
            <w:tcW w:w="663" w:type="pct"/>
            <w:gridSpan w:val="2"/>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22.71</w:t>
            </w:r>
          </w:p>
        </w:tc>
        <w:tc>
          <w:tcPr>
            <w:tcW w:w="1373"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未检出</w:t>
            </w:r>
          </w:p>
        </w:tc>
        <w:tc>
          <w:tcPr>
            <w:tcW w:w="1360" w:type="dxa"/>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b w:val="0"/>
                <w:bCs/>
                <w:sz w:val="21"/>
                <w:szCs w:val="21"/>
                <w:lang w:val="en-US" w:eastAsia="zh-CN"/>
              </w:rPr>
            </w:pPr>
            <w:r>
              <w:rPr>
                <w:rFonts w:hint="eastAsia"/>
                <w:b w:val="0"/>
                <w:bCs/>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排放限值</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70</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exact"/>
          <w:jc w:val="center"/>
        </w:trPr>
        <w:tc>
          <w:tcPr>
            <w:tcW w:w="1219"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rPr>
            </w:pPr>
            <w:r>
              <w:rPr>
                <w:rFonts w:hint="eastAsia"/>
                <w:b w:val="0"/>
                <w:bCs/>
                <w:sz w:val="21"/>
                <w:szCs w:val="21"/>
              </w:rPr>
              <w:t>达标情况</w:t>
            </w:r>
          </w:p>
        </w:tc>
        <w:tc>
          <w:tcPr>
            <w:tcW w:w="465"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524"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b w:val="0"/>
                <w:bCs/>
                <w:sz w:val="21"/>
                <w:szCs w:val="21"/>
                <w:lang w:val="en-US" w:eastAsia="zh-CN"/>
              </w:rPr>
            </w:pPr>
            <w:r>
              <w:rPr>
                <w:rFonts w:hint="eastAsia"/>
                <w:b w:val="0"/>
                <w:bCs/>
                <w:sz w:val="21"/>
                <w:szCs w:val="21"/>
                <w:lang w:val="en-US" w:eastAsia="zh-CN"/>
              </w:rPr>
              <w:t>/</w:t>
            </w:r>
          </w:p>
        </w:tc>
        <w:tc>
          <w:tcPr>
            <w:tcW w:w="684" w:type="pct"/>
            <w:gridSpan w:val="2"/>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66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w:t>
            </w:r>
          </w:p>
        </w:tc>
        <w:tc>
          <w:tcPr>
            <w:tcW w:w="726"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718" w:type="pct"/>
            <w:tcBorders>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bl>
    <w:p>
      <w:pPr>
        <w:ind w:firstLine="480"/>
        <w:rPr>
          <w:rFonts w:hint="default" w:eastAsiaTheme="minorEastAsia"/>
          <w:lang w:val="en-US" w:eastAsia="zh-CN"/>
        </w:rPr>
      </w:pPr>
      <w:r>
        <w:rPr>
          <w:rFonts w:hint="eastAsia"/>
        </w:rPr>
        <w:t>根据监测结果</w:t>
      </w:r>
      <w:r>
        <w:t>，</w:t>
      </w:r>
      <w:r>
        <w:rPr>
          <w:rFonts w:hint="eastAsia"/>
        </w:rPr>
        <w:t>项目</w:t>
      </w:r>
      <w:r>
        <w:rPr>
          <w:rFonts w:hint="eastAsia"/>
          <w:lang w:val="en-US" w:eastAsia="zh-CN"/>
        </w:rPr>
        <w:t>调漆、喷涂及晾干产生的颗粒物、非甲烷总烃、二甲苯经干式过滤+活性炭吸附/脱附+催化燃烧装置处理后，颗粒物、非甲烷总烃、二甲苯排放浓度及排放速率均能满足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中标准限值。</w:t>
      </w:r>
    </w:p>
    <w:p>
      <w:pPr>
        <w:ind w:firstLine="480"/>
      </w:pPr>
      <w:r>
        <w:t>2、无组织废气</w:t>
      </w:r>
    </w:p>
    <w:p>
      <w:pPr>
        <w:ind w:firstLine="480"/>
      </w:pPr>
      <w:r>
        <w:t>项目厂界</w:t>
      </w:r>
      <w:r>
        <w:rPr>
          <w:rFonts w:hint="eastAsia"/>
          <w:lang w:val="en-US" w:eastAsia="zh-CN"/>
        </w:rPr>
        <w:t>颗粒物、</w:t>
      </w:r>
      <w:r>
        <w:t>非甲烷总烃</w:t>
      </w:r>
      <w:r>
        <w:rPr>
          <w:rFonts w:hint="eastAsia"/>
          <w:lang w:eastAsia="zh-CN"/>
        </w:rPr>
        <w:t>、</w:t>
      </w:r>
      <w:r>
        <w:rPr>
          <w:rFonts w:hint="eastAsia"/>
          <w:lang w:val="en-US" w:eastAsia="zh-CN"/>
        </w:rPr>
        <w:t>二甲苯</w:t>
      </w:r>
      <w:r>
        <w:rPr>
          <w:rFonts w:hint="eastAsia"/>
        </w:rPr>
        <w:t>等废气污染物无组织</w:t>
      </w:r>
      <w:r>
        <w:t>排放</w:t>
      </w:r>
      <w:r>
        <w:rPr>
          <w:rFonts w:hint="eastAsia"/>
        </w:rPr>
        <w:t>监测结果</w:t>
      </w:r>
      <w:r>
        <w:t>见下表。</w:t>
      </w:r>
    </w:p>
    <w:p>
      <w:pPr>
        <w:ind w:firstLine="480"/>
        <w:jc w:val="center"/>
        <w:rPr>
          <w:b/>
          <w:bCs/>
        </w:rPr>
      </w:pPr>
      <w:r>
        <w:rPr>
          <w:b/>
          <w:bCs/>
        </w:rPr>
        <w:t>表9.2-</w:t>
      </w:r>
      <w:r>
        <w:rPr>
          <w:rFonts w:hint="eastAsia"/>
          <w:b/>
          <w:bCs/>
          <w:lang w:val="en-US" w:eastAsia="zh-CN"/>
        </w:rPr>
        <w:t>6</w:t>
      </w:r>
      <w:r>
        <w:rPr>
          <w:b/>
          <w:bCs/>
        </w:rPr>
        <w:t xml:space="preserve">  厂</w:t>
      </w:r>
      <w:r>
        <w:rPr>
          <w:rFonts w:hint="eastAsia"/>
          <w:b/>
          <w:bCs/>
        </w:rPr>
        <w:t>界废气</w:t>
      </w:r>
      <w:r>
        <w:rPr>
          <w:b/>
          <w:bCs/>
        </w:rPr>
        <w:t>无组织排放监测结果统计评价表</w:t>
      </w:r>
    </w:p>
    <w:tbl>
      <w:tblPr>
        <w:tblStyle w:val="43"/>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2"/>
        <w:gridCol w:w="1671"/>
        <w:gridCol w:w="2650"/>
        <w:gridCol w:w="2707"/>
        <w:gridCol w:w="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1276" w:type="pct"/>
            <w:vMerge w:val="restart"/>
            <w:tcBorders>
              <w:top w:val="single" w:color="auto" w:sz="4" w:space="0"/>
              <w:left w:val="single" w:color="auto" w:sz="4" w:space="0"/>
              <w:right w:val="single" w:color="auto" w:sz="4" w:space="0"/>
            </w:tcBorders>
            <w:vAlign w:val="center"/>
          </w:tcPr>
          <w:p>
            <w:pPr>
              <w:ind w:firstLine="480"/>
              <w:rPr>
                <w:b/>
                <w:bCs/>
                <w:sz w:val="21"/>
                <w:szCs w:val="21"/>
              </w:rPr>
            </w:pPr>
            <w:r>
              <w:rPr>
                <w:b/>
                <w:bCs/>
                <w:sz w:val="21"/>
                <w:szCs w:val="21"/>
              </w:rPr>
              <w:t>检测点位</w:t>
            </w:r>
          </w:p>
          <w:p>
            <w:pPr>
              <w:ind w:firstLine="480"/>
              <w:rPr>
                <w:b/>
                <w:bCs/>
                <w:sz w:val="21"/>
                <w:szCs w:val="21"/>
              </w:rPr>
            </w:pPr>
            <w:r>
              <w:rPr>
                <w:b/>
                <w:bCs/>
                <w:sz w:val="21"/>
                <w:szCs w:val="21"/>
              </w:rPr>
              <w:t>编 号</w:t>
            </w:r>
          </w:p>
        </w:tc>
        <w:tc>
          <w:tcPr>
            <w:tcW w:w="884" w:type="pct"/>
            <w:vMerge w:val="restart"/>
            <w:tcBorders>
              <w:top w:val="single" w:color="auto" w:sz="4" w:space="0"/>
              <w:left w:val="single" w:color="auto" w:sz="4" w:space="0"/>
              <w:right w:val="single" w:color="auto" w:sz="4" w:space="0"/>
            </w:tcBorders>
            <w:vAlign w:val="center"/>
          </w:tcPr>
          <w:p>
            <w:pPr>
              <w:ind w:left="0" w:leftChars="0" w:firstLine="0" w:firstLineChars="0"/>
              <w:rPr>
                <w:b/>
                <w:bCs/>
                <w:sz w:val="21"/>
                <w:szCs w:val="21"/>
              </w:rPr>
            </w:pPr>
            <w:r>
              <w:rPr>
                <w:b/>
                <w:bCs/>
                <w:sz w:val="21"/>
                <w:szCs w:val="21"/>
              </w:rPr>
              <w:t>检测频次</w:t>
            </w:r>
          </w:p>
        </w:tc>
        <w:tc>
          <w:tcPr>
            <w:tcW w:w="2839" w:type="pct"/>
            <w:gridSpan w:val="3"/>
            <w:tcBorders>
              <w:top w:val="single" w:color="auto" w:sz="4" w:space="0"/>
              <w:left w:val="single" w:color="auto" w:sz="4" w:space="0"/>
              <w:bottom w:val="single" w:color="auto" w:sz="4" w:space="0"/>
              <w:right w:val="single" w:color="auto" w:sz="4" w:space="0"/>
            </w:tcBorders>
            <w:vAlign w:val="center"/>
          </w:tcPr>
          <w:p>
            <w:pPr>
              <w:ind w:firstLine="480"/>
              <w:rPr>
                <w:b/>
                <w:bCs/>
                <w:sz w:val="21"/>
                <w:szCs w:val="21"/>
              </w:rPr>
            </w:pPr>
            <w:r>
              <w:rPr>
                <w:b/>
                <w:bCs/>
                <w:sz w:val="21"/>
                <w:szCs w:val="21"/>
              </w:rPr>
              <w:t>检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5" w:hRule="atLeast"/>
          <w:jc w:val="center"/>
        </w:trPr>
        <w:tc>
          <w:tcPr>
            <w:tcW w:w="1276" w:type="pct"/>
            <w:vMerge w:val="continue"/>
            <w:tcBorders>
              <w:left w:val="single" w:color="auto" w:sz="4" w:space="0"/>
              <w:right w:val="single" w:color="auto" w:sz="4" w:space="0"/>
            </w:tcBorders>
            <w:vAlign w:val="center"/>
          </w:tcPr>
          <w:p>
            <w:pPr>
              <w:ind w:firstLine="480"/>
              <w:rPr>
                <w:b/>
                <w:bCs/>
                <w:sz w:val="21"/>
                <w:szCs w:val="21"/>
              </w:rPr>
            </w:pPr>
          </w:p>
        </w:tc>
        <w:tc>
          <w:tcPr>
            <w:tcW w:w="884" w:type="pct"/>
            <w:vMerge w:val="continue"/>
            <w:tcBorders>
              <w:left w:val="single" w:color="auto" w:sz="4" w:space="0"/>
              <w:right w:val="single" w:color="auto" w:sz="4" w:space="0"/>
            </w:tcBorders>
            <w:vAlign w:val="center"/>
          </w:tcPr>
          <w:p>
            <w:pPr>
              <w:ind w:firstLine="480"/>
              <w:rPr>
                <w:b/>
                <w:bCs/>
                <w:sz w:val="21"/>
                <w:szCs w:val="21"/>
              </w:rPr>
            </w:pPr>
          </w:p>
        </w:tc>
        <w:tc>
          <w:tcPr>
            <w:tcW w:w="1402" w:type="pct"/>
            <w:tcBorders>
              <w:top w:val="single" w:color="auto" w:sz="4" w:space="0"/>
              <w:left w:val="single" w:color="auto" w:sz="4" w:space="0"/>
              <w:right w:val="single" w:color="auto" w:sz="4" w:space="0"/>
            </w:tcBorders>
            <w:vAlign w:val="center"/>
          </w:tcPr>
          <w:p>
            <w:pPr>
              <w:ind w:left="0" w:leftChars="0" w:firstLine="0" w:firstLineChars="0"/>
              <w:rPr>
                <w:b/>
                <w:bCs/>
                <w:sz w:val="21"/>
                <w:szCs w:val="21"/>
              </w:rPr>
            </w:pPr>
            <w:r>
              <w:rPr>
                <w:rFonts w:hint="eastAsia"/>
                <w:b/>
                <w:bCs/>
                <w:sz w:val="21"/>
                <w:szCs w:val="21"/>
                <w:lang w:val="en-US" w:eastAsia="zh-CN"/>
              </w:rPr>
              <w:t>颗粒物</w:t>
            </w:r>
            <w:r>
              <w:rPr>
                <w:b/>
                <w:bCs/>
                <w:sz w:val="21"/>
                <w:szCs w:val="21"/>
              </w:rPr>
              <w:t>（mg/m</w:t>
            </w:r>
            <w:r>
              <w:rPr>
                <w:b/>
                <w:bCs/>
                <w:sz w:val="21"/>
                <w:szCs w:val="21"/>
                <w:vertAlign w:val="superscript"/>
              </w:rPr>
              <w:t>3</w:t>
            </w:r>
            <w:r>
              <w:rPr>
                <w:b/>
                <w:bCs/>
                <w:sz w:val="21"/>
                <w:szCs w:val="21"/>
              </w:rPr>
              <w:t>）</w:t>
            </w:r>
          </w:p>
        </w:tc>
        <w:tc>
          <w:tcPr>
            <w:tcW w:w="1431" w:type="pct"/>
            <w:tcBorders>
              <w:top w:val="single" w:color="auto" w:sz="4" w:space="0"/>
              <w:left w:val="single" w:color="auto" w:sz="4" w:space="0"/>
              <w:right w:val="single" w:color="auto" w:sz="4" w:space="0"/>
            </w:tcBorders>
            <w:vAlign w:val="center"/>
          </w:tcPr>
          <w:p>
            <w:pPr>
              <w:ind w:left="209" w:leftChars="87" w:firstLine="0" w:firstLineChars="0"/>
              <w:rPr>
                <w:b/>
                <w:bCs/>
                <w:sz w:val="21"/>
                <w:szCs w:val="21"/>
              </w:rPr>
            </w:pPr>
            <w:r>
              <w:rPr>
                <w:rFonts w:hint="eastAsia"/>
                <w:b/>
                <w:bCs/>
                <w:sz w:val="21"/>
                <w:szCs w:val="21"/>
                <w:lang w:val="en-US" w:eastAsia="zh-CN"/>
              </w:rPr>
              <w:t>二甲苯</w:t>
            </w:r>
            <w:r>
              <w:rPr>
                <w:b/>
                <w:bCs/>
                <w:sz w:val="21"/>
                <w:szCs w:val="21"/>
              </w:rPr>
              <w:t>（mg/m</w:t>
            </w:r>
            <w:r>
              <w:rPr>
                <w:b/>
                <w:bCs/>
                <w:sz w:val="21"/>
                <w:szCs w:val="21"/>
                <w:vertAlign w:val="superscript"/>
              </w:rPr>
              <w:t>3</w:t>
            </w:r>
            <w:r>
              <w:rPr>
                <w:b/>
                <w:bCs/>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exact"/>
          <w:jc w:val="center"/>
        </w:trPr>
        <w:tc>
          <w:tcPr>
            <w:tcW w:w="3562" w:type="pct"/>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采样日期：2024.01.10</w:t>
            </w:r>
          </w:p>
        </w:tc>
        <w:tc>
          <w:tcPr>
            <w:tcW w:w="1437"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G1（上风向）</w:t>
            </w:r>
          </w:p>
        </w:tc>
        <w:tc>
          <w:tcPr>
            <w:tcW w:w="884" w:type="pct"/>
            <w:tcBorders>
              <w:top w:val="single" w:color="auto" w:sz="4" w:space="0"/>
              <w:left w:val="single" w:color="auto" w:sz="4" w:space="0"/>
              <w:bottom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10:30-11:30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0.245</w:t>
            </w:r>
          </w:p>
        </w:tc>
        <w:tc>
          <w:tcPr>
            <w:tcW w:w="143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top w:val="single" w:color="auto" w:sz="4" w:space="0"/>
              <w:left w:val="single" w:color="auto" w:sz="4" w:space="0"/>
              <w:bottom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0.229</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top w:val="single" w:color="auto" w:sz="4" w:space="0"/>
              <w:left w:val="single" w:color="auto" w:sz="4" w:space="0"/>
              <w:bottom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14:30-15:30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0.235</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top w:val="single" w:color="auto" w:sz="4" w:space="0"/>
              <w:left w:val="single" w:color="auto" w:sz="4" w:space="0"/>
              <w:bottom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16:00-17:00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0.231</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G2（下风向）</w:t>
            </w:r>
          </w:p>
        </w:tc>
        <w:tc>
          <w:tcPr>
            <w:tcW w:w="884" w:type="pct"/>
            <w:tcBorders>
              <w:top w:val="single" w:color="auto" w:sz="4" w:space="0"/>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10:30-11:30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0.280</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0.277</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14:30-15:30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0.284</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16:00-17:00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0.278</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G4（下风向）</w:t>
            </w: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10:30-11:30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0.310</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0.330</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14:30-15:30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0.337</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16:00-17:00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0.305</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G4下风向）</w:t>
            </w: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10:30-11:30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0.293</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0.295</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14:30-15:30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0.302</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16:00-17:00</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0.307</w:t>
            </w:r>
          </w:p>
        </w:tc>
        <w:tc>
          <w:tcPr>
            <w:tcW w:w="1431" w:type="pct"/>
            <w:tcBorders>
              <w:left w:val="single" w:color="auto" w:sz="4" w:space="0"/>
              <w:right w:val="single" w:color="auto" w:sz="4" w:space="0"/>
            </w:tcBorders>
            <w:vAlign w:val="center"/>
          </w:tcPr>
          <w:p>
            <w:pPr>
              <w:ind w:firstLine="460" w:firstLineChars="200"/>
              <w:jc w:val="center"/>
              <w:rPr>
                <w:rFonts w:hint="eastAsia"/>
                <w:b w:val="0"/>
                <w:bCs/>
                <w:sz w:val="21"/>
                <w:szCs w:val="21"/>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2160" w:type="pct"/>
            <w:gridSpan w:val="2"/>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排放限值</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1.0</w:t>
            </w:r>
          </w:p>
        </w:tc>
        <w:tc>
          <w:tcPr>
            <w:tcW w:w="143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2160" w:type="pct"/>
            <w:gridSpan w:val="2"/>
            <w:tcBorders>
              <w:left w:val="single" w:color="auto" w:sz="4" w:space="0"/>
            </w:tcBorders>
            <w:vAlign w:val="center"/>
          </w:tcPr>
          <w:p>
            <w:pPr>
              <w:ind w:firstLine="1470" w:firstLineChars="700"/>
              <w:jc w:val="both"/>
              <w:rPr>
                <w:sz w:val="21"/>
                <w:szCs w:val="21"/>
              </w:rPr>
            </w:pPr>
            <w:r>
              <w:rPr>
                <w:rFonts w:hint="eastAsia"/>
                <w:sz w:val="21"/>
                <w:szCs w:val="21"/>
              </w:rPr>
              <w:t>达标情况</w:t>
            </w:r>
          </w:p>
        </w:tc>
        <w:tc>
          <w:tcPr>
            <w:tcW w:w="1402"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c>
          <w:tcPr>
            <w:tcW w:w="1431" w:type="pct"/>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b w:val="0"/>
                <w:bCs/>
                <w:sz w:val="21"/>
                <w:szCs w:val="21"/>
                <w:lang w:val="en-US" w:eastAsia="zh-CN"/>
              </w:rPr>
            </w:pPr>
            <w:r>
              <w:rPr>
                <w:rFonts w:hint="eastAsia"/>
                <w:b w:val="0"/>
                <w:bCs/>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4994" w:type="pct"/>
            <w:gridSpan w:val="4"/>
            <w:tcBorders>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b w:val="0"/>
                <w:bCs/>
                <w:sz w:val="21"/>
                <w:szCs w:val="21"/>
                <w:lang w:val="en-US" w:eastAsia="zh-CN"/>
              </w:rPr>
            </w:pPr>
            <w:r>
              <w:rPr>
                <w:rFonts w:hint="eastAsia"/>
                <w:b w:val="0"/>
                <w:bCs/>
                <w:sz w:val="21"/>
                <w:szCs w:val="21"/>
                <w:lang w:val="en-US" w:eastAsia="zh-CN"/>
              </w:rPr>
              <w:t>采样日期：2024.01.11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G1（上风向）</w:t>
            </w:r>
          </w:p>
        </w:tc>
        <w:tc>
          <w:tcPr>
            <w:tcW w:w="884" w:type="pct"/>
            <w:tcBorders>
              <w:top w:val="single" w:color="auto" w:sz="4" w:space="0"/>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09:50-10:50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0.219</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11:00-12:00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0.220</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0.252</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eastAsia"/>
                <w:b w:val="0"/>
                <w:bCs/>
                <w:sz w:val="21"/>
                <w:szCs w:val="21"/>
                <w:lang w:val="en-US" w:eastAsia="zh-CN"/>
              </w:rPr>
            </w:pPr>
            <w:r>
              <w:rPr>
                <w:rFonts w:hint="eastAsia"/>
                <w:b w:val="0"/>
                <w:bCs/>
                <w:sz w:val="21"/>
                <w:szCs w:val="21"/>
                <w:lang w:val="en-US" w:eastAsia="zh-CN"/>
              </w:rPr>
              <w:t>14:10-15:10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0.226</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G2（下风向）</w:t>
            </w: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09:50-10:50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0.278</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11:00-12:00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0.272</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0.271</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14:10-15:10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0.273</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G3（下风向）</w:t>
            </w: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09:50-10:50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0.304</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11:00-12:00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0.309</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0.323</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14:10-15:10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0.327</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restart"/>
            <w:tcBorders>
              <w:top w:val="single" w:color="auto" w:sz="4" w:space="0"/>
              <w:left w:val="single" w:color="auto" w:sz="4" w:space="0"/>
              <w:righ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G4下风向）</w:t>
            </w: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09:50-10:50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0.291</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11:00-12:00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0.297</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36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13:00-14:00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0.309</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1276" w:type="pct"/>
            <w:vMerge w:val="continue"/>
            <w:tcBorders>
              <w:left w:val="single" w:color="auto" w:sz="4" w:space="0"/>
              <w:right w:val="single" w:color="auto" w:sz="4" w:space="0"/>
            </w:tcBorders>
            <w:vAlign w:val="center"/>
          </w:tcPr>
          <w:p>
            <w:pPr>
              <w:ind w:firstLine="480"/>
              <w:rPr>
                <w:sz w:val="21"/>
                <w:szCs w:val="21"/>
              </w:rPr>
            </w:pPr>
          </w:p>
        </w:tc>
        <w:tc>
          <w:tcPr>
            <w:tcW w:w="884" w:type="pct"/>
            <w:tcBorders>
              <w:left w:val="single" w:color="auto" w:sz="4" w:space="0"/>
            </w:tcBorders>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sz w:val="21"/>
                <w:szCs w:val="21"/>
              </w:rPr>
            </w:pPr>
            <w:r>
              <w:rPr>
                <w:rFonts w:hint="eastAsia"/>
                <w:b w:val="0"/>
                <w:bCs/>
                <w:sz w:val="21"/>
                <w:szCs w:val="21"/>
                <w:lang w:val="en-US" w:eastAsia="zh-CN"/>
              </w:rPr>
              <w:t>14:10-15:10</w:t>
            </w:r>
          </w:p>
        </w:tc>
        <w:tc>
          <w:tcPr>
            <w:tcW w:w="1402"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0.291</w:t>
            </w:r>
          </w:p>
        </w:tc>
        <w:tc>
          <w:tcPr>
            <w:tcW w:w="1431" w:type="pct"/>
            <w:tcBorders>
              <w:left w:val="single" w:color="auto" w:sz="4" w:space="0"/>
              <w:right w:val="single" w:color="auto" w:sz="4" w:space="0"/>
            </w:tcBorders>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2160" w:type="pct"/>
            <w:gridSpan w:val="2"/>
            <w:tcBorders>
              <w:left w:val="single" w:color="auto" w:sz="4" w:space="0"/>
            </w:tcBorders>
            <w:vAlign w:val="center"/>
          </w:tcPr>
          <w:p>
            <w:pPr>
              <w:ind w:firstLine="480"/>
              <w:rPr>
                <w:sz w:val="21"/>
                <w:szCs w:val="21"/>
              </w:rPr>
            </w:pPr>
            <w:r>
              <w:rPr>
                <w:rFonts w:hint="eastAsia"/>
                <w:sz w:val="21"/>
                <w:szCs w:val="21"/>
              </w:rPr>
              <w:t>排放限值</w:t>
            </w:r>
          </w:p>
        </w:tc>
        <w:tc>
          <w:tcPr>
            <w:tcW w:w="1402" w:type="pct"/>
            <w:tcBorders>
              <w:left w:val="single" w:color="auto" w:sz="4" w:space="0"/>
              <w:right w:val="single" w:color="auto" w:sz="4" w:space="0"/>
            </w:tcBorders>
            <w:vAlign w:val="center"/>
          </w:tcPr>
          <w:p>
            <w:pPr>
              <w:ind w:firstLine="480"/>
              <w:jc w:val="center"/>
              <w:rPr>
                <w:rFonts w:hint="default"/>
                <w:sz w:val="21"/>
                <w:szCs w:val="21"/>
                <w:lang w:val="en-US" w:eastAsia="zh-CN"/>
              </w:rPr>
            </w:pPr>
            <w:r>
              <w:rPr>
                <w:rFonts w:hint="eastAsia"/>
                <w:sz w:val="21"/>
                <w:szCs w:val="21"/>
                <w:lang w:val="en-US" w:eastAsia="zh-CN"/>
              </w:rPr>
              <w:t>1.0</w:t>
            </w:r>
          </w:p>
        </w:tc>
        <w:tc>
          <w:tcPr>
            <w:tcW w:w="1431" w:type="pct"/>
            <w:tcBorders>
              <w:left w:val="single" w:color="auto" w:sz="4" w:space="0"/>
              <w:right w:val="single" w:color="auto" w:sz="4" w:space="0"/>
            </w:tcBorders>
            <w:vAlign w:val="center"/>
          </w:tcPr>
          <w:p>
            <w:pPr>
              <w:ind w:firstLine="480"/>
              <w:jc w:val="center"/>
              <w:rPr>
                <w:rFonts w:hint="default"/>
                <w:sz w:val="21"/>
                <w:szCs w:val="21"/>
                <w:lang w:val="en-US" w:eastAsia="zh-CN"/>
              </w:rPr>
            </w:pPr>
            <w:r>
              <w:rPr>
                <w:rFonts w:hint="eastAsia"/>
                <w:sz w:val="21"/>
                <w:szCs w:val="21"/>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437" w:hRule="exact"/>
          <w:jc w:val="center"/>
        </w:trPr>
        <w:tc>
          <w:tcPr>
            <w:tcW w:w="2160" w:type="pct"/>
            <w:gridSpan w:val="2"/>
            <w:tcBorders>
              <w:left w:val="single" w:color="auto" w:sz="4" w:space="0"/>
            </w:tcBorders>
            <w:vAlign w:val="center"/>
          </w:tcPr>
          <w:p>
            <w:pPr>
              <w:ind w:firstLine="480"/>
              <w:rPr>
                <w:sz w:val="21"/>
                <w:szCs w:val="21"/>
              </w:rPr>
            </w:pPr>
            <w:r>
              <w:rPr>
                <w:rFonts w:hint="eastAsia"/>
                <w:sz w:val="21"/>
                <w:szCs w:val="21"/>
              </w:rPr>
              <w:t>达标情况</w:t>
            </w:r>
          </w:p>
        </w:tc>
        <w:tc>
          <w:tcPr>
            <w:tcW w:w="1402" w:type="pct"/>
            <w:tcBorders>
              <w:left w:val="single" w:color="auto" w:sz="4" w:space="0"/>
              <w:right w:val="single" w:color="auto" w:sz="4" w:space="0"/>
            </w:tcBorders>
            <w:vAlign w:val="center"/>
          </w:tcPr>
          <w:p>
            <w:pPr>
              <w:ind w:firstLine="480"/>
              <w:jc w:val="center"/>
              <w:rPr>
                <w:sz w:val="21"/>
                <w:szCs w:val="21"/>
              </w:rPr>
            </w:pPr>
            <w:r>
              <w:rPr>
                <w:rFonts w:hint="eastAsia"/>
                <w:sz w:val="21"/>
                <w:szCs w:val="21"/>
              </w:rPr>
              <w:t>达标</w:t>
            </w:r>
          </w:p>
        </w:tc>
        <w:tc>
          <w:tcPr>
            <w:tcW w:w="1431" w:type="pct"/>
            <w:tcBorders>
              <w:left w:val="single" w:color="auto" w:sz="4" w:space="0"/>
              <w:righ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达标</w:t>
            </w:r>
          </w:p>
        </w:tc>
      </w:tr>
    </w:tbl>
    <w:p>
      <w:pPr>
        <w:jc w:val="center"/>
        <w:rPr>
          <w:rFonts w:hint="default"/>
          <w:b/>
          <w:color w:val="auto"/>
          <w:sz w:val="24"/>
          <w:lang w:val="en-US" w:eastAsia="zh-CN"/>
        </w:rPr>
      </w:pPr>
      <w:r>
        <w:rPr>
          <w:rFonts w:hint="default"/>
          <w:b/>
          <w:color w:val="auto"/>
          <w:sz w:val="24"/>
          <w:lang w:val="en-US" w:eastAsia="zh-CN"/>
        </w:rPr>
        <w:t>表9.2-</w:t>
      </w:r>
      <w:r>
        <w:rPr>
          <w:rFonts w:hint="eastAsia"/>
          <w:b/>
          <w:color w:val="auto"/>
          <w:sz w:val="24"/>
          <w:lang w:val="en-US" w:eastAsia="zh-CN"/>
        </w:rPr>
        <w:t>2</w:t>
      </w:r>
      <w:r>
        <w:rPr>
          <w:rFonts w:hint="default"/>
          <w:b/>
          <w:color w:val="auto"/>
          <w:sz w:val="24"/>
          <w:lang w:val="en-US" w:eastAsia="zh-CN"/>
        </w:rPr>
        <w:t xml:space="preserve"> </w:t>
      </w:r>
      <w:r>
        <w:rPr>
          <w:rFonts w:hint="eastAsia"/>
          <w:b/>
          <w:color w:val="auto"/>
          <w:sz w:val="24"/>
          <w:lang w:val="en-US" w:eastAsia="zh-CN"/>
        </w:rPr>
        <w:t>无组织</w:t>
      </w:r>
      <w:r>
        <w:rPr>
          <w:rFonts w:hint="default"/>
          <w:b/>
          <w:color w:val="auto"/>
          <w:sz w:val="24"/>
          <w:lang w:val="en-US" w:eastAsia="zh-CN"/>
        </w:rPr>
        <w:t>非甲烷总烃排放监测结果统计评价表</w:t>
      </w:r>
    </w:p>
    <w:tbl>
      <w:tblPr>
        <w:tblStyle w:val="43"/>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7"/>
        <w:gridCol w:w="1313"/>
        <w:gridCol w:w="6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866" w:type="pct"/>
            <w:vMerge w:val="restart"/>
            <w:tcBorders>
              <w:top w:val="single" w:color="auto" w:sz="4" w:space="0"/>
              <w:left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 w:val="18"/>
                <w:szCs w:val="18"/>
              </w:rPr>
            </w:pPr>
            <w:r>
              <w:rPr>
                <w:rFonts w:hint="default" w:ascii="Times New Roman" w:hAnsi="Times New Roman" w:cs="Times New Roman"/>
                <w:b/>
                <w:bCs/>
                <w:sz w:val="18"/>
                <w:szCs w:val="18"/>
              </w:rPr>
              <w:t>检测点位</w:t>
            </w:r>
          </w:p>
          <w:p>
            <w:pPr>
              <w:keepNext w:val="0"/>
              <w:keepLines w:val="0"/>
              <w:suppressLineNumbers w:val="0"/>
              <w:spacing w:before="0" w:beforeAutospacing="0" w:after="0" w:afterAutospacing="0"/>
              <w:ind w:left="0" w:right="0"/>
              <w:jc w:val="center"/>
              <w:rPr>
                <w:rFonts w:hint="default" w:ascii="Times New Roman" w:hAnsi="Times New Roman" w:cs="Times New Roman"/>
                <w:b/>
                <w:bCs/>
                <w:sz w:val="18"/>
                <w:szCs w:val="18"/>
              </w:rPr>
            </w:pPr>
            <w:r>
              <w:rPr>
                <w:rFonts w:hint="default" w:ascii="Times New Roman" w:hAnsi="Times New Roman" w:cs="Times New Roman"/>
                <w:b/>
                <w:bCs/>
                <w:sz w:val="18"/>
                <w:szCs w:val="18"/>
              </w:rPr>
              <w:t>编号</w:t>
            </w:r>
          </w:p>
        </w:tc>
        <w:tc>
          <w:tcPr>
            <w:tcW w:w="694" w:type="pct"/>
            <w:vMerge w:val="restart"/>
            <w:tcBorders>
              <w:top w:val="single" w:color="auto" w:sz="4" w:space="0"/>
              <w:left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 w:val="18"/>
                <w:szCs w:val="18"/>
              </w:rPr>
            </w:pPr>
            <w:r>
              <w:rPr>
                <w:rFonts w:hint="default" w:ascii="Times New Roman" w:hAnsi="Times New Roman" w:cs="Times New Roman"/>
                <w:b/>
                <w:bCs/>
                <w:sz w:val="18"/>
                <w:szCs w:val="18"/>
              </w:rPr>
              <w:t>检测频次</w:t>
            </w:r>
          </w:p>
        </w:tc>
        <w:tc>
          <w:tcPr>
            <w:tcW w:w="3438" w:type="pct"/>
            <w:tcBorders>
              <w:top w:val="single" w:color="auto" w:sz="4" w:space="0"/>
              <w:left w:val="single" w:color="auto" w:sz="4" w:space="0"/>
              <w:bottom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 w:val="18"/>
                <w:szCs w:val="18"/>
              </w:rPr>
            </w:pPr>
            <w:r>
              <w:rPr>
                <w:rFonts w:hint="default" w:ascii="Times New Roman" w:hAnsi="Times New Roman" w:cs="Times New Roman"/>
                <w:b/>
                <w:bCs/>
                <w:sz w:val="18"/>
                <w:szCs w:val="18"/>
              </w:rPr>
              <w:t>检 测 结 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66" w:type="pct"/>
            <w:vMerge w:val="continue"/>
            <w:tcBorders>
              <w:left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 w:val="18"/>
                <w:szCs w:val="18"/>
              </w:rPr>
            </w:pPr>
          </w:p>
        </w:tc>
        <w:tc>
          <w:tcPr>
            <w:tcW w:w="694" w:type="pct"/>
            <w:vMerge w:val="continue"/>
            <w:tcBorders>
              <w:left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 w:val="18"/>
                <w:szCs w:val="18"/>
              </w:rPr>
            </w:pPr>
          </w:p>
        </w:tc>
        <w:tc>
          <w:tcPr>
            <w:tcW w:w="3438" w:type="pct"/>
            <w:tcBorders>
              <w:top w:val="single" w:color="auto" w:sz="4" w:space="0"/>
              <w:left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Cs/>
                <w:sz w:val="18"/>
                <w:szCs w:val="18"/>
              </w:rPr>
            </w:pPr>
            <w:r>
              <w:rPr>
                <w:rFonts w:hint="default" w:ascii="Times New Roman" w:hAnsi="Times New Roman" w:cs="Times New Roman"/>
                <w:b/>
                <w:bCs/>
                <w:sz w:val="18"/>
                <w:szCs w:val="18"/>
              </w:rPr>
              <w:t>非甲烷总烃</w:t>
            </w:r>
            <w:r>
              <w:rPr>
                <w:rFonts w:hint="default" w:ascii="Times New Roman" w:hAnsi="Times New Roman" w:cs="Times New Roman"/>
                <w:bCs/>
                <w:sz w:val="18"/>
                <w:szCs w:val="18"/>
              </w:rPr>
              <w:t>（mg/m</w:t>
            </w:r>
            <w:r>
              <w:rPr>
                <w:rFonts w:hint="default" w:ascii="Times New Roman" w:hAnsi="Times New Roman" w:cs="Times New Roman"/>
                <w:bCs/>
                <w:sz w:val="18"/>
                <w:szCs w:val="18"/>
                <w:vertAlign w:val="superscript"/>
              </w:rPr>
              <w:t>3</w:t>
            </w:r>
            <w:r>
              <w:rPr>
                <w:rFonts w:hint="default" w:ascii="Times New Roman" w:hAnsi="Times New Roman" w:cs="Times New Roman"/>
                <w:bCs/>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exact"/>
          <w:jc w:val="center"/>
        </w:trPr>
        <w:tc>
          <w:tcPr>
            <w:tcW w:w="5000" w:type="pct"/>
            <w:gridSpan w:val="3"/>
            <w:tcBorders>
              <w:top w:val="single" w:color="auto" w:sz="4" w:space="0"/>
              <w:left w:val="single" w:color="auto" w:sz="4" w:space="0"/>
              <w:bottom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b/>
                <w:bCs/>
                <w:sz w:val="18"/>
                <w:szCs w:val="18"/>
                <w:lang w:val="en-US" w:eastAsia="zh-CN"/>
              </w:rPr>
            </w:pPr>
            <w:r>
              <w:rPr>
                <w:rFonts w:hint="default" w:ascii="Times New Roman" w:hAnsi="Times New Roman" w:cs="Times New Roman"/>
                <w:b/>
                <w:sz w:val="18"/>
                <w:szCs w:val="18"/>
              </w:rPr>
              <w:t>采样日期：</w:t>
            </w:r>
            <w:r>
              <w:rPr>
                <w:rFonts w:hint="eastAsia" w:ascii="Times New Roman" w:hAnsi="Times New Roman" w:cs="Times New Roman"/>
                <w:b/>
                <w:sz w:val="18"/>
                <w:szCs w:val="18"/>
                <w:lang w:val="en-US" w:eastAsia="zh-CN"/>
              </w:rPr>
              <w:t>2024.01.09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sz w:val="18"/>
                <w:szCs w:val="18"/>
              </w:rPr>
            </w:pPr>
            <w:r>
              <w:rPr>
                <w:rFonts w:hint="eastAsia"/>
                <w:b w:val="0"/>
                <w:bCs/>
                <w:sz w:val="21"/>
                <w:szCs w:val="21"/>
                <w:lang w:val="en-US" w:eastAsia="zh-CN"/>
              </w:rPr>
              <w:t>G1（上风向）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10:40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13:16</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14:30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16:16</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rPr>
            </w:pPr>
            <w:r>
              <w:rPr>
                <w:rFonts w:hint="eastAsia"/>
                <w:b w:val="0"/>
                <w:bCs/>
                <w:sz w:val="21"/>
                <w:szCs w:val="21"/>
                <w:lang w:val="en-US" w:eastAsia="zh-CN"/>
              </w:rPr>
              <w:t>G2（下风向）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10:36</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13:07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14:37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16:12</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rPr>
            </w:pPr>
            <w:r>
              <w:rPr>
                <w:rFonts w:hint="eastAsia"/>
                <w:b w:val="0"/>
                <w:bCs/>
                <w:sz w:val="21"/>
                <w:szCs w:val="21"/>
                <w:lang w:val="en-US" w:eastAsia="zh-CN"/>
              </w:rPr>
              <w:t>G3（下风向）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10:32</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13:09</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14:40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highlight w:val="none"/>
                <w:lang w:val="en-US" w:eastAsia="zh-CN"/>
              </w:rPr>
              <w:t>16:08</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rPr>
            </w:pPr>
            <w:r>
              <w:rPr>
                <w:rFonts w:hint="eastAsia"/>
                <w:b w:val="0"/>
                <w:bCs/>
                <w:sz w:val="21"/>
                <w:szCs w:val="21"/>
                <w:lang w:val="en-US" w:eastAsia="zh-CN"/>
              </w:rPr>
              <w:t>G4（下风向）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10:28</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13:11</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14:43</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default"/>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16:04</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pStyle w:val="20"/>
              <w:ind w:left="0" w:leftChars="0" w:firstLine="0" w:firstLineChars="0"/>
              <w:rPr>
                <w:rFonts w:hint="default" w:eastAsia="楷体_GB2312"/>
                <w:lang w:val="en-US" w:eastAsia="zh-CN"/>
              </w:rPr>
            </w:pPr>
            <w:r>
              <w:rPr>
                <w:rFonts w:hint="eastAsia" w:asciiTheme="minorHAnsi" w:hAnsiTheme="minorHAnsi" w:eastAsiaTheme="minorEastAsia" w:cstheme="minorBidi"/>
                <w:b w:val="0"/>
                <w:bCs/>
                <w:kern w:val="2"/>
                <w:sz w:val="21"/>
                <w:szCs w:val="21"/>
                <w:lang w:val="en-US" w:eastAsia="zh-CN" w:bidi="ar-SA"/>
              </w:rPr>
              <w:t>G5</w:t>
            </w:r>
            <w:r>
              <w:rPr>
                <w:rFonts w:hint="eastAsia" w:eastAsiaTheme="minorEastAsia" w:cstheme="minorBidi"/>
                <w:b w:val="0"/>
                <w:bCs/>
                <w:kern w:val="2"/>
                <w:sz w:val="21"/>
                <w:szCs w:val="21"/>
                <w:lang w:val="en-US" w:eastAsia="zh-CN" w:bidi="ar-SA"/>
              </w:rPr>
              <w:t>（厂房外）</w:t>
            </w:r>
          </w:p>
        </w:tc>
        <w:tc>
          <w:tcPr>
            <w:tcW w:w="694" w:type="pct"/>
            <w:tcBorders>
              <w:lef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10:38</w:t>
            </w:r>
          </w:p>
        </w:tc>
        <w:tc>
          <w:tcPr>
            <w:tcW w:w="3438" w:type="pct"/>
            <w:tcBorders>
              <w:left w:val="single" w:color="auto" w:sz="4" w:space="0"/>
              <w:righ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eastAsia" w:asciiTheme="minorHAnsi" w:hAnsiTheme="minorHAnsi" w:eastAsiaTheme="minorEastAsia" w:cstheme="minorBidi"/>
                <w:b w:val="0"/>
                <w:bCs/>
                <w:kern w:val="2"/>
                <w:sz w:val="21"/>
                <w:szCs w:val="21"/>
                <w:lang w:val="en-US" w:eastAsia="zh-CN" w:bidi="ar-SA"/>
              </w:rPr>
            </w:pPr>
          </w:p>
        </w:tc>
        <w:tc>
          <w:tcPr>
            <w:tcW w:w="694" w:type="pct"/>
            <w:tcBorders>
              <w:lef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13:18</w:t>
            </w:r>
          </w:p>
        </w:tc>
        <w:tc>
          <w:tcPr>
            <w:tcW w:w="3438" w:type="pct"/>
            <w:tcBorders>
              <w:left w:val="single" w:color="auto" w:sz="4" w:space="0"/>
              <w:righ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eastAsia" w:asciiTheme="minorHAnsi" w:hAnsiTheme="minorHAnsi" w:eastAsiaTheme="minorEastAsia" w:cstheme="minorBidi"/>
                <w:b w:val="0"/>
                <w:bCs/>
                <w:kern w:val="2"/>
                <w:sz w:val="21"/>
                <w:szCs w:val="21"/>
                <w:lang w:val="en-US" w:eastAsia="zh-CN" w:bidi="ar-SA"/>
              </w:rPr>
            </w:pPr>
          </w:p>
        </w:tc>
        <w:tc>
          <w:tcPr>
            <w:tcW w:w="694" w:type="pct"/>
            <w:tcBorders>
              <w:lef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14:33</w:t>
            </w:r>
          </w:p>
        </w:tc>
        <w:tc>
          <w:tcPr>
            <w:tcW w:w="3438" w:type="pct"/>
            <w:tcBorders>
              <w:left w:val="single" w:color="auto" w:sz="4" w:space="0"/>
              <w:righ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pStyle w:val="20"/>
              <w:rPr>
                <w:rFonts w:hint="eastAsia" w:asciiTheme="minorHAnsi" w:hAnsiTheme="minorHAnsi" w:eastAsiaTheme="minorEastAsia" w:cstheme="minorBidi"/>
                <w:b w:val="0"/>
                <w:bCs/>
                <w:kern w:val="2"/>
                <w:sz w:val="21"/>
                <w:szCs w:val="21"/>
                <w:lang w:val="en-US" w:eastAsia="zh-CN" w:bidi="ar-SA"/>
              </w:rPr>
            </w:pPr>
          </w:p>
        </w:tc>
        <w:tc>
          <w:tcPr>
            <w:tcW w:w="694" w:type="pct"/>
            <w:tcBorders>
              <w:lef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16:14</w:t>
            </w:r>
          </w:p>
        </w:tc>
        <w:tc>
          <w:tcPr>
            <w:tcW w:w="3438" w:type="pct"/>
            <w:tcBorders>
              <w:left w:val="single" w:color="auto" w:sz="4" w:space="0"/>
              <w:right w:val="single" w:color="auto" w:sz="4" w:space="0"/>
            </w:tcBorders>
            <w:noWrap w:val="0"/>
            <w:vAlign w:val="center"/>
          </w:tcPr>
          <w:p>
            <w:pPr>
              <w:ind w:firstLine="460" w:firstLineChars="200"/>
              <w:jc w:val="center"/>
              <w:rPr>
                <w:rFonts w:hint="eastAsia" w:ascii="Times New Roman" w:hAnsi="Times New Roman" w:eastAsia="宋体" w:cs="Times New Roman"/>
                <w:sz w:val="23"/>
                <w:szCs w:val="23"/>
                <w:lang w:val="en-US" w:eastAsia="zh-CN"/>
              </w:rPr>
            </w:pPr>
            <w:r>
              <w:rPr>
                <w:rFonts w:hint="eastAsia" w:ascii="Times New Roman" w:hAnsi="Times New Roman" w:eastAsia="宋体" w:cs="Times New Roman"/>
                <w:sz w:val="23"/>
                <w:szCs w:val="23"/>
                <w:lang w:val="en-US" w:eastAsia="zh-CN"/>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561" w:type="pct"/>
            <w:gridSpan w:val="2"/>
            <w:tcBorders>
              <w:left w:val="single" w:color="auto" w:sz="4" w:space="0"/>
            </w:tcBorders>
            <w:noWrap w:val="0"/>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eastAsiaTheme="minorEastAsia"/>
                <w:sz w:val="18"/>
                <w:szCs w:val="18"/>
                <w:lang w:val="en-US" w:eastAsia="zh-CN"/>
              </w:rPr>
            </w:pPr>
            <w:r>
              <w:rPr>
                <w:rFonts w:hint="default" w:ascii="Times New Roman" w:hAnsi="Times New Roman" w:cs="Times New Roman"/>
                <w:sz w:val="18"/>
                <w:szCs w:val="18"/>
                <w:lang w:val="en-US" w:eastAsia="zh-CN"/>
              </w:rPr>
              <w:t>排放限值</w:t>
            </w:r>
          </w:p>
        </w:tc>
        <w:tc>
          <w:tcPr>
            <w:tcW w:w="3438" w:type="pct"/>
            <w:tcBorders>
              <w:left w:val="single" w:color="auto" w:sz="4" w:space="0"/>
              <w:right w:val="single" w:color="auto" w:sz="4" w:space="0"/>
            </w:tcBorders>
            <w:noWrap w:val="0"/>
            <w:vAlign w:val="center"/>
          </w:tcPr>
          <w:p>
            <w:pPr>
              <w:keepNext w:val="0"/>
              <w:keepLines w:val="0"/>
              <w:suppressLineNumbers w:val="0"/>
              <w:tabs>
                <w:tab w:val="left" w:pos="297"/>
              </w:tabs>
              <w:spacing w:before="0" w:beforeAutospacing="0" w:after="0" w:afterAutospacing="0"/>
              <w:ind w:left="0" w:right="0"/>
              <w:jc w:val="center"/>
              <w:rPr>
                <w:rFonts w:hint="default" w:ascii="Times New Roman" w:hAnsi="Times New Roman" w:cs="Times New Roman" w:eastAsiaTheme="minorEastAsia"/>
                <w:sz w:val="18"/>
                <w:szCs w:val="18"/>
                <w:lang w:val="en-US" w:eastAsia="zh-CN"/>
              </w:rPr>
            </w:pPr>
            <w:r>
              <w:rPr>
                <w:rFonts w:hint="eastAsia" w:ascii="Times New Roman" w:hAnsi="Times New Roman" w:cs="Times New Roman"/>
                <w:sz w:val="18"/>
                <w:szCs w:val="18"/>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561" w:type="pct"/>
            <w:gridSpan w:val="2"/>
            <w:tcBorders>
              <w:left w:val="single" w:color="auto" w:sz="4" w:space="0"/>
            </w:tcBorders>
            <w:noWrap w:val="0"/>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eastAsiaTheme="minorEastAsia"/>
                <w:sz w:val="18"/>
                <w:szCs w:val="18"/>
                <w:lang w:val="en-US" w:eastAsia="zh-CN"/>
              </w:rPr>
            </w:pPr>
            <w:r>
              <w:rPr>
                <w:rFonts w:hint="default" w:ascii="Times New Roman" w:hAnsi="Times New Roman" w:cs="Times New Roman"/>
                <w:sz w:val="18"/>
                <w:szCs w:val="18"/>
                <w:lang w:val="en-US" w:eastAsia="zh-CN"/>
              </w:rPr>
              <w:t>达标情况</w:t>
            </w:r>
          </w:p>
        </w:tc>
        <w:tc>
          <w:tcPr>
            <w:tcW w:w="3438" w:type="pct"/>
            <w:tcBorders>
              <w:left w:val="single" w:color="auto" w:sz="4" w:space="0"/>
              <w:right w:val="single" w:color="auto" w:sz="4" w:space="0"/>
            </w:tcBorders>
            <w:noWrap w:val="0"/>
            <w:vAlign w:val="center"/>
          </w:tcPr>
          <w:p>
            <w:pPr>
              <w:keepNext w:val="0"/>
              <w:keepLines w:val="0"/>
              <w:suppressLineNumbers w:val="0"/>
              <w:tabs>
                <w:tab w:val="left" w:pos="297"/>
              </w:tabs>
              <w:spacing w:before="0" w:beforeAutospacing="0" w:after="0" w:afterAutospacing="0"/>
              <w:ind w:left="0" w:right="0"/>
              <w:jc w:val="center"/>
              <w:rPr>
                <w:rFonts w:hint="default" w:ascii="Times New Roman" w:hAnsi="Times New Roman" w:cs="Times New Roman" w:eastAsiaTheme="minorEastAsia"/>
                <w:sz w:val="18"/>
                <w:szCs w:val="18"/>
                <w:lang w:val="en-US" w:eastAsia="zh-CN"/>
              </w:rPr>
            </w:pPr>
            <w:r>
              <w:rPr>
                <w:rFonts w:hint="default" w:ascii="Times New Roman" w:hAnsi="Times New Roman" w:cs="Times New Roman"/>
                <w:sz w:val="18"/>
                <w:szCs w:val="18"/>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exact"/>
          <w:jc w:val="center"/>
        </w:trPr>
        <w:tc>
          <w:tcPr>
            <w:tcW w:w="5000" w:type="pct"/>
            <w:gridSpan w:val="3"/>
            <w:tcBorders>
              <w:top w:val="single" w:color="auto" w:sz="4" w:space="0"/>
              <w:left w:val="single" w:color="auto" w:sz="4" w:space="0"/>
              <w:bottom w:val="single" w:color="auto" w:sz="4" w:space="0"/>
              <w:right w:val="single" w:color="auto" w:sz="4" w:space="0"/>
            </w:tcBorders>
            <w:noWrap w:val="0"/>
            <w:vAlign w:val="center"/>
          </w:tcPr>
          <w:p>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18"/>
                <w:szCs w:val="18"/>
                <w:lang w:val="en-US" w:eastAsia="zh-CN"/>
              </w:rPr>
            </w:pPr>
            <w:r>
              <w:rPr>
                <w:rFonts w:hint="default" w:ascii="Times New Roman" w:hAnsi="Times New Roman" w:cs="Times New Roman"/>
                <w:b/>
                <w:sz w:val="18"/>
                <w:szCs w:val="18"/>
              </w:rPr>
              <w:t>采样日期：</w:t>
            </w:r>
            <w:r>
              <w:rPr>
                <w:rFonts w:hint="eastAsia" w:ascii="Times New Roman" w:hAnsi="Times New Roman" w:cs="Times New Roman"/>
                <w:b/>
                <w:sz w:val="18"/>
                <w:szCs w:val="18"/>
                <w:lang w:val="en-US" w:eastAsia="zh-CN"/>
              </w:rPr>
              <w:t>2024.01.10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sz w:val="18"/>
                <w:szCs w:val="18"/>
              </w:rPr>
            </w:pPr>
            <w:r>
              <w:rPr>
                <w:rFonts w:hint="eastAsia"/>
                <w:b w:val="0"/>
                <w:bCs/>
                <w:sz w:val="21"/>
                <w:szCs w:val="21"/>
                <w:lang w:val="en-US" w:eastAsia="zh-CN"/>
              </w:rPr>
              <w:t>G1（上风向）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09:40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10:40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13:10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kern w:val="2"/>
                <w:sz w:val="23"/>
                <w:szCs w:val="23"/>
                <w:lang w:val="en-US" w:eastAsia="zh-CN" w:bidi="ar-SA"/>
              </w:rPr>
              <w:t>14:10</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sz w:val="18"/>
                <w:szCs w:val="18"/>
              </w:rPr>
            </w:pPr>
            <w:r>
              <w:rPr>
                <w:rFonts w:hint="eastAsia"/>
                <w:b w:val="0"/>
                <w:bCs/>
                <w:sz w:val="21"/>
                <w:szCs w:val="21"/>
                <w:lang w:val="en-US" w:eastAsia="zh-CN"/>
              </w:rPr>
              <w:t>G2（下风向）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09:45</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10:45</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13:15</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14:15</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sz w:val="18"/>
                <w:szCs w:val="18"/>
              </w:rPr>
            </w:pPr>
            <w:r>
              <w:rPr>
                <w:rFonts w:hint="eastAsia"/>
                <w:b w:val="0"/>
                <w:bCs/>
                <w:sz w:val="21"/>
                <w:szCs w:val="21"/>
                <w:lang w:val="en-US" w:eastAsia="zh-CN"/>
              </w:rPr>
              <w:t>G4（下风向）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09:47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10:47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13:17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14:17</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sz w:val="18"/>
                <w:szCs w:val="18"/>
              </w:rPr>
            </w:pPr>
            <w:r>
              <w:rPr>
                <w:rFonts w:hint="eastAsia"/>
                <w:b w:val="0"/>
                <w:bCs/>
                <w:sz w:val="21"/>
                <w:szCs w:val="21"/>
                <w:lang w:val="en-US" w:eastAsia="zh-CN"/>
              </w:rPr>
              <w:t>G4下风向）</w:t>
            </w: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09:49</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694" w:type="pct"/>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10:49</w:t>
            </w:r>
          </w:p>
        </w:tc>
        <w:tc>
          <w:tcPr>
            <w:tcW w:w="3438" w:type="pct"/>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13:19</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14:19</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restart"/>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leftChars="0" w:right="0" w:firstLine="0" w:firstLineChars="0"/>
              <w:jc w:val="left"/>
              <w:rPr>
                <w:rFonts w:hint="default" w:ascii="Times New Roman" w:hAnsi="Times New Roman" w:cs="Times New Roman"/>
                <w:sz w:val="18"/>
                <w:szCs w:val="18"/>
              </w:rPr>
            </w:pPr>
            <w:r>
              <w:rPr>
                <w:rFonts w:hint="eastAsia" w:asciiTheme="minorHAnsi" w:hAnsiTheme="minorHAnsi" w:eastAsiaTheme="minorEastAsia" w:cstheme="minorBidi"/>
                <w:b w:val="0"/>
                <w:bCs/>
                <w:kern w:val="2"/>
                <w:sz w:val="21"/>
                <w:szCs w:val="21"/>
                <w:lang w:val="en-US" w:eastAsia="zh-CN" w:bidi="ar-SA"/>
              </w:rPr>
              <w:t>G5</w:t>
            </w:r>
            <w:r>
              <w:rPr>
                <w:rFonts w:hint="eastAsia" w:eastAsiaTheme="minorEastAsia" w:cstheme="minorBidi"/>
                <w:b w:val="0"/>
                <w:bCs/>
                <w:kern w:val="2"/>
                <w:sz w:val="21"/>
                <w:szCs w:val="21"/>
                <w:lang w:val="en-US" w:eastAsia="zh-CN" w:bidi="ar-SA"/>
              </w:rPr>
              <w:t>（厂房外）</w:t>
            </w: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09:52</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10:52</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13:22</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66" w:type="pct"/>
            <w:vMerge w:val="continue"/>
            <w:tcBorders>
              <w:left w:val="single" w:color="auto" w:sz="4" w:space="0"/>
              <w:right w:val="single" w:color="auto" w:sz="4" w:space="0"/>
            </w:tcBorders>
            <w:noWrap w:val="0"/>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sz w:val="18"/>
                <w:szCs w:val="18"/>
              </w:rPr>
            </w:pPr>
          </w:p>
        </w:tc>
        <w:tc>
          <w:tcPr>
            <w:tcW w:w="1313" w:type="dxa"/>
            <w:tcBorders>
              <w:lef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14:22</w:t>
            </w:r>
          </w:p>
        </w:tc>
        <w:tc>
          <w:tcPr>
            <w:tcW w:w="6499" w:type="dxa"/>
            <w:tcBorders>
              <w:left w:val="single" w:color="auto" w:sz="4" w:space="0"/>
              <w:right w:val="single" w:color="auto" w:sz="4" w:space="0"/>
            </w:tcBorders>
            <w:noWrap w:val="0"/>
            <w:vAlign w:val="center"/>
          </w:tcPr>
          <w:p>
            <w:pPr>
              <w:ind w:firstLine="460" w:firstLineChars="200"/>
              <w:jc w:val="center"/>
              <w:rPr>
                <w:rFonts w:hint="default" w:ascii="Times New Roman" w:hAnsi="Times New Roman" w:cs="Times New Roman"/>
                <w:sz w:val="18"/>
                <w:szCs w:val="18"/>
              </w:rPr>
            </w:pPr>
            <w:r>
              <w:rPr>
                <w:rFonts w:hint="eastAsia" w:ascii="Times New Roman" w:hAnsi="Times New Roman" w:eastAsia="宋体" w:cs="Times New Roman"/>
                <w:sz w:val="23"/>
                <w:szCs w:val="23"/>
                <w:lang w:val="en-US" w:eastAsia="zh-CN"/>
              </w:rPr>
              <w:t>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561" w:type="pct"/>
            <w:gridSpan w:val="2"/>
            <w:tcBorders>
              <w:left w:val="single" w:color="auto" w:sz="4" w:space="0"/>
            </w:tcBorders>
            <w:noWrap w:val="0"/>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18"/>
                <w:szCs w:val="18"/>
              </w:rPr>
            </w:pPr>
            <w:r>
              <w:rPr>
                <w:rFonts w:hint="default" w:ascii="Times New Roman" w:hAnsi="Times New Roman" w:cs="Times New Roman"/>
                <w:sz w:val="18"/>
                <w:szCs w:val="18"/>
                <w:lang w:val="en-US" w:eastAsia="zh-CN"/>
              </w:rPr>
              <w:t>排放限值</w:t>
            </w:r>
          </w:p>
        </w:tc>
        <w:tc>
          <w:tcPr>
            <w:tcW w:w="3438" w:type="pct"/>
            <w:tcBorders>
              <w:left w:val="single" w:color="auto" w:sz="4" w:space="0"/>
              <w:right w:val="single" w:color="auto" w:sz="4" w:space="0"/>
            </w:tcBorders>
            <w:noWrap w:val="0"/>
            <w:vAlign w:val="center"/>
          </w:tcPr>
          <w:p>
            <w:pPr>
              <w:keepNext w:val="0"/>
              <w:keepLines w:val="0"/>
              <w:suppressLineNumbers w:val="0"/>
              <w:tabs>
                <w:tab w:val="left" w:pos="297"/>
              </w:tabs>
              <w:spacing w:before="0" w:beforeAutospacing="0" w:after="0" w:afterAutospacing="0"/>
              <w:ind w:left="0" w:right="0"/>
              <w:jc w:val="center"/>
              <w:rPr>
                <w:rFonts w:hint="default" w:ascii="Times New Roman" w:hAnsi="Times New Roman" w:cs="Times New Roman"/>
                <w:sz w:val="18"/>
                <w:szCs w:val="18"/>
                <w:lang w:val="en-US"/>
              </w:rPr>
            </w:pPr>
            <w:r>
              <w:rPr>
                <w:rFonts w:hint="eastAsia" w:ascii="Times New Roman" w:hAnsi="Times New Roman" w:cs="Times New Roman"/>
                <w:sz w:val="18"/>
                <w:szCs w:val="18"/>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561" w:type="pct"/>
            <w:gridSpan w:val="2"/>
            <w:tcBorders>
              <w:left w:val="single" w:color="auto" w:sz="4" w:space="0"/>
            </w:tcBorders>
            <w:noWrap w:val="0"/>
            <w:vAlign w:val="center"/>
          </w:tcPr>
          <w:p>
            <w:pPr>
              <w:keepNext w:val="0"/>
              <w:keepLines w:val="0"/>
              <w:suppressLineNumbers w:val="0"/>
              <w:snapToGrid w:val="0"/>
              <w:spacing w:before="0" w:beforeAutospacing="0" w:after="0" w:afterAutospacing="0"/>
              <w:ind w:left="0" w:right="0"/>
              <w:jc w:val="center"/>
              <w:rPr>
                <w:rFonts w:hint="default" w:ascii="Times New Roman" w:hAnsi="Times New Roman" w:cs="Times New Roman"/>
                <w:sz w:val="18"/>
                <w:szCs w:val="18"/>
              </w:rPr>
            </w:pPr>
            <w:r>
              <w:rPr>
                <w:rFonts w:hint="default" w:ascii="Times New Roman" w:hAnsi="Times New Roman" w:cs="Times New Roman"/>
                <w:sz w:val="18"/>
                <w:szCs w:val="18"/>
                <w:lang w:val="en-US" w:eastAsia="zh-CN"/>
              </w:rPr>
              <w:t>达标情况</w:t>
            </w:r>
          </w:p>
        </w:tc>
        <w:tc>
          <w:tcPr>
            <w:tcW w:w="3438" w:type="pct"/>
            <w:tcBorders>
              <w:left w:val="single" w:color="auto" w:sz="4" w:space="0"/>
              <w:right w:val="single" w:color="auto" w:sz="4" w:space="0"/>
            </w:tcBorders>
            <w:noWrap w:val="0"/>
            <w:vAlign w:val="center"/>
          </w:tcPr>
          <w:p>
            <w:pPr>
              <w:keepNext w:val="0"/>
              <w:keepLines w:val="0"/>
              <w:suppressLineNumbers w:val="0"/>
              <w:tabs>
                <w:tab w:val="left" w:pos="297"/>
              </w:tabs>
              <w:spacing w:before="0" w:beforeAutospacing="0" w:after="0" w:afterAutospacing="0"/>
              <w:ind w:left="0" w:right="0"/>
              <w:jc w:val="center"/>
              <w:rPr>
                <w:rFonts w:hint="default" w:ascii="Times New Roman" w:hAnsi="Times New Roman" w:cs="Times New Roman"/>
                <w:sz w:val="18"/>
                <w:szCs w:val="18"/>
              </w:rPr>
            </w:pPr>
            <w:r>
              <w:rPr>
                <w:rFonts w:hint="default" w:ascii="Times New Roman" w:hAnsi="Times New Roman" w:cs="Times New Roman"/>
                <w:sz w:val="18"/>
                <w:szCs w:val="18"/>
                <w:lang w:val="en-US" w:eastAsia="zh-CN"/>
              </w:rPr>
              <w:t>达标</w:t>
            </w:r>
          </w:p>
        </w:tc>
      </w:tr>
    </w:tbl>
    <w:p>
      <w:pPr>
        <w:ind w:firstLine="480"/>
        <w:rPr>
          <w:rFonts w:hint="eastAsia" w:eastAsiaTheme="minorEastAsia"/>
          <w:kern w:val="0"/>
          <w:lang w:eastAsia="zh-CN"/>
        </w:rPr>
      </w:pPr>
      <w:r>
        <w:rPr>
          <w:rFonts w:hint="eastAsia"/>
        </w:rPr>
        <w:t>根据监测结果，项目</w:t>
      </w:r>
      <w:r>
        <w:rPr>
          <w:rFonts w:hint="eastAsia"/>
          <w:lang w:val="en-US" w:eastAsia="zh-CN"/>
        </w:rPr>
        <w:t>颗粒物、二甲苯、非甲烷总烃无组织排放浓度满足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中排放限值；</w:t>
      </w:r>
      <w:r>
        <w:rPr>
          <w:rFonts w:hint="eastAsia"/>
          <w:kern w:val="0"/>
          <w:lang w:val="ru-RU"/>
        </w:rPr>
        <w:t>非甲烷总烃</w:t>
      </w:r>
      <w:r>
        <w:rPr>
          <w:rFonts w:hint="eastAsia"/>
          <w:kern w:val="0"/>
        </w:rPr>
        <w:t>无组织</w:t>
      </w:r>
      <w:r>
        <w:rPr>
          <w:rFonts w:hint="eastAsia"/>
          <w:kern w:val="0"/>
          <w:lang w:val="ru-RU"/>
        </w:rPr>
        <w:t>排放</w:t>
      </w:r>
      <w:r>
        <w:rPr>
          <w:rFonts w:hint="eastAsia"/>
          <w:kern w:val="0"/>
        </w:rPr>
        <w:t>满足</w:t>
      </w:r>
      <w:r>
        <w:rPr>
          <w:rFonts w:ascii="Times New Roman" w:hAnsi="Times New Roman" w:cs="Times New Roman"/>
          <w:snapToGrid w:val="0"/>
          <w:color w:val="auto"/>
        </w:rPr>
        <w:t>《挥发性有机物无组织排放控制标准》（GB37822-2019）</w:t>
      </w:r>
      <w:r>
        <w:rPr>
          <w:rFonts w:hint="eastAsia" w:ascii="Times New Roman" w:hAnsi="Times New Roman" w:cs="Times New Roman"/>
          <w:snapToGrid w:val="0"/>
          <w:color w:val="auto"/>
          <w:lang w:eastAsia="zh-CN"/>
        </w:rPr>
        <w:t>。</w:t>
      </w:r>
    </w:p>
    <w:p>
      <w:pPr>
        <w:ind w:firstLine="480"/>
        <w:rPr>
          <w:rFonts w:hint="eastAsia"/>
          <w:kern w:val="0"/>
        </w:rPr>
      </w:pPr>
    </w:p>
    <w:p>
      <w:pPr>
        <w:sectPr>
          <w:pgSz w:w="11906" w:h="16838"/>
          <w:pgMar w:top="1134" w:right="1247" w:bottom="1134" w:left="1417" w:header="851" w:footer="992" w:gutter="0"/>
          <w:cols w:space="425" w:num="1"/>
          <w:docGrid w:type="lines" w:linePitch="312" w:charSpace="0"/>
        </w:sectPr>
      </w:pPr>
    </w:p>
    <w:p>
      <w:pPr>
        <w:pStyle w:val="62"/>
        <w:ind w:firstLine="643"/>
      </w:pPr>
      <w:bookmarkStart w:id="58" w:name="_Toc27344"/>
      <w:r>
        <w:t>9.3废水监测结果及评价</w:t>
      </w:r>
      <w:bookmarkEnd w:id="58"/>
    </w:p>
    <w:p>
      <w:pPr>
        <w:ind w:firstLine="480"/>
      </w:pPr>
      <w:r>
        <w:t>项目</w:t>
      </w:r>
      <w:r>
        <w:rPr>
          <w:rFonts w:hint="eastAsia"/>
        </w:rPr>
        <w:t>废水</w:t>
      </w:r>
      <w:r>
        <w:t>监测结果统计见</w:t>
      </w:r>
      <w:r>
        <w:rPr>
          <w:rFonts w:hint="eastAsia"/>
        </w:rPr>
        <w:t>下表</w:t>
      </w:r>
      <w:r>
        <w:t>。</w:t>
      </w:r>
    </w:p>
    <w:p>
      <w:pPr>
        <w:ind w:firstLine="480"/>
        <w:jc w:val="center"/>
        <w:rPr>
          <w:b/>
          <w:bCs/>
        </w:rPr>
      </w:pPr>
      <w:r>
        <w:rPr>
          <w:b/>
          <w:bCs/>
        </w:rPr>
        <w:t>表9.3-1  总排口废水监测结果一览表  单位：mg/L(pH无量纲)</w:t>
      </w:r>
    </w:p>
    <w:tbl>
      <w:tblPr>
        <w:tblStyle w:val="43"/>
        <w:tblW w:w="452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15"/>
        <w:gridCol w:w="1624"/>
        <w:gridCol w:w="1640"/>
        <w:gridCol w:w="1507"/>
        <w:gridCol w:w="1568"/>
        <w:gridCol w:w="1761"/>
        <w:gridCol w:w="1109"/>
        <w:gridCol w:w="1068"/>
        <w:gridCol w:w="1183"/>
        <w:gridCol w:w="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jc w:val="center"/>
        </w:trPr>
        <w:tc>
          <w:tcPr>
            <w:tcW w:w="715" w:type="pct"/>
            <w:tcBorders>
              <w:top w:val="single" w:color="auto" w:sz="4" w:space="0"/>
              <w:left w:val="single" w:color="auto" w:sz="4" w:space="0"/>
              <w:right w:val="single" w:color="auto" w:sz="4" w:space="0"/>
            </w:tcBorders>
            <w:vAlign w:val="center"/>
          </w:tcPr>
          <w:p>
            <w:pPr>
              <w:ind w:left="0" w:leftChars="0" w:firstLine="0" w:firstLineChars="0"/>
              <w:jc w:val="center"/>
              <w:rPr>
                <w:sz w:val="21"/>
                <w:szCs w:val="21"/>
              </w:rPr>
            </w:pPr>
            <w:r>
              <w:rPr>
                <w:sz w:val="21"/>
                <w:szCs w:val="21"/>
              </w:rPr>
              <w:t>检测点位</w:t>
            </w:r>
          </w:p>
        </w:tc>
        <w:tc>
          <w:tcPr>
            <w:tcW w:w="606" w:type="pct"/>
            <w:tcBorders>
              <w:top w:val="single" w:color="auto" w:sz="4" w:space="0"/>
              <w:left w:val="single" w:color="auto" w:sz="4" w:space="0"/>
              <w:right w:val="single" w:color="auto" w:sz="4" w:space="0"/>
            </w:tcBorders>
            <w:vAlign w:val="center"/>
          </w:tcPr>
          <w:p>
            <w:pPr>
              <w:ind w:left="0" w:leftChars="0" w:firstLine="210" w:firstLineChars="100"/>
              <w:jc w:val="center"/>
              <w:rPr>
                <w:bCs/>
                <w:sz w:val="21"/>
                <w:szCs w:val="21"/>
              </w:rPr>
            </w:pPr>
            <w:r>
              <w:rPr>
                <w:sz w:val="21"/>
                <w:szCs w:val="21"/>
              </w:rPr>
              <w:t>检测频次</w:t>
            </w:r>
          </w:p>
        </w:tc>
        <w:tc>
          <w:tcPr>
            <w:tcW w:w="612" w:type="pct"/>
            <w:tcBorders>
              <w:top w:val="single" w:color="auto" w:sz="4" w:space="0"/>
              <w:left w:val="single" w:color="auto" w:sz="4" w:space="0"/>
              <w:right w:val="single" w:color="auto" w:sz="4" w:space="0"/>
            </w:tcBorders>
            <w:vAlign w:val="center"/>
          </w:tcPr>
          <w:p>
            <w:pPr>
              <w:ind w:left="0" w:leftChars="0" w:firstLine="420" w:firstLineChars="200"/>
              <w:jc w:val="both"/>
              <w:rPr>
                <w:sz w:val="21"/>
                <w:szCs w:val="21"/>
              </w:rPr>
            </w:pPr>
            <w:r>
              <w:rPr>
                <w:sz w:val="21"/>
                <w:szCs w:val="21"/>
              </w:rPr>
              <w:t>pH值</w:t>
            </w:r>
          </w:p>
          <w:p>
            <w:pPr>
              <w:ind w:left="0" w:leftChars="0" w:firstLine="0" w:firstLineChars="0"/>
              <w:jc w:val="center"/>
              <w:rPr>
                <w:sz w:val="21"/>
                <w:szCs w:val="21"/>
              </w:rPr>
            </w:pPr>
            <w:r>
              <w:rPr>
                <w:sz w:val="21"/>
                <w:szCs w:val="21"/>
              </w:rPr>
              <w:t>（无量纲）</w:t>
            </w:r>
          </w:p>
        </w:tc>
        <w:tc>
          <w:tcPr>
            <w:tcW w:w="563" w:type="pct"/>
            <w:tcBorders>
              <w:top w:val="single" w:color="auto" w:sz="4" w:space="0"/>
              <w:left w:val="single" w:color="auto" w:sz="4" w:space="0"/>
              <w:right w:val="single" w:color="auto" w:sz="4" w:space="0"/>
            </w:tcBorders>
            <w:vAlign w:val="center"/>
          </w:tcPr>
          <w:p>
            <w:pPr>
              <w:ind w:left="0" w:leftChars="0" w:firstLine="0" w:firstLineChars="0"/>
              <w:jc w:val="center"/>
              <w:rPr>
                <w:sz w:val="21"/>
                <w:szCs w:val="21"/>
              </w:rPr>
            </w:pPr>
            <w:r>
              <w:rPr>
                <w:sz w:val="21"/>
                <w:szCs w:val="21"/>
              </w:rPr>
              <w:t>悬浮物</w:t>
            </w:r>
          </w:p>
        </w:tc>
        <w:tc>
          <w:tcPr>
            <w:tcW w:w="586" w:type="pct"/>
            <w:tcBorders>
              <w:top w:val="single" w:color="auto" w:sz="4" w:space="0"/>
              <w:left w:val="single" w:color="auto" w:sz="4" w:space="0"/>
              <w:right w:val="single" w:color="auto" w:sz="4" w:space="0"/>
            </w:tcBorders>
            <w:vAlign w:val="center"/>
          </w:tcPr>
          <w:p>
            <w:pPr>
              <w:ind w:left="0" w:leftChars="0" w:firstLine="0" w:firstLineChars="0"/>
              <w:jc w:val="center"/>
              <w:rPr>
                <w:sz w:val="21"/>
                <w:szCs w:val="21"/>
              </w:rPr>
            </w:pPr>
            <w:r>
              <w:rPr>
                <w:sz w:val="21"/>
                <w:szCs w:val="21"/>
              </w:rPr>
              <w:t>化学需氧量</w:t>
            </w:r>
          </w:p>
        </w:tc>
        <w:tc>
          <w:tcPr>
            <w:tcW w:w="658" w:type="pct"/>
            <w:tcBorders>
              <w:top w:val="single" w:color="auto" w:sz="4" w:space="0"/>
              <w:left w:val="single" w:color="auto" w:sz="4" w:space="0"/>
              <w:right w:val="single" w:color="auto" w:sz="4" w:space="0"/>
            </w:tcBorders>
            <w:vAlign w:val="center"/>
          </w:tcPr>
          <w:p>
            <w:pPr>
              <w:ind w:left="0" w:leftChars="0" w:firstLine="0" w:firstLineChars="0"/>
              <w:jc w:val="center"/>
              <w:rPr>
                <w:sz w:val="21"/>
                <w:szCs w:val="21"/>
              </w:rPr>
            </w:pPr>
            <w:r>
              <w:rPr>
                <w:sz w:val="21"/>
                <w:szCs w:val="21"/>
              </w:rPr>
              <w:t>五日生化需氧量</w:t>
            </w:r>
          </w:p>
        </w:tc>
        <w:tc>
          <w:tcPr>
            <w:tcW w:w="414" w:type="pct"/>
            <w:tcBorders>
              <w:top w:val="single" w:color="auto" w:sz="4" w:space="0"/>
              <w:left w:val="single" w:color="auto" w:sz="4" w:space="0"/>
              <w:right w:val="single" w:color="auto" w:sz="4" w:space="0"/>
            </w:tcBorders>
            <w:vAlign w:val="center"/>
          </w:tcPr>
          <w:p>
            <w:pPr>
              <w:ind w:left="0" w:leftChars="0" w:firstLine="210" w:firstLineChars="100"/>
              <w:jc w:val="center"/>
              <w:rPr>
                <w:bCs/>
                <w:sz w:val="21"/>
                <w:szCs w:val="21"/>
              </w:rPr>
            </w:pPr>
            <w:r>
              <w:rPr>
                <w:sz w:val="21"/>
                <w:szCs w:val="21"/>
              </w:rPr>
              <w:t>氨氮</w:t>
            </w:r>
          </w:p>
        </w:tc>
        <w:tc>
          <w:tcPr>
            <w:tcW w:w="399" w:type="pct"/>
            <w:tcBorders>
              <w:top w:val="single" w:color="auto" w:sz="4" w:space="0"/>
              <w:left w:val="single" w:color="auto" w:sz="4" w:space="0"/>
              <w:right w:val="single" w:color="auto" w:sz="4" w:space="0"/>
            </w:tcBorders>
            <w:vAlign w:val="center"/>
          </w:tcPr>
          <w:p>
            <w:pPr>
              <w:ind w:left="0" w:leftChars="0" w:firstLine="210" w:firstLineChars="100"/>
              <w:jc w:val="center"/>
              <w:rPr>
                <w:sz w:val="21"/>
                <w:szCs w:val="21"/>
              </w:rPr>
            </w:pPr>
            <w:r>
              <w:rPr>
                <w:sz w:val="21"/>
                <w:szCs w:val="21"/>
              </w:rPr>
              <w:t>总氮</w:t>
            </w:r>
          </w:p>
        </w:tc>
        <w:tc>
          <w:tcPr>
            <w:tcW w:w="443" w:type="pct"/>
            <w:gridSpan w:val="2"/>
            <w:tcBorders>
              <w:top w:val="single" w:color="auto" w:sz="4" w:space="0"/>
              <w:left w:val="single" w:color="auto" w:sz="4" w:space="0"/>
              <w:right w:val="single" w:color="auto" w:sz="4" w:space="0"/>
            </w:tcBorders>
            <w:vAlign w:val="center"/>
          </w:tcPr>
          <w:p>
            <w:pPr>
              <w:jc w:val="center"/>
              <w:rPr>
                <w:sz w:val="21"/>
                <w:szCs w:val="21"/>
              </w:rPr>
            </w:pPr>
            <w:r>
              <w:rPr>
                <w:sz w:val="21"/>
                <w:szCs w:val="21"/>
              </w:rPr>
              <w:t>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5000" w:type="pct"/>
            <w:gridSpan w:val="10"/>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both"/>
              <w:rPr>
                <w:sz w:val="21"/>
                <w:szCs w:val="21"/>
              </w:rPr>
            </w:pPr>
            <w:r>
              <w:rPr>
                <w:sz w:val="21"/>
                <w:szCs w:val="21"/>
              </w:rPr>
              <w:t>采样日期：202</w:t>
            </w:r>
            <w:r>
              <w:rPr>
                <w:rFonts w:hint="eastAsia"/>
                <w:sz w:val="21"/>
                <w:szCs w:val="21"/>
                <w:lang w:val="en-US" w:eastAsia="zh-CN"/>
              </w:rPr>
              <w:t>4.01.09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restart"/>
            <w:tcBorders>
              <w:left w:val="single" w:color="auto" w:sz="4" w:space="0"/>
              <w:right w:val="single" w:color="auto" w:sz="4" w:space="0"/>
            </w:tcBorders>
            <w:vAlign w:val="center"/>
          </w:tcPr>
          <w:p>
            <w:pPr>
              <w:ind w:left="0" w:leftChars="0" w:firstLine="0" w:firstLineChars="0"/>
              <w:jc w:val="center"/>
              <w:rPr>
                <w:rFonts w:hint="default" w:eastAsiaTheme="minorEastAsia"/>
                <w:sz w:val="21"/>
                <w:szCs w:val="21"/>
                <w:lang w:val="en-US" w:eastAsia="zh-CN"/>
              </w:rPr>
            </w:pPr>
            <w:r>
              <w:rPr>
                <w:rFonts w:hint="eastAsia"/>
                <w:sz w:val="21"/>
                <w:szCs w:val="21"/>
                <w:lang w:val="en-US" w:eastAsia="zh-CN"/>
              </w:rPr>
              <w:t>厂区总排口</w:t>
            </w: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13:50-14:00</w:t>
            </w:r>
          </w:p>
        </w:tc>
        <w:tc>
          <w:tcPr>
            <w:tcW w:w="612"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29</w:t>
            </w:r>
          </w:p>
        </w:tc>
        <w:tc>
          <w:tcPr>
            <w:tcW w:w="586"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128</w:t>
            </w:r>
          </w:p>
        </w:tc>
        <w:tc>
          <w:tcPr>
            <w:tcW w:w="658"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25.7</w:t>
            </w:r>
          </w:p>
        </w:tc>
        <w:tc>
          <w:tcPr>
            <w:tcW w:w="414"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6.03</w:t>
            </w:r>
          </w:p>
        </w:tc>
        <w:tc>
          <w:tcPr>
            <w:tcW w:w="399" w:type="pct"/>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7.42</w:t>
            </w:r>
          </w:p>
        </w:tc>
        <w:tc>
          <w:tcPr>
            <w:tcW w:w="443" w:type="pct"/>
            <w:gridSpan w:val="2"/>
            <w:tcBorders>
              <w:top w:val="single" w:color="auto" w:sz="4" w:space="0"/>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14:55-15:05</w:t>
            </w:r>
          </w:p>
        </w:tc>
        <w:tc>
          <w:tcPr>
            <w:tcW w:w="612"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w:t>
            </w:r>
          </w:p>
        </w:tc>
        <w:tc>
          <w:tcPr>
            <w:tcW w:w="586"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127</w:t>
            </w:r>
          </w:p>
        </w:tc>
        <w:tc>
          <w:tcPr>
            <w:tcW w:w="658"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25.2</w:t>
            </w:r>
          </w:p>
        </w:tc>
        <w:tc>
          <w:tcPr>
            <w:tcW w:w="414"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6.18</w:t>
            </w:r>
          </w:p>
        </w:tc>
        <w:tc>
          <w:tcPr>
            <w:tcW w:w="399"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7.12</w:t>
            </w:r>
          </w:p>
        </w:tc>
        <w:tc>
          <w:tcPr>
            <w:tcW w:w="443" w:type="pct"/>
            <w:gridSpan w:val="2"/>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15:55-16:05</w:t>
            </w:r>
          </w:p>
        </w:tc>
        <w:tc>
          <w:tcPr>
            <w:tcW w:w="612"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28</w:t>
            </w:r>
          </w:p>
        </w:tc>
        <w:tc>
          <w:tcPr>
            <w:tcW w:w="586"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125</w:t>
            </w:r>
          </w:p>
        </w:tc>
        <w:tc>
          <w:tcPr>
            <w:tcW w:w="658"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25.2</w:t>
            </w:r>
          </w:p>
        </w:tc>
        <w:tc>
          <w:tcPr>
            <w:tcW w:w="414"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6.10</w:t>
            </w:r>
          </w:p>
        </w:tc>
        <w:tc>
          <w:tcPr>
            <w:tcW w:w="399"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7.28</w:t>
            </w:r>
          </w:p>
        </w:tc>
        <w:tc>
          <w:tcPr>
            <w:tcW w:w="443" w:type="pct"/>
            <w:gridSpan w:val="2"/>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16:55-17:05</w:t>
            </w:r>
          </w:p>
        </w:tc>
        <w:tc>
          <w:tcPr>
            <w:tcW w:w="612" w:type="pct"/>
            <w:tcBorders>
              <w:left w:val="single" w:color="auto" w:sz="4" w:space="0"/>
              <w:bottom w:val="single" w:color="auto" w:sz="4" w:space="0"/>
            </w:tcBorders>
            <w:vAlign w:val="center"/>
          </w:tcPr>
          <w:p>
            <w:pPr>
              <w:ind w:firstLine="480"/>
              <w:jc w:val="center"/>
              <w:rPr>
                <w:rFonts w:hint="default"/>
                <w:sz w:val="21"/>
                <w:szCs w:val="21"/>
                <w:lang w:val="en-US" w:eastAsia="zh-CN"/>
              </w:rPr>
            </w:pPr>
            <w:r>
              <w:rPr>
                <w:rFonts w:hint="eastAsia"/>
                <w:sz w:val="21"/>
                <w:szCs w:val="21"/>
                <w:lang w:val="en-US" w:eastAsia="zh-CN"/>
              </w:rPr>
              <w:t>7.2</w:t>
            </w:r>
          </w:p>
        </w:tc>
        <w:tc>
          <w:tcPr>
            <w:tcW w:w="563"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22</w:t>
            </w:r>
          </w:p>
        </w:tc>
        <w:tc>
          <w:tcPr>
            <w:tcW w:w="586"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127</w:t>
            </w:r>
          </w:p>
        </w:tc>
        <w:tc>
          <w:tcPr>
            <w:tcW w:w="658"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25.7</w:t>
            </w:r>
          </w:p>
        </w:tc>
        <w:tc>
          <w:tcPr>
            <w:tcW w:w="414"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6.14</w:t>
            </w:r>
          </w:p>
        </w:tc>
        <w:tc>
          <w:tcPr>
            <w:tcW w:w="399"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7.40</w:t>
            </w:r>
          </w:p>
        </w:tc>
        <w:tc>
          <w:tcPr>
            <w:tcW w:w="443" w:type="pct"/>
            <w:gridSpan w:val="2"/>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412" w:hRule="atLeast"/>
          <w:jc w:val="center"/>
        </w:trPr>
        <w:tc>
          <w:tcPr>
            <w:tcW w:w="4998" w:type="pct"/>
            <w:gridSpan w:val="9"/>
            <w:tcBorders>
              <w:left w:val="single" w:color="auto" w:sz="4" w:space="0"/>
            </w:tcBorders>
            <w:vAlign w:val="center"/>
          </w:tcPr>
          <w:p>
            <w:pPr>
              <w:ind w:left="0" w:leftChars="0" w:firstLine="0" w:firstLineChars="0"/>
              <w:jc w:val="both"/>
              <w:rPr>
                <w:sz w:val="21"/>
                <w:szCs w:val="21"/>
              </w:rPr>
            </w:pPr>
            <w:r>
              <w:rPr>
                <w:sz w:val="21"/>
                <w:szCs w:val="21"/>
              </w:rPr>
              <w:t>采样日期：202</w:t>
            </w:r>
            <w:r>
              <w:rPr>
                <w:rFonts w:hint="eastAsia"/>
                <w:sz w:val="21"/>
                <w:szCs w:val="21"/>
                <w:lang w:val="en-US" w:eastAsia="zh-CN"/>
              </w:rPr>
              <w:t>4.01.10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restart"/>
            <w:tcBorders>
              <w:left w:val="single" w:color="auto" w:sz="4" w:space="0"/>
              <w:right w:val="single" w:color="auto" w:sz="4" w:space="0"/>
            </w:tcBorders>
            <w:vAlign w:val="center"/>
          </w:tcPr>
          <w:p>
            <w:pPr>
              <w:ind w:firstLine="480"/>
              <w:jc w:val="center"/>
              <w:rPr>
                <w:sz w:val="21"/>
                <w:szCs w:val="21"/>
              </w:rPr>
            </w:pPr>
            <w:r>
              <w:rPr>
                <w:rFonts w:hint="eastAsia"/>
                <w:sz w:val="21"/>
                <w:szCs w:val="21"/>
                <w:lang w:val="en-US" w:eastAsia="zh-CN"/>
              </w:rPr>
              <w:t>厂区总排口</w:t>
            </w: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10:45-10:55</w:t>
            </w:r>
          </w:p>
        </w:tc>
        <w:tc>
          <w:tcPr>
            <w:tcW w:w="612"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28</w:t>
            </w:r>
          </w:p>
        </w:tc>
        <w:tc>
          <w:tcPr>
            <w:tcW w:w="586"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126</w:t>
            </w:r>
          </w:p>
        </w:tc>
        <w:tc>
          <w:tcPr>
            <w:tcW w:w="658"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25.2</w:t>
            </w:r>
          </w:p>
        </w:tc>
        <w:tc>
          <w:tcPr>
            <w:tcW w:w="414"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6.39</w:t>
            </w:r>
          </w:p>
        </w:tc>
        <w:tc>
          <w:tcPr>
            <w:tcW w:w="399"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7.12</w:t>
            </w:r>
          </w:p>
        </w:tc>
        <w:tc>
          <w:tcPr>
            <w:tcW w:w="443" w:type="pct"/>
            <w:gridSpan w:val="2"/>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12:00-12:10</w:t>
            </w:r>
          </w:p>
        </w:tc>
        <w:tc>
          <w:tcPr>
            <w:tcW w:w="612"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26</w:t>
            </w:r>
          </w:p>
        </w:tc>
        <w:tc>
          <w:tcPr>
            <w:tcW w:w="586"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125</w:t>
            </w:r>
          </w:p>
        </w:tc>
        <w:tc>
          <w:tcPr>
            <w:tcW w:w="658"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24.2</w:t>
            </w:r>
          </w:p>
        </w:tc>
        <w:tc>
          <w:tcPr>
            <w:tcW w:w="414"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6.37</w:t>
            </w:r>
          </w:p>
        </w:tc>
        <w:tc>
          <w:tcPr>
            <w:tcW w:w="399"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7.56</w:t>
            </w:r>
          </w:p>
        </w:tc>
        <w:tc>
          <w:tcPr>
            <w:tcW w:w="443" w:type="pct"/>
            <w:gridSpan w:val="2"/>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13:30-13:40</w:t>
            </w:r>
          </w:p>
        </w:tc>
        <w:tc>
          <w:tcPr>
            <w:tcW w:w="612"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29</w:t>
            </w:r>
          </w:p>
        </w:tc>
        <w:tc>
          <w:tcPr>
            <w:tcW w:w="586"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125</w:t>
            </w:r>
          </w:p>
        </w:tc>
        <w:tc>
          <w:tcPr>
            <w:tcW w:w="658"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25.2</w:t>
            </w:r>
          </w:p>
        </w:tc>
        <w:tc>
          <w:tcPr>
            <w:tcW w:w="414"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6.42</w:t>
            </w:r>
          </w:p>
        </w:tc>
        <w:tc>
          <w:tcPr>
            <w:tcW w:w="399"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7.64</w:t>
            </w:r>
          </w:p>
        </w:tc>
        <w:tc>
          <w:tcPr>
            <w:tcW w:w="443" w:type="pct"/>
            <w:gridSpan w:val="2"/>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15" w:type="pct"/>
            <w:vMerge w:val="continue"/>
            <w:tcBorders>
              <w:left w:val="single" w:color="auto" w:sz="4" w:space="0"/>
              <w:right w:val="single" w:color="auto" w:sz="4" w:space="0"/>
            </w:tcBorders>
            <w:vAlign w:val="center"/>
          </w:tcPr>
          <w:p>
            <w:pPr>
              <w:ind w:firstLine="480"/>
              <w:jc w:val="center"/>
              <w:rPr>
                <w:sz w:val="21"/>
                <w:szCs w:val="21"/>
              </w:rPr>
            </w:pPr>
          </w:p>
        </w:tc>
        <w:tc>
          <w:tcPr>
            <w:tcW w:w="606" w:type="pct"/>
            <w:tcBorders>
              <w:top w:val="single" w:color="auto" w:sz="4" w:space="0"/>
              <w:left w:val="single" w:color="auto" w:sz="4" w:space="0"/>
              <w:bottom w:val="single" w:color="auto" w:sz="4" w:space="0"/>
              <w:right w:val="single" w:color="auto" w:sz="4" w:space="0"/>
            </w:tcBorders>
            <w:vAlign w:val="center"/>
          </w:tcPr>
          <w:p>
            <w:pPr>
              <w:ind w:left="0" w:leftChars="0" w:firstLine="0" w:firstLineChars="0"/>
              <w:jc w:val="center"/>
              <w:rPr>
                <w:sz w:val="21"/>
                <w:szCs w:val="21"/>
              </w:rPr>
            </w:pPr>
            <w:r>
              <w:rPr>
                <w:rFonts w:hint="eastAsia" w:ascii="Times New Roman" w:hAnsi="Times New Roman" w:eastAsia="宋体" w:cs="Times New Roman"/>
                <w:color w:val="auto"/>
                <w:sz w:val="23"/>
                <w:szCs w:val="23"/>
                <w:lang w:val="en-US" w:eastAsia="zh-CN"/>
              </w:rPr>
              <w:t>14:50-15:00</w:t>
            </w:r>
          </w:p>
        </w:tc>
        <w:tc>
          <w:tcPr>
            <w:tcW w:w="612"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7.2</w:t>
            </w:r>
          </w:p>
        </w:tc>
        <w:tc>
          <w:tcPr>
            <w:tcW w:w="563"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28</w:t>
            </w:r>
          </w:p>
        </w:tc>
        <w:tc>
          <w:tcPr>
            <w:tcW w:w="586"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125</w:t>
            </w:r>
          </w:p>
        </w:tc>
        <w:tc>
          <w:tcPr>
            <w:tcW w:w="658"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25.2</w:t>
            </w:r>
          </w:p>
        </w:tc>
        <w:tc>
          <w:tcPr>
            <w:tcW w:w="414"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6.46</w:t>
            </w:r>
          </w:p>
        </w:tc>
        <w:tc>
          <w:tcPr>
            <w:tcW w:w="399" w:type="pct"/>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7.50</w:t>
            </w:r>
          </w:p>
        </w:tc>
        <w:tc>
          <w:tcPr>
            <w:tcW w:w="443" w:type="pct"/>
            <w:gridSpan w:val="2"/>
            <w:tcBorders>
              <w:left w:val="single" w:color="auto" w:sz="4" w:space="0"/>
              <w:bottom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1322" w:type="pct"/>
            <w:gridSpan w:val="2"/>
            <w:tcBorders>
              <w:left w:val="single" w:color="auto" w:sz="4" w:space="0"/>
            </w:tcBorders>
            <w:vAlign w:val="center"/>
          </w:tcPr>
          <w:p>
            <w:pPr>
              <w:keepNext w:val="0"/>
              <w:keepLines w:val="0"/>
              <w:suppressLineNumbers w:val="0"/>
              <w:tabs>
                <w:tab w:val="left" w:pos="297"/>
              </w:tabs>
              <w:spacing w:before="0" w:beforeAutospacing="0" w:after="0" w:afterAutospacing="0" w:line="240" w:lineRule="exact"/>
              <w:ind w:left="0" w:leftChars="0" w:right="0" w:rightChars="0" w:firstLine="360" w:firstLineChars="200"/>
              <w:jc w:val="center"/>
              <w:rPr>
                <w:sz w:val="21"/>
                <w:szCs w:val="21"/>
              </w:rPr>
            </w:pPr>
            <w:r>
              <w:rPr>
                <w:rFonts w:hint="default" w:ascii="Times New Roman" w:hAnsi="Times New Roman" w:cs="Times New Roman"/>
                <w:sz w:val="18"/>
                <w:szCs w:val="18"/>
                <w:lang w:val="en-US" w:eastAsia="zh-CN"/>
              </w:rPr>
              <w:t>排放限值</w:t>
            </w:r>
          </w:p>
        </w:tc>
        <w:tc>
          <w:tcPr>
            <w:tcW w:w="612" w:type="pct"/>
            <w:tcBorders>
              <w:left w:val="single" w:color="auto" w:sz="4" w:space="0"/>
            </w:tcBorders>
            <w:vAlign w:val="center"/>
          </w:tcPr>
          <w:p>
            <w:pPr>
              <w:ind w:firstLine="480"/>
              <w:jc w:val="center"/>
              <w:rPr>
                <w:rFonts w:hint="eastAsia"/>
                <w:sz w:val="21"/>
                <w:szCs w:val="21"/>
              </w:rPr>
            </w:pPr>
            <w:r>
              <w:rPr>
                <w:rFonts w:hint="eastAsia"/>
                <w:sz w:val="21"/>
                <w:szCs w:val="21"/>
              </w:rPr>
              <w:t>6</w:t>
            </w:r>
            <w:r>
              <w:rPr>
                <w:rFonts w:ascii="Arial" w:hAnsi="Arial" w:cs="Arial"/>
                <w:sz w:val="21"/>
                <w:szCs w:val="21"/>
              </w:rPr>
              <w:t>~</w:t>
            </w:r>
            <w:r>
              <w:rPr>
                <w:rFonts w:hint="eastAsia"/>
                <w:sz w:val="21"/>
                <w:szCs w:val="21"/>
              </w:rPr>
              <w:t>9</w:t>
            </w:r>
          </w:p>
        </w:tc>
        <w:tc>
          <w:tcPr>
            <w:tcW w:w="563"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220</w:t>
            </w:r>
          </w:p>
        </w:tc>
        <w:tc>
          <w:tcPr>
            <w:tcW w:w="586"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200</w:t>
            </w:r>
          </w:p>
        </w:tc>
        <w:tc>
          <w:tcPr>
            <w:tcW w:w="658"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400</w:t>
            </w:r>
          </w:p>
        </w:tc>
        <w:tc>
          <w:tcPr>
            <w:tcW w:w="414" w:type="pct"/>
            <w:tcBorders>
              <w:left w:val="single" w:color="auto" w:sz="4" w:space="0"/>
            </w:tcBorders>
            <w:vAlign w:val="center"/>
          </w:tcPr>
          <w:p>
            <w:pPr>
              <w:ind w:firstLine="480"/>
              <w:jc w:val="center"/>
              <w:rPr>
                <w:rFonts w:hint="default" w:eastAsiaTheme="minorEastAsia"/>
                <w:sz w:val="21"/>
                <w:szCs w:val="21"/>
                <w:lang w:val="en-US" w:eastAsia="zh-CN"/>
              </w:rPr>
            </w:pPr>
            <w:r>
              <w:rPr>
                <w:rFonts w:hint="eastAsia"/>
                <w:sz w:val="21"/>
                <w:szCs w:val="21"/>
                <w:lang w:val="en-US" w:eastAsia="zh-CN"/>
              </w:rPr>
              <w:t>30</w:t>
            </w:r>
          </w:p>
        </w:tc>
        <w:tc>
          <w:tcPr>
            <w:tcW w:w="399" w:type="pct"/>
            <w:tcBorders>
              <w:left w:val="single" w:color="auto" w:sz="4" w:space="0"/>
            </w:tcBorders>
            <w:vAlign w:val="center"/>
          </w:tcPr>
          <w:p>
            <w:pPr>
              <w:ind w:firstLine="480"/>
              <w:jc w:val="center"/>
              <w:rPr>
                <w:rFonts w:hint="eastAsia" w:eastAsiaTheme="minorEastAsia"/>
                <w:sz w:val="21"/>
                <w:szCs w:val="21"/>
                <w:lang w:val="en-US" w:eastAsia="zh-CN"/>
              </w:rPr>
            </w:pPr>
            <w:r>
              <w:rPr>
                <w:rFonts w:hint="eastAsia"/>
                <w:sz w:val="21"/>
                <w:szCs w:val="21"/>
                <w:lang w:val="en-US" w:eastAsia="zh-CN"/>
              </w:rPr>
              <w:t>/</w:t>
            </w:r>
          </w:p>
        </w:tc>
        <w:tc>
          <w:tcPr>
            <w:tcW w:w="443" w:type="pct"/>
            <w:gridSpan w:val="2"/>
            <w:tcBorders>
              <w:left w:val="single" w:color="auto" w:sz="4" w:space="0"/>
            </w:tcBorders>
            <w:vAlign w:val="center"/>
          </w:tcPr>
          <w:p>
            <w:pPr>
              <w:ind w:firstLine="480"/>
              <w:jc w:val="center"/>
              <w:rPr>
                <w:rFonts w:hint="eastAsia" w:eastAsiaTheme="minorEastAsia"/>
                <w:sz w:val="21"/>
                <w:szCs w:val="21"/>
                <w:lang w:val="en-US" w:eastAsia="zh-CN"/>
              </w:rPr>
            </w:pPr>
            <w:r>
              <w:rPr>
                <w:rFonts w:hint="eastAsia"/>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322" w:type="pct"/>
            <w:gridSpan w:val="2"/>
            <w:tcBorders>
              <w:left w:val="single" w:color="auto" w:sz="4" w:space="0"/>
              <w:bottom w:val="single" w:color="auto" w:sz="4" w:space="0"/>
            </w:tcBorders>
            <w:vAlign w:val="center"/>
          </w:tcPr>
          <w:p>
            <w:pPr>
              <w:keepNext w:val="0"/>
              <w:keepLines w:val="0"/>
              <w:suppressLineNumbers w:val="0"/>
              <w:tabs>
                <w:tab w:val="left" w:pos="297"/>
              </w:tabs>
              <w:spacing w:before="0" w:beforeAutospacing="0" w:after="0" w:afterAutospacing="0" w:line="240" w:lineRule="exact"/>
              <w:ind w:left="0" w:leftChars="0" w:right="0" w:rightChars="0" w:firstLine="360" w:firstLineChars="200"/>
              <w:jc w:val="center"/>
              <w:rPr>
                <w:sz w:val="21"/>
                <w:szCs w:val="21"/>
              </w:rPr>
            </w:pPr>
            <w:r>
              <w:rPr>
                <w:rFonts w:hint="default" w:ascii="Times New Roman" w:hAnsi="Times New Roman" w:cs="Times New Roman"/>
                <w:sz w:val="18"/>
                <w:szCs w:val="18"/>
                <w:lang w:val="en-US" w:eastAsia="zh-CN"/>
              </w:rPr>
              <w:t>达标情况</w:t>
            </w:r>
          </w:p>
        </w:tc>
        <w:tc>
          <w:tcPr>
            <w:tcW w:w="612" w:type="pct"/>
            <w:tcBorders>
              <w:left w:val="single" w:color="auto" w:sz="4" w:space="0"/>
              <w:bottom w:val="single" w:color="auto" w:sz="4" w:space="0"/>
            </w:tcBorders>
            <w:vAlign w:val="center"/>
          </w:tcPr>
          <w:p>
            <w:pPr>
              <w:ind w:firstLine="480"/>
              <w:jc w:val="center"/>
              <w:rPr>
                <w:rFonts w:hint="eastAsia"/>
                <w:sz w:val="21"/>
                <w:szCs w:val="21"/>
              </w:rPr>
            </w:pPr>
            <w:r>
              <w:rPr>
                <w:rFonts w:hint="eastAsia"/>
                <w:sz w:val="21"/>
                <w:szCs w:val="21"/>
              </w:rPr>
              <w:t>达标</w:t>
            </w:r>
          </w:p>
        </w:tc>
        <w:tc>
          <w:tcPr>
            <w:tcW w:w="563" w:type="pct"/>
            <w:tcBorders>
              <w:left w:val="single" w:color="auto" w:sz="4" w:space="0"/>
              <w:bottom w:val="single" w:color="auto" w:sz="4" w:space="0"/>
            </w:tcBorders>
            <w:vAlign w:val="center"/>
          </w:tcPr>
          <w:p>
            <w:pPr>
              <w:ind w:firstLine="480"/>
              <w:jc w:val="center"/>
              <w:rPr>
                <w:rFonts w:hint="eastAsia"/>
                <w:sz w:val="21"/>
                <w:szCs w:val="21"/>
              </w:rPr>
            </w:pPr>
            <w:r>
              <w:rPr>
                <w:rFonts w:hint="eastAsia"/>
                <w:sz w:val="21"/>
                <w:szCs w:val="21"/>
              </w:rPr>
              <w:t>达标</w:t>
            </w:r>
          </w:p>
        </w:tc>
        <w:tc>
          <w:tcPr>
            <w:tcW w:w="586" w:type="pct"/>
            <w:tcBorders>
              <w:left w:val="single" w:color="auto" w:sz="4" w:space="0"/>
              <w:bottom w:val="single" w:color="auto" w:sz="4" w:space="0"/>
            </w:tcBorders>
            <w:vAlign w:val="center"/>
          </w:tcPr>
          <w:p>
            <w:pPr>
              <w:ind w:firstLine="480"/>
              <w:jc w:val="center"/>
              <w:rPr>
                <w:sz w:val="21"/>
                <w:szCs w:val="21"/>
              </w:rPr>
            </w:pPr>
            <w:r>
              <w:rPr>
                <w:rFonts w:hint="eastAsia"/>
                <w:sz w:val="21"/>
                <w:szCs w:val="21"/>
              </w:rPr>
              <w:t>达标</w:t>
            </w:r>
          </w:p>
        </w:tc>
        <w:tc>
          <w:tcPr>
            <w:tcW w:w="658" w:type="pct"/>
            <w:tcBorders>
              <w:left w:val="single" w:color="auto" w:sz="4" w:space="0"/>
              <w:bottom w:val="single" w:color="auto" w:sz="4" w:space="0"/>
            </w:tcBorders>
            <w:vAlign w:val="center"/>
          </w:tcPr>
          <w:p>
            <w:pPr>
              <w:ind w:firstLine="480"/>
              <w:jc w:val="center"/>
              <w:rPr>
                <w:sz w:val="21"/>
                <w:szCs w:val="21"/>
              </w:rPr>
            </w:pPr>
            <w:r>
              <w:rPr>
                <w:rFonts w:hint="eastAsia"/>
                <w:sz w:val="21"/>
                <w:szCs w:val="21"/>
              </w:rPr>
              <w:t>达标</w:t>
            </w:r>
          </w:p>
        </w:tc>
        <w:tc>
          <w:tcPr>
            <w:tcW w:w="414" w:type="pct"/>
            <w:tcBorders>
              <w:left w:val="single" w:color="auto" w:sz="4" w:space="0"/>
              <w:bottom w:val="single" w:color="auto" w:sz="4" w:space="0"/>
            </w:tcBorders>
            <w:vAlign w:val="center"/>
          </w:tcPr>
          <w:p>
            <w:pPr>
              <w:ind w:firstLine="480"/>
              <w:jc w:val="center"/>
              <w:rPr>
                <w:sz w:val="21"/>
                <w:szCs w:val="21"/>
              </w:rPr>
            </w:pPr>
            <w:r>
              <w:rPr>
                <w:rFonts w:hint="eastAsia"/>
                <w:sz w:val="21"/>
                <w:szCs w:val="21"/>
              </w:rPr>
              <w:t>达标</w:t>
            </w:r>
          </w:p>
        </w:tc>
        <w:tc>
          <w:tcPr>
            <w:tcW w:w="399" w:type="pct"/>
            <w:tcBorders>
              <w:left w:val="single" w:color="auto" w:sz="4" w:space="0"/>
              <w:bottom w:val="single" w:color="auto" w:sz="4" w:space="0"/>
            </w:tcBorders>
            <w:vAlign w:val="center"/>
          </w:tcPr>
          <w:p>
            <w:pPr>
              <w:ind w:firstLine="480"/>
              <w:jc w:val="center"/>
              <w:rPr>
                <w:sz w:val="21"/>
                <w:szCs w:val="21"/>
              </w:rPr>
            </w:pPr>
            <w:r>
              <w:rPr>
                <w:rFonts w:hint="eastAsia"/>
                <w:sz w:val="21"/>
                <w:szCs w:val="21"/>
              </w:rPr>
              <w:t>达标</w:t>
            </w:r>
          </w:p>
        </w:tc>
        <w:tc>
          <w:tcPr>
            <w:tcW w:w="443" w:type="pct"/>
            <w:gridSpan w:val="2"/>
            <w:tcBorders>
              <w:left w:val="single" w:color="auto" w:sz="4" w:space="0"/>
              <w:bottom w:val="single" w:color="auto" w:sz="4" w:space="0"/>
            </w:tcBorders>
            <w:vAlign w:val="center"/>
          </w:tcPr>
          <w:p>
            <w:pPr>
              <w:ind w:firstLine="480"/>
              <w:jc w:val="center"/>
              <w:rPr>
                <w:sz w:val="21"/>
                <w:szCs w:val="21"/>
              </w:rPr>
            </w:pPr>
            <w:r>
              <w:rPr>
                <w:rFonts w:hint="eastAsia"/>
                <w:sz w:val="21"/>
                <w:szCs w:val="21"/>
              </w:rPr>
              <w:t>达标</w:t>
            </w:r>
          </w:p>
        </w:tc>
      </w:tr>
    </w:tbl>
    <w:p>
      <w:pPr>
        <w:pStyle w:val="20"/>
        <w:ind w:left="120" w:firstLine="480"/>
      </w:pPr>
    </w:p>
    <w:p>
      <w:pPr>
        <w:pStyle w:val="55"/>
        <w:ind w:firstLine="480"/>
        <w:sectPr>
          <w:pgSz w:w="16838" w:h="11906" w:orient="landscape"/>
          <w:pgMar w:top="1417" w:right="1134" w:bottom="1247" w:left="1134" w:header="851" w:footer="992" w:gutter="0"/>
          <w:cols w:space="425" w:num="1"/>
          <w:docGrid w:type="lines" w:linePitch="312" w:charSpace="0"/>
        </w:sectPr>
      </w:pPr>
    </w:p>
    <w:p>
      <w:pPr>
        <w:ind w:firstLine="480"/>
      </w:pPr>
      <w:r>
        <w:t>废水监测结果表明：</w:t>
      </w:r>
      <w:r>
        <w:rPr>
          <w:kern w:val="0"/>
        </w:rPr>
        <w:t>项目总排口</w:t>
      </w:r>
      <w:r>
        <w:t>废水中各污染物浓度</w:t>
      </w:r>
      <w:r>
        <w:rPr>
          <w:rFonts w:hint="eastAsia"/>
        </w:rPr>
        <w:t>能够</w:t>
      </w:r>
      <w:r>
        <w:t>满足</w:t>
      </w:r>
      <w:r>
        <w:rPr>
          <w:rFonts w:hint="eastAsia" w:ascii="Times New Roman" w:hAnsi="Times New Roman" w:cs="Times New Roman"/>
          <w:color w:val="auto"/>
        </w:rPr>
        <w:t>段园镇污水处理厂（袁庄矿污水处理厂）接管限值</w:t>
      </w:r>
      <w:r>
        <w:t>。</w:t>
      </w:r>
    </w:p>
    <w:p>
      <w:pPr>
        <w:pStyle w:val="62"/>
        <w:ind w:firstLine="643"/>
      </w:pPr>
      <w:bookmarkStart w:id="59" w:name="_Toc533167002"/>
      <w:bookmarkStart w:id="60" w:name="_Toc15726"/>
      <w:r>
        <w:t>9.4噪声监测结果及评价</w:t>
      </w:r>
      <w:bookmarkEnd w:id="59"/>
      <w:bookmarkEnd w:id="60"/>
    </w:p>
    <w:p>
      <w:pPr>
        <w:ind w:firstLine="480"/>
      </w:pPr>
      <w:r>
        <w:t xml:space="preserve">  厂界噪声监测结果及评价见表9.4-1。 </w:t>
      </w:r>
    </w:p>
    <w:p>
      <w:pPr>
        <w:ind w:firstLine="2891" w:firstLineChars="1200"/>
        <w:rPr>
          <w:b/>
          <w:bCs/>
        </w:rPr>
      </w:pPr>
      <w:r>
        <w:rPr>
          <w:b/>
          <w:bCs/>
        </w:rPr>
        <w:t>表9.4-1  厂界噪声监测结果</w:t>
      </w:r>
    </w:p>
    <w:tbl>
      <w:tblPr>
        <w:tblStyle w:val="43"/>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2"/>
        <w:gridCol w:w="1065"/>
        <w:gridCol w:w="983"/>
        <w:gridCol w:w="817"/>
        <w:gridCol w:w="966"/>
        <w:gridCol w:w="1128"/>
        <w:gridCol w:w="1039"/>
        <w:gridCol w:w="800"/>
        <w:gridCol w:w="1262"/>
        <w:gridCol w:w="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jc w:val="center"/>
        </w:trPr>
        <w:tc>
          <w:tcPr>
            <w:tcW w:w="292"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测点编号</w:t>
            </w:r>
          </w:p>
        </w:tc>
        <w:tc>
          <w:tcPr>
            <w:tcW w:w="563" w:type="pct"/>
            <w:vMerge w:val="restar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测点</w:t>
            </w:r>
          </w:p>
          <w:p>
            <w:pPr>
              <w:keepNext w:val="0"/>
              <w:keepLines w:val="0"/>
              <w:suppressLineNumbers w:val="0"/>
              <w:adjustRightInd/>
              <w:snapToGrid/>
              <w:spacing w:before="0" w:beforeAutospacing="0" w:after="0" w:afterAutospacing="0" w:line="240" w:lineRule="auto"/>
              <w:ind w:left="0" w:right="0" w:firstLine="0" w:firstLineChars="0"/>
              <w:jc w:val="center"/>
            </w:pPr>
            <w:r>
              <w:t>名称</w:t>
            </w:r>
          </w:p>
        </w:tc>
        <w:tc>
          <w:tcPr>
            <w:tcW w:w="2059" w:type="pct"/>
            <w:gridSpan w:val="4"/>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监测日期：</w:t>
            </w:r>
            <w:r>
              <w:rPr>
                <w:rFonts w:hint="eastAsia"/>
              </w:rPr>
              <w:t>2023.11.22</w:t>
            </w:r>
          </w:p>
        </w:tc>
        <w:tc>
          <w:tcPr>
            <w:tcW w:w="2084" w:type="pct"/>
            <w:gridSpan w:val="4"/>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监测日期：</w:t>
            </w:r>
            <w:r>
              <w:rPr>
                <w:rFonts w:hint="eastAsia"/>
              </w:rPr>
              <w:t>2023.11.13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jc w:val="center"/>
        </w:trPr>
        <w:tc>
          <w:tcPr>
            <w:tcW w:w="292"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p>
        </w:tc>
        <w:tc>
          <w:tcPr>
            <w:tcW w:w="563"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p>
        </w:tc>
        <w:tc>
          <w:tcPr>
            <w:tcW w:w="952"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昼 间</w:t>
            </w:r>
          </w:p>
        </w:tc>
        <w:tc>
          <w:tcPr>
            <w:tcW w:w="1107"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夜</w:t>
            </w:r>
            <w:r>
              <w:t xml:space="preserve"> 间</w:t>
            </w:r>
          </w:p>
        </w:tc>
        <w:tc>
          <w:tcPr>
            <w:tcW w:w="972"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昼 间</w:t>
            </w:r>
          </w:p>
        </w:tc>
        <w:tc>
          <w:tcPr>
            <w:tcW w:w="1111"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夜</w:t>
            </w:r>
            <w:r>
              <w:t xml:space="preserve"> 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jc w:val="center"/>
        </w:trPr>
        <w:tc>
          <w:tcPr>
            <w:tcW w:w="292"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p>
        </w:tc>
        <w:tc>
          <w:tcPr>
            <w:tcW w:w="563" w:type="pct"/>
            <w:vMerge w:val="continue"/>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时间</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Leq</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时间</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Leq</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时间</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Leq</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时间</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Leq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N1</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厂界</w:t>
            </w:r>
          </w:p>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lang w:val="en-US" w:eastAsia="zh-CN"/>
              </w:rPr>
            </w:pPr>
            <w:r>
              <w:rPr>
                <w:rFonts w:hint="eastAsia"/>
              </w:rPr>
              <w:t>东</w:t>
            </w:r>
            <w:r>
              <w:rPr>
                <w:rFonts w:hint="eastAsia"/>
                <w:lang w:val="en-US" w:eastAsia="zh-CN"/>
              </w:rPr>
              <w:t>北</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10:32</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57.6</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23:51</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45.0</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08:44</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56.7</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00:03</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N2</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厂界</w:t>
            </w:r>
          </w:p>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lang w:val="en-US" w:eastAsia="zh-CN"/>
              </w:rPr>
              <w:t>东</w:t>
            </w:r>
            <w:r>
              <w:rPr>
                <w:rFonts w:hint="eastAsia"/>
              </w:rPr>
              <w:t>南</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10:28</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56.9</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23:48</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44.7</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08:41</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57.2</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00:04</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N3</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eastAsiaTheme="minorEastAsia"/>
                <w:lang w:eastAsia="zh-CN"/>
              </w:rPr>
            </w:pPr>
            <w:r>
              <w:t>厂界</w:t>
            </w:r>
            <w:r>
              <w:rPr>
                <w:rFonts w:hint="eastAsia"/>
                <w:lang w:val="en-US" w:eastAsia="zh-CN"/>
              </w:rPr>
              <w:t>南</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10:21</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53.7</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23:44</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46.1</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08:34</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55.1</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00:09</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rPr>
                <w:rFonts w:hint="eastAsia"/>
              </w:rPr>
              <w:t>N4</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厂界</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lang w:val="en-US" w:eastAsia="zh-CN"/>
              </w:rPr>
            </w:pPr>
            <w:r>
              <w:rPr>
                <w:rFonts w:hint="eastAsia"/>
                <w:lang w:val="en-US" w:eastAsia="zh-CN"/>
              </w:rPr>
              <w:t xml:space="preserve"> 西北</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10:19</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54.4</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23:41</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48.2</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08:31</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56.1</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00:11</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lang w:val="en-US" w:eastAsia="zh-CN"/>
              </w:rPr>
            </w:pPr>
            <w:r>
              <w:rPr>
                <w:rFonts w:hint="eastAsia"/>
                <w:lang w:val="en-US" w:eastAsia="zh-CN"/>
              </w:rPr>
              <w:t>N5</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lang w:val="en-US" w:eastAsia="zh-CN"/>
              </w:rPr>
            </w:pPr>
            <w:r>
              <w:rPr>
                <w:rFonts w:hint="eastAsia"/>
                <w:lang w:val="en-US" w:eastAsia="zh-CN"/>
              </w:rPr>
              <w:t>厂界</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lang w:val="en-US" w:eastAsia="zh-CN"/>
              </w:rPr>
            </w:pPr>
            <w:r>
              <w:rPr>
                <w:rFonts w:hint="eastAsia"/>
                <w:lang w:val="en-US" w:eastAsia="zh-CN"/>
              </w:rPr>
              <w:t>西南</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10:18</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55.7</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23:38</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44.9</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08:29</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56.3</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00:13</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N6</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姚楼村</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10:10</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46.7</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23:32</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43.8</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08:24</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53.7</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00:19</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exact"/>
          <w:jc w:val="center"/>
        </w:trPr>
        <w:tc>
          <w:tcPr>
            <w:tcW w:w="29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N7</w:t>
            </w:r>
          </w:p>
        </w:tc>
        <w:tc>
          <w:tcPr>
            <w:tcW w:w="56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lang w:val="en-US" w:eastAsia="zh-CN"/>
              </w:rPr>
            </w:pPr>
            <w:r>
              <w:rPr>
                <w:rFonts w:hint="eastAsia"/>
                <w:lang w:val="en-US" w:eastAsia="zh-CN"/>
              </w:rPr>
              <w:t>姚楼</w:t>
            </w:r>
          </w:p>
          <w:p>
            <w:pPr>
              <w:keepNext w:val="0"/>
              <w:keepLines w:val="0"/>
              <w:suppressLineNumbers w:val="0"/>
              <w:adjustRightInd/>
              <w:snapToGrid/>
              <w:spacing w:before="0" w:beforeAutospacing="0" w:after="0" w:afterAutospacing="0" w:line="240" w:lineRule="auto"/>
              <w:ind w:left="0" w:right="0" w:firstLine="0" w:firstLineChars="0"/>
              <w:jc w:val="center"/>
              <w:rPr>
                <w:rFonts w:hint="default"/>
                <w:lang w:val="en-US" w:eastAsia="zh-CN"/>
              </w:rPr>
            </w:pPr>
            <w:r>
              <w:rPr>
                <w:rFonts w:hint="eastAsia"/>
                <w:lang w:val="en-US" w:eastAsia="zh-CN"/>
              </w:rPr>
              <w:t>小学</w:t>
            </w:r>
          </w:p>
        </w:tc>
        <w:tc>
          <w:tcPr>
            <w:tcW w:w="51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10:05</w:t>
            </w:r>
          </w:p>
        </w:tc>
        <w:tc>
          <w:tcPr>
            <w:tcW w:w="432"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48.3</w:t>
            </w:r>
          </w:p>
        </w:tc>
        <w:tc>
          <w:tcPr>
            <w:tcW w:w="511"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23:26</w:t>
            </w:r>
          </w:p>
        </w:tc>
        <w:tc>
          <w:tcPr>
            <w:tcW w:w="596"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41.4</w:t>
            </w:r>
          </w:p>
        </w:tc>
        <w:tc>
          <w:tcPr>
            <w:tcW w:w="549"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08:21</w:t>
            </w:r>
          </w:p>
        </w:tc>
        <w:tc>
          <w:tcPr>
            <w:tcW w:w="423"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52.0</w:t>
            </w:r>
          </w:p>
        </w:tc>
        <w:tc>
          <w:tcPr>
            <w:tcW w:w="667"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00:24</w:t>
            </w:r>
          </w:p>
        </w:tc>
        <w:tc>
          <w:tcPr>
            <w:tcW w:w="444" w:type="pct"/>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exact"/>
          <w:jc w:val="center"/>
        </w:trPr>
        <w:tc>
          <w:tcPr>
            <w:tcW w:w="855"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pPr>
            <w:r>
              <w:t>评价标准</w:t>
            </w:r>
          </w:p>
        </w:tc>
        <w:tc>
          <w:tcPr>
            <w:tcW w:w="952"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lang w:val="en-US" w:eastAsia="zh-CN"/>
              </w:rPr>
            </w:pPr>
            <w:r>
              <w:rPr>
                <w:rFonts w:hint="eastAsia"/>
                <w:lang w:val="en-US" w:eastAsia="zh-CN"/>
              </w:rPr>
              <w:t>60</w:t>
            </w:r>
          </w:p>
        </w:tc>
        <w:tc>
          <w:tcPr>
            <w:tcW w:w="1107" w:type="pct"/>
            <w:gridSpan w:val="2"/>
            <w:vAlign w:val="center"/>
          </w:tcPr>
          <w:p>
            <w:pPr>
              <w:keepNext w:val="0"/>
              <w:keepLines w:val="0"/>
              <w:suppressLineNumbers w:val="0"/>
              <w:adjustRightInd/>
              <w:snapToGrid/>
              <w:spacing w:before="0" w:beforeAutospacing="0" w:after="0" w:afterAutospacing="0" w:line="240" w:lineRule="auto"/>
              <w:ind w:left="0" w:right="0" w:firstLine="0" w:firstLineChars="0"/>
              <w:jc w:val="center"/>
              <w:rPr>
                <w:rFonts w:hint="default" w:eastAsiaTheme="minorEastAsia"/>
                <w:lang w:val="en-US" w:eastAsia="zh-CN"/>
              </w:rPr>
            </w:pPr>
            <w:r>
              <w:rPr>
                <w:rFonts w:hint="eastAsia"/>
                <w:lang w:val="en-US" w:eastAsia="zh-CN"/>
              </w:rPr>
              <w:t>50</w:t>
            </w:r>
          </w:p>
        </w:tc>
        <w:tc>
          <w:tcPr>
            <w:tcW w:w="972" w:type="pct"/>
            <w:gridSpan w:val="2"/>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pPr>
            <w:r>
              <w:rPr>
                <w:rFonts w:hint="eastAsia"/>
                <w:lang w:val="en-US" w:eastAsia="zh-CN"/>
              </w:rPr>
              <w:t>60</w:t>
            </w:r>
          </w:p>
        </w:tc>
        <w:tc>
          <w:tcPr>
            <w:tcW w:w="1111" w:type="pct"/>
            <w:gridSpan w:val="2"/>
            <w:vAlign w:val="center"/>
          </w:tcPr>
          <w:p>
            <w:pPr>
              <w:keepNext w:val="0"/>
              <w:keepLines w:val="0"/>
              <w:suppressLineNumbers w:val="0"/>
              <w:adjustRightInd/>
              <w:snapToGrid/>
              <w:spacing w:before="0" w:beforeAutospacing="0" w:after="0" w:afterAutospacing="0" w:line="240" w:lineRule="auto"/>
              <w:ind w:left="0" w:leftChars="0" w:right="0" w:rightChars="0" w:firstLine="0" w:firstLineChars="0"/>
              <w:jc w:val="center"/>
            </w:pPr>
            <w:r>
              <w:rPr>
                <w:rFonts w:hint="eastAsia"/>
                <w:lang w:val="en-US" w:eastAsia="zh-CN"/>
              </w:rPr>
              <w:t>50</w:t>
            </w:r>
          </w:p>
        </w:tc>
      </w:tr>
    </w:tbl>
    <w:p>
      <w:pPr>
        <w:ind w:firstLine="480"/>
        <w:rPr>
          <w:rFonts w:hint="eastAsia" w:eastAsia="宋体"/>
          <w:lang w:val="en-US" w:eastAsia="zh-CN"/>
        </w:rPr>
      </w:pPr>
      <w:r>
        <w:t>噪声监测结果表明：项目各厂界噪声等效声级昼间值均低于6</w:t>
      </w:r>
      <w:r>
        <w:rPr>
          <w:rFonts w:hint="eastAsia"/>
          <w:lang w:val="en-US" w:eastAsia="zh-CN"/>
        </w:rPr>
        <w:t>0</w:t>
      </w:r>
      <w:r>
        <w:t>dB(A)，夜间值均低于5</w:t>
      </w:r>
      <w:r>
        <w:rPr>
          <w:rFonts w:hint="eastAsia"/>
          <w:lang w:val="en-US" w:eastAsia="zh-CN"/>
        </w:rPr>
        <w:t>0</w:t>
      </w:r>
      <w:r>
        <w:t>dB(A)，</w:t>
      </w:r>
      <w:r>
        <w:rPr>
          <w:rFonts w:hint="eastAsia"/>
        </w:rPr>
        <w:t>能够</w:t>
      </w:r>
      <w:r>
        <w:t>满足《工业企业厂界环境噪声排放标准》（GB12348-2008）</w:t>
      </w:r>
      <w:r>
        <w:rPr>
          <w:rFonts w:hint="eastAsia"/>
          <w:lang w:val="en-US" w:eastAsia="zh-CN"/>
        </w:rPr>
        <w:t>2</w:t>
      </w:r>
      <w:r>
        <w:t>类标准要求</w:t>
      </w:r>
      <w:r>
        <w:rPr>
          <w:rFonts w:hint="eastAsia"/>
          <w:lang w:eastAsia="zh-CN"/>
        </w:rPr>
        <w:t>；</w:t>
      </w:r>
      <w:r>
        <w:rPr>
          <w:rFonts w:hint="eastAsia"/>
          <w:lang w:val="en-US" w:eastAsia="zh-CN"/>
        </w:rPr>
        <w:t>敏感点姚楼村和姚楼小学</w:t>
      </w:r>
      <w:r>
        <w:rPr>
          <w:rFonts w:hint="eastAsia" w:ascii="Times New Roman" w:hAnsi="Times New Roman" w:cs="Times New Roman"/>
          <w:snapToGrid w:val="0"/>
          <w:color w:val="auto"/>
          <w:lang w:val="en-US" w:eastAsia="zh-CN"/>
        </w:rPr>
        <w:t>昼、夜声环境</w:t>
      </w:r>
      <w:r>
        <w:rPr>
          <w:rFonts w:ascii="Times New Roman" w:hAnsi="Times New Roman" w:eastAsia="宋体"/>
          <w:color w:val="auto"/>
          <w:sz w:val="24"/>
          <w:szCs w:val="24"/>
        </w:rPr>
        <w:t>《声环境质量标准》（GB3096-2008）2类标准</w:t>
      </w:r>
      <w:r>
        <w:rPr>
          <w:rFonts w:hint="eastAsia" w:ascii="Times New Roman" w:hAnsi="Times New Roman" w:eastAsia="宋体"/>
          <w:color w:val="auto"/>
          <w:sz w:val="24"/>
          <w:szCs w:val="24"/>
          <w:lang w:eastAsia="zh-CN"/>
        </w:rPr>
        <w:t>。</w:t>
      </w:r>
    </w:p>
    <w:p>
      <w:pPr>
        <w:pStyle w:val="62"/>
        <w:ind w:firstLine="643"/>
        <w:rPr>
          <w:rFonts w:hint="eastAsia"/>
          <w:lang w:val="en-US" w:eastAsia="zh-CN"/>
        </w:rPr>
      </w:pPr>
      <w:bookmarkStart w:id="61" w:name="_Toc20437"/>
      <w:r>
        <w:rPr>
          <w:rFonts w:hint="eastAsia"/>
          <w:lang w:val="en-US" w:eastAsia="zh-CN"/>
        </w:rPr>
        <w:t>9.5总量控制</w:t>
      </w:r>
    </w:p>
    <w:p>
      <w:pPr>
        <w:spacing w:line="440" w:lineRule="exact"/>
        <w:ind w:firstLine="480" w:firstLineChars="200"/>
        <w:jc w:val="both"/>
        <w:rPr>
          <w:rFonts w:hint="default" w:ascii="Times New Roman" w:hAnsi="Times New Roman" w:cs="Times New Roman" w:eastAsiaTheme="minorEastAsia"/>
          <w:color w:val="auto"/>
          <w:lang w:val="en-US" w:eastAsia="zh-CN"/>
        </w:rPr>
      </w:pPr>
      <w:r>
        <w:rPr>
          <w:rFonts w:hint="eastAsia" w:ascii="Times New Roman" w:hAnsi="Times New Roman" w:cs="Times New Roman"/>
          <w:color w:val="auto"/>
          <w:lang w:val="en-US" w:eastAsia="zh-CN"/>
        </w:rPr>
        <w:t>根据建设项目主要污染物新增排放容量核定表（编号202310-02）可知，本项目二氧化硫排放量0.02t/a，氮氧化物排放量为0.0936t/a，烟（粉）尘排放量为1.9017t/a、挥发性有机物排放量为0.3573t/a。</w:t>
      </w:r>
    </w:p>
    <w:p>
      <w:pPr>
        <w:spacing w:line="440" w:lineRule="exact"/>
        <w:ind w:firstLine="480" w:firstLineChars="200"/>
        <w:jc w:val="both"/>
      </w:pPr>
    </w:p>
    <w:p>
      <w:pPr>
        <w:pStyle w:val="62"/>
        <w:ind w:left="0" w:leftChars="0" w:firstLine="0" w:firstLineChars="0"/>
      </w:pPr>
      <w:r>
        <w:t>9.</w:t>
      </w:r>
      <w:r>
        <w:rPr>
          <w:rFonts w:hint="eastAsia"/>
          <w:lang w:val="en-US" w:eastAsia="zh-CN"/>
        </w:rPr>
        <w:t>6</w:t>
      </w:r>
      <w:r>
        <w:rPr>
          <w:rFonts w:hint="eastAsia"/>
        </w:rPr>
        <w:t>现场采样照片</w:t>
      </w:r>
      <w:bookmarkEnd w:id="61"/>
    </w:p>
    <w:tbl>
      <w:tblPr>
        <w:tblStyle w:val="44"/>
        <w:tblW w:w="0" w:type="auto"/>
        <w:tblInd w:w="0" w:type="dxa"/>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Layout w:type="fixed"/>
        <w:tblCellMar>
          <w:top w:w="0" w:type="dxa"/>
          <w:left w:w="108" w:type="dxa"/>
          <w:bottom w:w="0" w:type="dxa"/>
          <w:right w:w="108" w:type="dxa"/>
        </w:tblCellMar>
      </w:tblPr>
      <w:tblGrid>
        <w:gridCol w:w="4251"/>
        <w:gridCol w:w="4271"/>
      </w:tblGrid>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left="0" w:leftChars="0" w:firstLine="0" w:firstLineChars="0"/>
              <w:jc w:val="both"/>
            </w:pPr>
            <w:r>
              <w:drawing>
                <wp:inline distT="0" distB="0" distL="114300" distR="114300">
                  <wp:extent cx="2505075" cy="5248275"/>
                  <wp:effectExtent l="0" t="0" r="9525" b="952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34"/>
                          <a:stretch>
                            <a:fillRect/>
                          </a:stretch>
                        </pic:blipFill>
                        <pic:spPr>
                          <a:xfrm>
                            <a:off x="0" y="0"/>
                            <a:ext cx="2505075" cy="5248275"/>
                          </a:xfrm>
                          <a:prstGeom prst="rect">
                            <a:avLst/>
                          </a:prstGeom>
                          <a:noFill/>
                          <a:ln>
                            <a:noFill/>
                          </a:ln>
                        </pic:spPr>
                      </pic:pic>
                    </a:graphicData>
                  </a:graphic>
                </wp:inline>
              </w:drawing>
            </w:r>
          </w:p>
        </w:tc>
        <w:tc>
          <w:tcPr>
            <w:tcW w:w="4271" w:type="dxa"/>
            <w:tcBorders>
              <w:tl2br w:val="nil"/>
              <w:tr2bl w:val="nil"/>
            </w:tcBorders>
          </w:tcPr>
          <w:p>
            <w:pPr>
              <w:pStyle w:val="55"/>
              <w:ind w:left="0" w:leftChars="0" w:firstLine="0" w:firstLineChars="0"/>
              <w:jc w:val="both"/>
            </w:pPr>
            <w:r>
              <w:drawing>
                <wp:inline distT="0" distB="0" distL="114300" distR="114300">
                  <wp:extent cx="2486025" cy="5267325"/>
                  <wp:effectExtent l="0" t="0" r="9525" b="9525"/>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35"/>
                          <a:stretch>
                            <a:fillRect/>
                          </a:stretch>
                        </pic:blipFill>
                        <pic:spPr>
                          <a:xfrm>
                            <a:off x="0" y="0"/>
                            <a:ext cx="2486025" cy="5267325"/>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left="960" w:leftChars="0" w:hanging="960" w:hangingChars="400"/>
              <w:jc w:val="both"/>
              <w:rPr>
                <w:rFonts w:hint="default" w:eastAsiaTheme="minorEastAsia"/>
                <w:lang w:val="en-US" w:eastAsia="zh-CN"/>
              </w:rPr>
            </w:pPr>
            <w:r>
              <w:rPr>
                <w:rFonts w:hint="eastAsia"/>
                <w:lang w:val="en-US" w:eastAsia="zh-CN"/>
              </w:rPr>
              <w:t>下料、焊接、抛丸滤筒除尘器废气出口DA002</w:t>
            </w:r>
          </w:p>
        </w:tc>
        <w:tc>
          <w:tcPr>
            <w:tcW w:w="4271" w:type="dxa"/>
            <w:tcBorders>
              <w:tl2br w:val="nil"/>
              <w:tr2bl w:val="nil"/>
            </w:tcBorders>
          </w:tcPr>
          <w:p>
            <w:pPr>
              <w:pStyle w:val="55"/>
              <w:ind w:left="0" w:leftChars="0" w:firstLine="0" w:firstLineChars="0"/>
              <w:jc w:val="both"/>
              <w:rPr>
                <w:rFonts w:hint="default" w:eastAsiaTheme="minorEastAsia"/>
                <w:lang w:val="en-US" w:eastAsia="zh-CN"/>
              </w:rPr>
            </w:pPr>
            <w:r>
              <w:rPr>
                <w:rFonts w:hint="eastAsia"/>
                <w:lang w:val="en-US" w:eastAsia="zh-CN"/>
              </w:rPr>
              <w:t>喷涂</w:t>
            </w:r>
            <w:r>
              <w:rPr>
                <w:rFonts w:ascii="Times New Roman" w:hAnsi="Times New Roman" w:cs="Times New Roman"/>
                <w:color w:val="auto"/>
                <w:sz w:val="21"/>
                <w:szCs w:val="21"/>
              </w:rPr>
              <w:t>干式过滤+活性炭吸附/脱附+催化燃烧</w:t>
            </w:r>
            <w:r>
              <w:rPr>
                <w:rFonts w:hint="eastAsia" w:ascii="Times New Roman" w:hAnsi="Times New Roman" w:cs="Times New Roman"/>
                <w:color w:val="auto"/>
                <w:sz w:val="21"/>
                <w:szCs w:val="21"/>
                <w:lang w:val="en-US" w:eastAsia="zh-CN"/>
              </w:rPr>
              <w:t>装置出口DA003</w:t>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8522" w:type="dxa"/>
            <w:gridSpan w:val="2"/>
            <w:tcBorders>
              <w:tl2br w:val="nil"/>
              <w:tr2bl w:val="nil"/>
            </w:tcBorders>
          </w:tcPr>
          <w:p>
            <w:pPr>
              <w:pStyle w:val="55"/>
              <w:ind w:left="0" w:leftChars="0" w:firstLine="0" w:firstLineChars="0"/>
              <w:jc w:val="both"/>
              <w:rPr>
                <w:rFonts w:hint="eastAsia"/>
                <w:lang w:val="en-US" w:eastAsia="zh-CN"/>
              </w:rPr>
            </w:pPr>
            <w:r>
              <w:drawing>
                <wp:inline distT="0" distB="0" distL="114300" distR="114300">
                  <wp:extent cx="5266055" cy="2502535"/>
                  <wp:effectExtent l="0" t="0" r="10795" b="1206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36"/>
                          <a:stretch>
                            <a:fillRect/>
                          </a:stretch>
                        </pic:blipFill>
                        <pic:spPr>
                          <a:xfrm>
                            <a:off x="0" y="0"/>
                            <a:ext cx="5266055" cy="2502535"/>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8522" w:type="dxa"/>
            <w:gridSpan w:val="2"/>
            <w:tcBorders>
              <w:tl2br w:val="nil"/>
              <w:tr2bl w:val="nil"/>
            </w:tcBorders>
          </w:tcPr>
          <w:p>
            <w:pPr>
              <w:pStyle w:val="55"/>
              <w:ind w:left="0" w:leftChars="0" w:firstLine="4080" w:firstLineChars="1700"/>
              <w:jc w:val="both"/>
              <w:rPr>
                <w:rFonts w:hint="default" w:eastAsiaTheme="minorEastAsia"/>
                <w:lang w:val="en-US" w:eastAsia="zh-CN"/>
              </w:rPr>
            </w:pPr>
            <w:r>
              <w:rPr>
                <w:rFonts w:hint="eastAsia"/>
                <w:lang w:val="en-US" w:eastAsia="zh-CN"/>
              </w:rPr>
              <w:t>厂区污水总排口</w:t>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left="0" w:leftChars="0" w:firstLine="0" w:firstLineChars="0"/>
              <w:jc w:val="both"/>
              <w:rPr>
                <w:rFonts w:hint="eastAsia" w:eastAsiaTheme="minorEastAsia"/>
                <w:lang w:eastAsia="zh-CN"/>
              </w:rPr>
            </w:pPr>
            <w:r>
              <w:drawing>
                <wp:inline distT="0" distB="0" distL="114300" distR="114300">
                  <wp:extent cx="2559685" cy="5128895"/>
                  <wp:effectExtent l="0" t="0" r="12065" b="14605"/>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
                          <pic:cNvPicPr>
                            <a:picLocks noChangeAspect="1"/>
                          </pic:cNvPicPr>
                        </pic:nvPicPr>
                        <pic:blipFill>
                          <a:blip r:embed="rId37"/>
                          <a:stretch>
                            <a:fillRect/>
                          </a:stretch>
                        </pic:blipFill>
                        <pic:spPr>
                          <a:xfrm>
                            <a:off x="0" y="0"/>
                            <a:ext cx="2559685" cy="5128895"/>
                          </a:xfrm>
                          <a:prstGeom prst="rect">
                            <a:avLst/>
                          </a:prstGeom>
                          <a:noFill/>
                          <a:ln>
                            <a:noFill/>
                          </a:ln>
                        </pic:spPr>
                      </pic:pic>
                    </a:graphicData>
                  </a:graphic>
                </wp:inline>
              </w:drawing>
            </w:r>
          </w:p>
        </w:tc>
        <w:tc>
          <w:tcPr>
            <w:tcW w:w="4271" w:type="dxa"/>
            <w:tcBorders>
              <w:tl2br w:val="nil"/>
              <w:tr2bl w:val="nil"/>
            </w:tcBorders>
          </w:tcPr>
          <w:p>
            <w:pPr>
              <w:pStyle w:val="55"/>
              <w:ind w:left="0" w:leftChars="0" w:firstLine="0" w:firstLineChars="0"/>
              <w:jc w:val="both"/>
            </w:pPr>
            <w:r>
              <w:drawing>
                <wp:inline distT="0" distB="0" distL="114300" distR="114300">
                  <wp:extent cx="2573020" cy="5212080"/>
                  <wp:effectExtent l="0" t="0" r="17780" b="7620"/>
                  <wp:docPr id="3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6"/>
                          <pic:cNvPicPr>
                            <a:picLocks noChangeAspect="1"/>
                          </pic:cNvPicPr>
                        </pic:nvPicPr>
                        <pic:blipFill>
                          <a:blip r:embed="rId38"/>
                          <a:stretch>
                            <a:fillRect/>
                          </a:stretch>
                        </pic:blipFill>
                        <pic:spPr>
                          <a:xfrm>
                            <a:off x="0" y="0"/>
                            <a:ext cx="2573020" cy="5212080"/>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rPr>
          <w:trHeight w:val="400" w:hRule="atLeast"/>
        </w:trPr>
        <w:tc>
          <w:tcPr>
            <w:tcW w:w="4251" w:type="dxa"/>
            <w:tcBorders>
              <w:tl2br w:val="nil"/>
              <w:tr2bl w:val="nil"/>
            </w:tcBorders>
          </w:tcPr>
          <w:p>
            <w:pPr>
              <w:pStyle w:val="55"/>
              <w:ind w:firstLine="480"/>
              <w:jc w:val="both"/>
              <w:rPr>
                <w:rFonts w:eastAsia="黑体"/>
              </w:rPr>
            </w:pPr>
            <w:r>
              <w:rPr>
                <w:rFonts w:hint="eastAsia"/>
              </w:rPr>
              <w:t>东</w:t>
            </w:r>
            <w:r>
              <w:rPr>
                <w:rFonts w:hint="eastAsia"/>
                <w:lang w:val="en-US" w:eastAsia="zh-CN"/>
              </w:rPr>
              <w:t>北</w:t>
            </w:r>
            <w:r>
              <w:rPr>
                <w:rFonts w:hint="eastAsia"/>
              </w:rPr>
              <w:t>厂界噪声监测</w:t>
            </w:r>
          </w:p>
        </w:tc>
        <w:tc>
          <w:tcPr>
            <w:tcW w:w="4271" w:type="dxa"/>
            <w:tcBorders>
              <w:tl2br w:val="nil"/>
              <w:tr2bl w:val="nil"/>
            </w:tcBorders>
          </w:tcPr>
          <w:p>
            <w:pPr>
              <w:pStyle w:val="55"/>
              <w:ind w:firstLine="480"/>
              <w:jc w:val="both"/>
            </w:pPr>
            <w:r>
              <w:rPr>
                <w:rFonts w:hint="eastAsia"/>
                <w:lang w:val="en-US" w:eastAsia="zh-CN"/>
              </w:rPr>
              <w:t>东</w:t>
            </w:r>
            <w:r>
              <w:rPr>
                <w:rFonts w:hint="eastAsia"/>
              </w:rPr>
              <w:t>南厂界噪声监测</w:t>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jc w:val="both"/>
            </w:pPr>
            <w:r>
              <w:drawing>
                <wp:inline distT="0" distB="0" distL="114300" distR="114300">
                  <wp:extent cx="2200275" cy="4419600"/>
                  <wp:effectExtent l="0" t="0" r="9525" b="0"/>
                  <wp:docPr id="3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7"/>
                          <pic:cNvPicPr>
                            <a:picLocks noChangeAspect="1"/>
                          </pic:cNvPicPr>
                        </pic:nvPicPr>
                        <pic:blipFill>
                          <a:blip r:embed="rId39"/>
                          <a:stretch>
                            <a:fillRect/>
                          </a:stretch>
                        </pic:blipFill>
                        <pic:spPr>
                          <a:xfrm>
                            <a:off x="0" y="0"/>
                            <a:ext cx="2200275" cy="4419600"/>
                          </a:xfrm>
                          <a:prstGeom prst="rect">
                            <a:avLst/>
                          </a:prstGeom>
                          <a:noFill/>
                          <a:ln>
                            <a:noFill/>
                          </a:ln>
                        </pic:spPr>
                      </pic:pic>
                    </a:graphicData>
                  </a:graphic>
                </wp:inline>
              </w:drawing>
            </w:r>
          </w:p>
        </w:tc>
        <w:tc>
          <w:tcPr>
            <w:tcW w:w="4271" w:type="dxa"/>
            <w:tcBorders>
              <w:tl2br w:val="nil"/>
              <w:tr2bl w:val="nil"/>
            </w:tcBorders>
          </w:tcPr>
          <w:p>
            <w:pPr>
              <w:pStyle w:val="55"/>
              <w:ind w:left="0" w:leftChars="0" w:firstLine="0" w:firstLineChars="0"/>
              <w:jc w:val="both"/>
            </w:pPr>
            <w:r>
              <w:drawing>
                <wp:inline distT="0" distB="0" distL="114300" distR="114300">
                  <wp:extent cx="2533650" cy="4418330"/>
                  <wp:effectExtent l="0" t="0" r="0" b="1270"/>
                  <wp:docPr id="3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8"/>
                          <pic:cNvPicPr>
                            <a:picLocks noChangeAspect="1"/>
                          </pic:cNvPicPr>
                        </pic:nvPicPr>
                        <pic:blipFill>
                          <a:blip r:embed="rId40"/>
                          <a:stretch>
                            <a:fillRect/>
                          </a:stretch>
                        </pic:blipFill>
                        <pic:spPr>
                          <a:xfrm>
                            <a:off x="0" y="0"/>
                            <a:ext cx="2533650" cy="4418330"/>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firstLine="720" w:firstLineChars="300"/>
              <w:jc w:val="both"/>
            </w:pPr>
            <w:r>
              <w:rPr>
                <w:rFonts w:hint="eastAsia"/>
                <w:lang w:val="en-US" w:eastAsia="zh-CN"/>
              </w:rPr>
              <w:t>姚楼村</w:t>
            </w:r>
            <w:r>
              <w:rPr>
                <w:rFonts w:hint="eastAsia"/>
              </w:rPr>
              <w:t>噪声监测</w:t>
            </w:r>
          </w:p>
        </w:tc>
        <w:tc>
          <w:tcPr>
            <w:tcW w:w="4271" w:type="dxa"/>
            <w:tcBorders>
              <w:tl2br w:val="nil"/>
              <w:tr2bl w:val="nil"/>
            </w:tcBorders>
          </w:tcPr>
          <w:p>
            <w:pPr>
              <w:pStyle w:val="55"/>
              <w:ind w:firstLine="960" w:firstLineChars="400"/>
              <w:jc w:val="both"/>
            </w:pPr>
            <w:r>
              <w:rPr>
                <w:rFonts w:hint="eastAsia"/>
                <w:lang w:val="en-US" w:eastAsia="zh-CN"/>
              </w:rPr>
              <w:t>姚楼小学</w:t>
            </w:r>
            <w:r>
              <w:rPr>
                <w:rFonts w:hint="eastAsia"/>
              </w:rPr>
              <w:t>噪声监测</w:t>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jc w:val="both"/>
              <w:rPr>
                <w:szCs w:val="21"/>
              </w:rPr>
            </w:pPr>
            <w:r>
              <w:drawing>
                <wp:inline distT="0" distB="0" distL="114300" distR="114300">
                  <wp:extent cx="2560320" cy="5056505"/>
                  <wp:effectExtent l="0" t="0" r="11430" b="10795"/>
                  <wp:docPr id="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9"/>
                          <pic:cNvPicPr>
                            <a:picLocks noChangeAspect="1"/>
                          </pic:cNvPicPr>
                        </pic:nvPicPr>
                        <pic:blipFill>
                          <a:blip r:embed="rId41"/>
                          <a:stretch>
                            <a:fillRect/>
                          </a:stretch>
                        </pic:blipFill>
                        <pic:spPr>
                          <a:xfrm>
                            <a:off x="0" y="0"/>
                            <a:ext cx="2560320" cy="5056505"/>
                          </a:xfrm>
                          <a:prstGeom prst="rect">
                            <a:avLst/>
                          </a:prstGeom>
                          <a:noFill/>
                          <a:ln>
                            <a:noFill/>
                          </a:ln>
                        </pic:spPr>
                      </pic:pic>
                    </a:graphicData>
                  </a:graphic>
                </wp:inline>
              </w:drawing>
            </w:r>
          </w:p>
        </w:tc>
        <w:tc>
          <w:tcPr>
            <w:tcW w:w="4271" w:type="dxa"/>
            <w:tcBorders>
              <w:tl2br w:val="nil"/>
              <w:tr2bl w:val="nil"/>
            </w:tcBorders>
          </w:tcPr>
          <w:p>
            <w:pPr>
              <w:pStyle w:val="55"/>
              <w:ind w:left="0" w:leftChars="0" w:firstLine="0" w:firstLineChars="0"/>
              <w:jc w:val="both"/>
              <w:rPr>
                <w:szCs w:val="21"/>
              </w:rPr>
            </w:pPr>
            <w:r>
              <w:drawing>
                <wp:inline distT="0" distB="0" distL="114300" distR="114300">
                  <wp:extent cx="2573020" cy="5075555"/>
                  <wp:effectExtent l="0" t="0" r="17780" b="10795"/>
                  <wp:docPr id="3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1"/>
                          <pic:cNvPicPr>
                            <a:picLocks noChangeAspect="1"/>
                          </pic:cNvPicPr>
                        </pic:nvPicPr>
                        <pic:blipFill>
                          <a:blip r:embed="rId42"/>
                          <a:stretch>
                            <a:fillRect/>
                          </a:stretch>
                        </pic:blipFill>
                        <pic:spPr>
                          <a:xfrm>
                            <a:off x="0" y="0"/>
                            <a:ext cx="2573020" cy="5075555"/>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8522" w:type="dxa"/>
            <w:gridSpan w:val="2"/>
            <w:tcBorders>
              <w:tl2br w:val="nil"/>
              <w:tr2bl w:val="nil"/>
            </w:tcBorders>
          </w:tcPr>
          <w:p>
            <w:pPr>
              <w:pStyle w:val="55"/>
              <w:ind w:left="0" w:leftChars="0" w:firstLine="0" w:firstLineChars="0"/>
              <w:jc w:val="center"/>
              <w:rPr>
                <w:rFonts w:hint="default"/>
                <w:lang w:val="en-US"/>
              </w:rPr>
            </w:pPr>
            <w:r>
              <w:rPr>
                <w:rFonts w:hint="eastAsia"/>
              </w:rPr>
              <w:t>无组织废气采样</w:t>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left="0" w:leftChars="0" w:firstLine="0" w:firstLineChars="0"/>
              <w:jc w:val="both"/>
              <w:rPr>
                <w:szCs w:val="21"/>
              </w:rPr>
            </w:pPr>
            <w:r>
              <w:drawing>
                <wp:inline distT="0" distB="0" distL="114300" distR="114300">
                  <wp:extent cx="2562225" cy="5148580"/>
                  <wp:effectExtent l="0" t="0" r="9525" b="13970"/>
                  <wp:docPr id="4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2"/>
                          <pic:cNvPicPr>
                            <a:picLocks noChangeAspect="1"/>
                          </pic:cNvPicPr>
                        </pic:nvPicPr>
                        <pic:blipFill>
                          <a:blip r:embed="rId43"/>
                          <a:stretch>
                            <a:fillRect/>
                          </a:stretch>
                        </pic:blipFill>
                        <pic:spPr>
                          <a:xfrm>
                            <a:off x="0" y="0"/>
                            <a:ext cx="2562225" cy="5148580"/>
                          </a:xfrm>
                          <a:prstGeom prst="rect">
                            <a:avLst/>
                          </a:prstGeom>
                          <a:noFill/>
                          <a:ln>
                            <a:noFill/>
                          </a:ln>
                        </pic:spPr>
                      </pic:pic>
                    </a:graphicData>
                  </a:graphic>
                </wp:inline>
              </w:drawing>
            </w:r>
          </w:p>
        </w:tc>
        <w:tc>
          <w:tcPr>
            <w:tcW w:w="4271" w:type="dxa"/>
            <w:tcBorders>
              <w:tl2br w:val="nil"/>
              <w:tr2bl w:val="nil"/>
            </w:tcBorders>
          </w:tcPr>
          <w:p>
            <w:pPr>
              <w:pStyle w:val="55"/>
              <w:ind w:left="0" w:leftChars="0" w:firstLine="0" w:firstLineChars="0"/>
              <w:jc w:val="both"/>
              <w:rPr>
                <w:szCs w:val="21"/>
              </w:rPr>
            </w:pPr>
            <w:r>
              <w:drawing>
                <wp:inline distT="0" distB="0" distL="114300" distR="114300">
                  <wp:extent cx="2572385" cy="5193665"/>
                  <wp:effectExtent l="0" t="0" r="18415" b="6985"/>
                  <wp:docPr id="4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3"/>
                          <pic:cNvPicPr>
                            <a:picLocks noChangeAspect="1"/>
                          </pic:cNvPicPr>
                        </pic:nvPicPr>
                        <pic:blipFill>
                          <a:blip r:embed="rId44"/>
                          <a:stretch>
                            <a:fillRect/>
                          </a:stretch>
                        </pic:blipFill>
                        <pic:spPr>
                          <a:xfrm>
                            <a:off x="0" y="0"/>
                            <a:ext cx="2572385" cy="5193665"/>
                          </a:xfrm>
                          <a:prstGeom prst="rect">
                            <a:avLst/>
                          </a:prstGeom>
                          <a:noFill/>
                          <a:ln>
                            <a:noFill/>
                          </a:ln>
                        </pic:spPr>
                      </pic:pic>
                    </a:graphicData>
                  </a:graphic>
                </wp:inline>
              </w:drawing>
            </w:r>
          </w:p>
        </w:tc>
      </w:tr>
      <w:tr>
        <w:tblPrEx>
          <w:tblBorders>
            <w:top w:val="dotted" w:color="auto" w:sz="2" w:space="0"/>
            <w:left w:val="dotted" w:color="auto" w:sz="2" w:space="0"/>
            <w:bottom w:val="dotted" w:color="auto" w:sz="2" w:space="0"/>
            <w:right w:val="dotted" w:color="auto" w:sz="2" w:space="0"/>
            <w:insideH w:val="dotted" w:color="auto" w:sz="2" w:space="0"/>
            <w:insideV w:val="dotted" w:color="auto" w:sz="2" w:space="0"/>
          </w:tblBorders>
          <w:tblCellMar>
            <w:top w:w="0" w:type="dxa"/>
            <w:left w:w="108" w:type="dxa"/>
            <w:bottom w:w="0" w:type="dxa"/>
            <w:right w:w="108" w:type="dxa"/>
          </w:tblCellMar>
        </w:tblPrEx>
        <w:tc>
          <w:tcPr>
            <w:tcW w:w="4251" w:type="dxa"/>
            <w:tcBorders>
              <w:tl2br w:val="nil"/>
              <w:tr2bl w:val="nil"/>
            </w:tcBorders>
          </w:tcPr>
          <w:p>
            <w:pPr>
              <w:pStyle w:val="55"/>
              <w:ind w:firstLine="480"/>
              <w:jc w:val="both"/>
            </w:pPr>
            <w:r>
              <w:rPr>
                <w:rFonts w:hint="eastAsia"/>
              </w:rPr>
              <w:t>无组织废气采样</w:t>
            </w:r>
          </w:p>
        </w:tc>
        <w:tc>
          <w:tcPr>
            <w:tcW w:w="4271" w:type="dxa"/>
            <w:tcBorders>
              <w:tl2br w:val="nil"/>
              <w:tr2bl w:val="nil"/>
            </w:tcBorders>
          </w:tcPr>
          <w:p>
            <w:pPr>
              <w:pStyle w:val="55"/>
              <w:ind w:left="0" w:leftChars="0" w:firstLine="0" w:firstLineChars="0"/>
              <w:jc w:val="both"/>
            </w:pPr>
            <w:r>
              <w:rPr>
                <w:rFonts w:hint="eastAsia"/>
                <w:lang w:val="en-US" w:eastAsia="zh-CN"/>
              </w:rPr>
              <w:t>下料、焊接、抛丸滤筒除尘器废气出口DA001</w:t>
            </w:r>
          </w:p>
        </w:tc>
      </w:tr>
    </w:tbl>
    <w:p>
      <w:pPr>
        <w:pStyle w:val="55"/>
        <w:ind w:firstLine="480"/>
        <w:jc w:val="center"/>
        <w:rPr>
          <w:rFonts w:eastAsia="黑体"/>
          <w:b/>
          <w:bCs/>
        </w:rPr>
        <w:sectPr>
          <w:pgSz w:w="11906" w:h="16838"/>
          <w:pgMar w:top="1134" w:right="1247" w:bottom="1134" w:left="1417" w:header="851" w:footer="992" w:gutter="0"/>
          <w:cols w:space="425" w:num="1"/>
          <w:docGrid w:type="lines" w:linePitch="312" w:charSpace="0"/>
        </w:sectPr>
      </w:pPr>
      <w:r>
        <w:rPr>
          <w:rFonts w:hint="eastAsia"/>
          <w:b/>
          <w:bCs/>
        </w:rPr>
        <w:t>图9.5-1 监测现场采样照</w:t>
      </w:r>
    </w:p>
    <w:p>
      <w:pPr>
        <w:pStyle w:val="42"/>
        <w:spacing w:line="360" w:lineRule="auto"/>
      </w:pPr>
      <w:bookmarkStart w:id="62" w:name="_Toc6476"/>
      <w:r>
        <w:rPr>
          <w:rFonts w:hint="eastAsia"/>
        </w:rPr>
        <w:t>10</w:t>
      </w:r>
      <w:r>
        <w:t xml:space="preserve"> </w:t>
      </w:r>
      <w:r>
        <w:rPr>
          <w:rFonts w:hint="eastAsia"/>
        </w:rPr>
        <w:t>验收监测结论</w:t>
      </w:r>
      <w:bookmarkEnd w:id="62"/>
    </w:p>
    <w:p>
      <w:pPr>
        <w:pStyle w:val="62"/>
        <w:spacing w:line="360" w:lineRule="auto"/>
        <w:ind w:left="0" w:leftChars="0" w:firstLine="0" w:firstLineChars="0"/>
      </w:pPr>
      <w:bookmarkStart w:id="63" w:name="_Toc7312"/>
      <w:r>
        <w:rPr>
          <w:rFonts w:hint="eastAsia"/>
        </w:rPr>
        <w:t>10.1环保设施调试运行效果</w:t>
      </w:r>
      <w:bookmarkEnd w:id="63"/>
    </w:p>
    <w:p>
      <w:pPr>
        <w:spacing w:line="360" w:lineRule="auto"/>
        <w:ind w:left="0" w:leftChars="0" w:firstLine="0" w:firstLineChars="0"/>
        <w:rPr>
          <w:b/>
          <w:bCs/>
        </w:rPr>
      </w:pPr>
      <w:r>
        <w:rPr>
          <w:rFonts w:hint="eastAsia"/>
          <w:b/>
          <w:bCs/>
        </w:rPr>
        <w:t>10.1.1 环保设施处理效率监测结果</w:t>
      </w:r>
    </w:p>
    <w:p>
      <w:pPr>
        <w:spacing w:line="360" w:lineRule="auto"/>
        <w:ind w:firstLine="480"/>
      </w:pPr>
      <w:r>
        <w:rPr>
          <w:rFonts w:hint="eastAsia"/>
        </w:rPr>
        <w:t>1、废水治理设施</w:t>
      </w:r>
    </w:p>
    <w:p>
      <w:pPr>
        <w:spacing w:line="360" w:lineRule="auto"/>
        <w:ind w:firstLine="480" w:firstLineChars="200"/>
        <w:contextualSpacing/>
        <w:jc w:val="both"/>
        <w:rPr>
          <w:rFonts w:hint="eastAsia" w:eastAsia="宋体"/>
          <w:szCs w:val="24"/>
        </w:rPr>
      </w:pPr>
      <w:r>
        <w:rPr>
          <w:rFonts w:hint="eastAsia" w:ascii="Times New Roman" w:hAnsi="Times New Roman" w:eastAsia="宋体" w:cs="Times New Roman"/>
          <w:color w:val="auto"/>
          <w:lang w:eastAsia="zh-CN"/>
        </w:rPr>
        <w:t>项目生活污水经化粪池预处理</w:t>
      </w:r>
      <w:r>
        <w:rPr>
          <w:rFonts w:hint="eastAsia" w:ascii="Times New Roman" w:hAnsi="Times New Roman" w:eastAsia="宋体" w:cs="Times New Roman"/>
          <w:color w:val="auto"/>
          <w:lang w:val="en-US" w:eastAsia="zh-CN"/>
        </w:rPr>
        <w:t>后</w:t>
      </w:r>
      <w:r>
        <w:rPr>
          <w:rFonts w:hint="eastAsia" w:ascii="Times New Roman" w:hAnsi="Times New Roman" w:eastAsia="宋体" w:cs="Times New Roman"/>
          <w:color w:val="auto"/>
          <w:lang w:eastAsia="zh-CN"/>
        </w:rPr>
        <w:t>满足段园镇污水处理厂（袁庄矿污水处理厂）接管限值，经市政污水管网接管至段园镇污水处理厂（袁庄矿污水处理厂）进一步处理，</w:t>
      </w:r>
      <w:r>
        <w:rPr>
          <w:rFonts w:hint="eastAsia" w:ascii="Times New Roman" w:hAnsi="Times New Roman" w:eastAsia="宋体" w:cs="Times New Roman"/>
          <w:color w:val="auto"/>
          <w:lang w:val="en-US" w:eastAsia="zh-CN"/>
        </w:rPr>
        <w:t>处理达标后排放。</w:t>
      </w:r>
      <w:r>
        <w:rPr>
          <w:rFonts w:hint="eastAsia" w:eastAsia="宋体"/>
          <w:szCs w:val="24"/>
        </w:rPr>
        <w:t>根据监测结果表明，项目区总排口废水能够满足</w:t>
      </w:r>
    </w:p>
    <w:p>
      <w:pPr>
        <w:spacing w:line="360" w:lineRule="auto"/>
        <w:ind w:left="0" w:leftChars="0" w:firstLine="0" w:firstLineChars="0"/>
        <w:contextualSpacing/>
        <w:jc w:val="both"/>
        <w:rPr>
          <w:rFonts w:eastAsia="宋体"/>
          <w:szCs w:val="24"/>
        </w:rPr>
      </w:pPr>
      <w:r>
        <w:rPr>
          <w:rFonts w:hint="eastAsia" w:ascii="Times New Roman" w:hAnsi="Times New Roman" w:eastAsia="宋体" w:cs="Times New Roman"/>
          <w:color w:val="auto"/>
          <w:lang w:eastAsia="zh-CN"/>
        </w:rPr>
        <w:t>段园镇污水处理厂（袁庄矿污水处理厂）</w:t>
      </w:r>
      <w:r>
        <w:rPr>
          <w:rFonts w:hint="eastAsia" w:eastAsia="宋体"/>
          <w:szCs w:val="24"/>
          <w:lang w:val="zh-CN"/>
        </w:rPr>
        <w:t>接管限值</w:t>
      </w:r>
      <w:r>
        <w:rPr>
          <w:rFonts w:hint="eastAsia" w:eastAsia="宋体"/>
          <w:szCs w:val="24"/>
        </w:rPr>
        <w:t>。</w:t>
      </w:r>
    </w:p>
    <w:p>
      <w:pPr>
        <w:spacing w:line="360" w:lineRule="auto"/>
        <w:ind w:firstLine="480"/>
      </w:pPr>
      <w:r>
        <w:rPr>
          <w:rFonts w:hint="eastAsia"/>
        </w:rPr>
        <w:t>2、废气治理设施</w:t>
      </w:r>
    </w:p>
    <w:p>
      <w:pPr>
        <w:adjustRightInd w:val="0"/>
        <w:snapToGrid w:val="0"/>
        <w:spacing w:line="360" w:lineRule="auto"/>
        <w:ind w:firstLine="480" w:firstLineChars="200"/>
        <w:contextualSpacing/>
        <w:jc w:val="both"/>
        <w:rPr>
          <w:rFonts w:hint="eastAsia" w:ascii="Times New Roman" w:hAnsi="Times New Roman" w:eastAsia="宋体" w:cs="Times New Roman"/>
          <w:bCs/>
          <w:color w:val="auto"/>
          <w:kern w:val="2"/>
          <w:lang w:eastAsia="zh-CN" w:bidi="ar"/>
        </w:rPr>
      </w:pPr>
      <w:r>
        <w:rPr>
          <w:rFonts w:hint="eastAsia" w:ascii="Times New Roman" w:hAnsi="Times New Roman" w:eastAsia="宋体" w:cs="Times New Roman"/>
          <w:bCs/>
          <w:color w:val="auto"/>
          <w:kern w:val="2"/>
          <w:lang w:eastAsia="zh-CN" w:bidi="ar"/>
        </w:rPr>
        <w:t>项目等离子</w:t>
      </w:r>
      <w:r>
        <w:rPr>
          <w:rFonts w:hint="eastAsia" w:ascii="Times New Roman" w:hAnsi="Times New Roman" w:eastAsia="宋体" w:cs="Times New Roman"/>
          <w:bCs/>
          <w:color w:val="auto"/>
          <w:kern w:val="2"/>
          <w:lang w:val="en-US" w:eastAsia="zh-CN" w:bidi="ar"/>
        </w:rPr>
        <w:t>下料</w:t>
      </w:r>
      <w:r>
        <w:rPr>
          <w:rFonts w:hint="eastAsia" w:ascii="Times New Roman" w:hAnsi="Times New Roman" w:eastAsia="宋体" w:cs="Times New Roman"/>
          <w:bCs/>
          <w:color w:val="auto"/>
          <w:kern w:val="2"/>
          <w:lang w:eastAsia="zh-CN" w:bidi="ar"/>
        </w:rPr>
        <w:t>切割产生的烟尘经集气罩收集后，引入3套滤筒除尘器处理；</w:t>
      </w:r>
      <w:r>
        <w:rPr>
          <w:rFonts w:hint="default" w:ascii="Times New Roman" w:hAnsi="Times New Roman" w:eastAsia="宋体" w:cs="Times New Roman"/>
          <w:bCs/>
          <w:color w:val="auto"/>
          <w:kern w:val="2"/>
          <w:lang w:val="en-US" w:eastAsia="zh-CN" w:bidi="ar"/>
        </w:rPr>
        <w:t>自动焊接区、气保焊一区产生的焊接烟尘经集气罩收集</w:t>
      </w:r>
      <w:r>
        <w:rPr>
          <w:rFonts w:hint="eastAsia" w:ascii="Times New Roman" w:hAnsi="Times New Roman" w:eastAsia="宋体" w:cs="Times New Roman"/>
          <w:bCs/>
          <w:color w:val="auto"/>
          <w:kern w:val="2"/>
          <w:lang w:val="en-US" w:eastAsia="zh-CN" w:bidi="ar"/>
        </w:rPr>
        <w:t>后</w:t>
      </w:r>
      <w:r>
        <w:rPr>
          <w:rFonts w:hint="default" w:ascii="Times New Roman" w:hAnsi="Times New Roman" w:eastAsia="宋体" w:cs="Times New Roman"/>
          <w:bCs/>
          <w:color w:val="auto"/>
          <w:kern w:val="2"/>
          <w:lang w:val="en-US" w:eastAsia="zh-CN" w:bidi="ar"/>
        </w:rPr>
        <w:t>，</w:t>
      </w:r>
      <w:r>
        <w:rPr>
          <w:rFonts w:hint="eastAsia" w:ascii="Times New Roman" w:hAnsi="Times New Roman" w:eastAsia="宋体" w:cs="Times New Roman"/>
          <w:bCs/>
          <w:color w:val="auto"/>
          <w:kern w:val="2"/>
          <w:lang w:val="en-US" w:eastAsia="zh-CN" w:bidi="ar"/>
        </w:rPr>
        <w:t>引入2</w:t>
      </w:r>
      <w:r>
        <w:rPr>
          <w:rFonts w:hint="default" w:ascii="Times New Roman" w:hAnsi="Times New Roman" w:eastAsia="宋体" w:cs="Times New Roman"/>
          <w:bCs/>
          <w:color w:val="auto"/>
          <w:kern w:val="2"/>
          <w:lang w:eastAsia="zh-CN" w:bidi="ar"/>
        </w:rPr>
        <w:t>套滤筒除尘器处理；</w:t>
      </w:r>
      <w:r>
        <w:rPr>
          <w:rFonts w:hint="eastAsia" w:ascii="Times New Roman" w:hAnsi="Times New Roman" w:eastAsia="宋体" w:cs="Times New Roman"/>
          <w:bCs/>
          <w:color w:val="auto"/>
          <w:kern w:val="2"/>
          <w:lang w:val="en-US" w:eastAsia="zh-CN" w:bidi="ar"/>
        </w:rPr>
        <w:t>焊接平台微负压收集后，</w:t>
      </w:r>
      <w:r>
        <w:rPr>
          <w:rFonts w:hint="default" w:ascii="Times New Roman" w:hAnsi="Times New Roman" w:eastAsia="宋体" w:cs="Times New Roman"/>
          <w:bCs/>
          <w:color w:val="auto"/>
          <w:kern w:val="2"/>
          <w:lang w:eastAsia="zh-CN" w:bidi="ar"/>
        </w:rPr>
        <w:t>引入</w:t>
      </w:r>
      <w:r>
        <w:rPr>
          <w:rFonts w:hint="default" w:ascii="Times New Roman" w:hAnsi="Times New Roman" w:eastAsia="宋体" w:cs="Times New Roman"/>
          <w:bCs/>
          <w:color w:val="auto"/>
          <w:kern w:val="2"/>
          <w:lang w:val="en-US" w:eastAsia="zh-CN" w:bidi="ar"/>
        </w:rPr>
        <w:t>1</w:t>
      </w:r>
      <w:r>
        <w:rPr>
          <w:rFonts w:hint="default" w:ascii="Times New Roman" w:hAnsi="Times New Roman" w:eastAsia="宋体" w:cs="Times New Roman"/>
          <w:bCs/>
          <w:color w:val="auto"/>
          <w:kern w:val="2"/>
          <w:lang w:eastAsia="zh-CN" w:bidi="ar"/>
        </w:rPr>
        <w:t>套滤筒除尘器处理</w:t>
      </w:r>
      <w:r>
        <w:rPr>
          <w:rFonts w:hint="eastAsia" w:ascii="Times New Roman" w:hAnsi="Times New Roman" w:eastAsia="宋体" w:cs="Times New Roman"/>
          <w:bCs/>
          <w:color w:val="auto"/>
          <w:kern w:val="2"/>
          <w:lang w:eastAsia="zh-CN" w:bidi="ar"/>
        </w:rPr>
        <w:t>；钢结构网架抛丸粉尘经自带滤筒除尘器处理，处理后</w:t>
      </w:r>
      <w:r>
        <w:rPr>
          <w:rFonts w:hint="eastAsia" w:ascii="Times New Roman" w:hAnsi="Times New Roman" w:eastAsia="宋体" w:cs="Times New Roman"/>
          <w:bCs/>
          <w:color w:val="auto"/>
          <w:kern w:val="2"/>
          <w:lang w:val="en-US" w:eastAsia="zh-CN" w:bidi="ar"/>
        </w:rPr>
        <w:t>集中</w:t>
      </w:r>
      <w:r>
        <w:rPr>
          <w:rFonts w:hint="eastAsia" w:ascii="Times New Roman" w:hAnsi="Times New Roman" w:eastAsia="宋体" w:cs="Times New Roman"/>
          <w:bCs/>
          <w:color w:val="auto"/>
          <w:kern w:val="2"/>
          <w:lang w:eastAsia="zh-CN" w:bidi="ar"/>
        </w:rPr>
        <w:t>由1根排气筒排放（DA001）；数控管相贯</w:t>
      </w:r>
      <w:r>
        <w:rPr>
          <w:rFonts w:hint="eastAsia" w:ascii="Times New Roman" w:hAnsi="Times New Roman" w:eastAsia="宋体" w:cs="Times New Roman"/>
          <w:bCs/>
          <w:color w:val="auto"/>
          <w:kern w:val="2"/>
          <w:lang w:val="en-US" w:eastAsia="zh-CN" w:bidi="ar"/>
        </w:rPr>
        <w:t>下料</w:t>
      </w:r>
      <w:r>
        <w:rPr>
          <w:rFonts w:hint="eastAsia" w:ascii="Times New Roman" w:hAnsi="Times New Roman" w:eastAsia="宋体" w:cs="Times New Roman"/>
          <w:bCs/>
          <w:color w:val="auto"/>
          <w:kern w:val="2"/>
          <w:lang w:eastAsia="zh-CN" w:bidi="ar"/>
        </w:rPr>
        <w:t>切割产生的烟尘经集气罩收集后，引入1套滤筒除尘器处理；</w:t>
      </w:r>
      <w:r>
        <w:rPr>
          <w:rFonts w:hint="eastAsia" w:ascii="Times New Roman" w:hAnsi="Times New Roman" w:eastAsia="宋体" w:cs="Times New Roman"/>
          <w:bCs/>
          <w:color w:val="auto"/>
          <w:kern w:val="2"/>
          <w:lang w:val="en-US" w:eastAsia="zh-CN" w:bidi="ar"/>
        </w:rPr>
        <w:t>气保焊二区</w:t>
      </w:r>
      <w:r>
        <w:rPr>
          <w:rFonts w:hint="default" w:ascii="Times New Roman" w:hAnsi="Times New Roman" w:eastAsia="宋体" w:cs="Times New Roman"/>
          <w:bCs/>
          <w:color w:val="auto"/>
          <w:kern w:val="2"/>
          <w:lang w:val="en-US" w:eastAsia="zh-CN" w:bidi="ar"/>
        </w:rPr>
        <w:t>产生的焊接烟尘经集气罩收集</w:t>
      </w:r>
      <w:r>
        <w:rPr>
          <w:rFonts w:hint="eastAsia" w:ascii="Times New Roman" w:hAnsi="Times New Roman" w:eastAsia="宋体" w:cs="Times New Roman"/>
          <w:bCs/>
          <w:color w:val="auto"/>
          <w:kern w:val="2"/>
          <w:lang w:val="en-US" w:eastAsia="zh-CN" w:bidi="ar"/>
        </w:rPr>
        <w:t>后</w:t>
      </w:r>
      <w:r>
        <w:rPr>
          <w:rFonts w:hint="default" w:ascii="Times New Roman" w:hAnsi="Times New Roman" w:eastAsia="宋体" w:cs="Times New Roman"/>
          <w:bCs/>
          <w:color w:val="auto"/>
          <w:kern w:val="2"/>
          <w:lang w:val="en-US" w:eastAsia="zh-CN" w:bidi="ar"/>
        </w:rPr>
        <w:t>，</w:t>
      </w:r>
      <w:r>
        <w:rPr>
          <w:rFonts w:hint="default" w:ascii="Times New Roman" w:hAnsi="Times New Roman" w:eastAsia="宋体" w:cs="Times New Roman"/>
          <w:bCs/>
          <w:color w:val="auto"/>
          <w:kern w:val="2"/>
          <w:lang w:eastAsia="zh-CN" w:bidi="ar"/>
        </w:rPr>
        <w:t>引入</w:t>
      </w:r>
      <w:r>
        <w:rPr>
          <w:rFonts w:hint="eastAsia" w:ascii="Times New Roman" w:hAnsi="Times New Roman" w:eastAsia="宋体" w:cs="Times New Roman"/>
          <w:bCs/>
          <w:color w:val="auto"/>
          <w:kern w:val="2"/>
          <w:lang w:val="en-US" w:eastAsia="zh-CN" w:bidi="ar"/>
        </w:rPr>
        <w:t>1</w:t>
      </w:r>
      <w:r>
        <w:rPr>
          <w:rFonts w:hint="default" w:ascii="Times New Roman" w:hAnsi="Times New Roman" w:eastAsia="宋体" w:cs="Times New Roman"/>
          <w:bCs/>
          <w:color w:val="auto"/>
          <w:kern w:val="2"/>
          <w:lang w:eastAsia="zh-CN" w:bidi="ar"/>
        </w:rPr>
        <w:t>套滤筒除尘器处理</w:t>
      </w:r>
      <w:r>
        <w:rPr>
          <w:rFonts w:hint="eastAsia" w:ascii="Times New Roman" w:hAnsi="Times New Roman" w:eastAsia="宋体" w:cs="Times New Roman"/>
          <w:bCs/>
          <w:color w:val="auto"/>
          <w:kern w:val="2"/>
          <w:lang w:eastAsia="zh-CN" w:bidi="ar"/>
        </w:rPr>
        <w:t>；其他钢结构和机械加工件抛丸粉尘经自带滤筒除尘器处理，处理后</w:t>
      </w:r>
      <w:r>
        <w:rPr>
          <w:rFonts w:hint="eastAsia" w:ascii="Times New Roman" w:hAnsi="Times New Roman" w:eastAsia="宋体" w:cs="Times New Roman"/>
          <w:bCs/>
          <w:color w:val="auto"/>
          <w:kern w:val="2"/>
          <w:lang w:val="en-US" w:eastAsia="zh-CN" w:bidi="ar"/>
        </w:rPr>
        <w:t>集中</w:t>
      </w:r>
      <w:r>
        <w:rPr>
          <w:rFonts w:hint="eastAsia" w:ascii="Times New Roman" w:hAnsi="Times New Roman" w:eastAsia="宋体" w:cs="Times New Roman"/>
          <w:bCs/>
          <w:color w:val="auto"/>
          <w:kern w:val="2"/>
          <w:lang w:eastAsia="zh-CN" w:bidi="ar"/>
        </w:rPr>
        <w:t>由1根排气筒排放（DA00</w:t>
      </w:r>
      <w:r>
        <w:rPr>
          <w:rFonts w:hint="eastAsia" w:ascii="Times New Roman" w:hAnsi="Times New Roman" w:eastAsia="宋体" w:cs="Times New Roman"/>
          <w:bCs/>
          <w:color w:val="auto"/>
          <w:kern w:val="2"/>
          <w:lang w:val="en-US" w:eastAsia="zh-CN" w:bidi="ar"/>
        </w:rPr>
        <w:t>2</w:t>
      </w:r>
      <w:r>
        <w:rPr>
          <w:rFonts w:hint="eastAsia" w:ascii="Times New Roman" w:hAnsi="Times New Roman" w:eastAsia="宋体" w:cs="Times New Roman"/>
          <w:bCs/>
          <w:color w:val="auto"/>
          <w:kern w:val="2"/>
          <w:lang w:eastAsia="zh-CN" w:bidi="ar"/>
        </w:rPr>
        <w:t>）；调漆、喷漆、晾干/流平-烘干采取全密闭负压收集并连接管道输送至1套干式过滤+活性炭吸附/脱附+催化燃烧处理，</w:t>
      </w:r>
      <w:r>
        <w:rPr>
          <w:rFonts w:hint="eastAsia" w:ascii="Times New Roman" w:hAnsi="Times New Roman" w:eastAsia="宋体" w:cs="Times New Roman"/>
          <w:bCs/>
          <w:color w:val="auto"/>
          <w:kern w:val="2"/>
          <w:lang w:val="en-US" w:eastAsia="zh-CN" w:bidi="ar"/>
        </w:rPr>
        <w:t>处理</w:t>
      </w:r>
      <w:r>
        <w:rPr>
          <w:rFonts w:hint="eastAsia" w:ascii="Times New Roman" w:hAnsi="Times New Roman" w:eastAsia="宋体" w:cs="Times New Roman"/>
          <w:bCs/>
          <w:color w:val="auto"/>
          <w:kern w:val="2"/>
          <w:lang w:eastAsia="zh-CN" w:bidi="ar"/>
        </w:rPr>
        <w:t>后</w:t>
      </w:r>
      <w:r>
        <w:rPr>
          <w:rFonts w:hint="eastAsia" w:ascii="Times New Roman" w:hAnsi="Times New Roman" w:eastAsia="宋体" w:cs="Times New Roman"/>
          <w:bCs/>
          <w:color w:val="auto"/>
          <w:kern w:val="2"/>
          <w:lang w:val="en-US" w:eastAsia="zh-CN" w:bidi="ar"/>
        </w:rPr>
        <w:t>由1根</w:t>
      </w:r>
      <w:r>
        <w:rPr>
          <w:rFonts w:hint="eastAsia" w:ascii="Times New Roman" w:hAnsi="Times New Roman" w:eastAsia="宋体" w:cs="Times New Roman"/>
          <w:bCs/>
          <w:color w:val="auto"/>
          <w:kern w:val="2"/>
          <w:lang w:eastAsia="zh-CN" w:bidi="ar"/>
        </w:rPr>
        <w:t>15米高排气筒排放（DA00</w:t>
      </w:r>
      <w:r>
        <w:rPr>
          <w:rFonts w:hint="eastAsia" w:ascii="Times New Roman" w:hAnsi="Times New Roman" w:eastAsia="宋体" w:cs="Times New Roman"/>
          <w:bCs/>
          <w:color w:val="auto"/>
          <w:kern w:val="2"/>
          <w:lang w:val="en-US" w:eastAsia="zh-CN" w:bidi="ar"/>
        </w:rPr>
        <w:t>3</w:t>
      </w:r>
      <w:r>
        <w:rPr>
          <w:rFonts w:hint="eastAsia" w:ascii="Times New Roman" w:hAnsi="Times New Roman" w:eastAsia="宋体" w:cs="Times New Roman"/>
          <w:bCs/>
          <w:color w:val="auto"/>
          <w:kern w:val="2"/>
          <w:lang w:eastAsia="zh-CN" w:bidi="ar"/>
        </w:rPr>
        <w:t>）；天然气燃烧废气经1根15m高排气筒（DA00</w:t>
      </w:r>
      <w:r>
        <w:rPr>
          <w:rFonts w:hint="eastAsia" w:ascii="Times New Roman" w:hAnsi="Times New Roman" w:eastAsia="宋体" w:cs="Times New Roman"/>
          <w:bCs/>
          <w:color w:val="auto"/>
          <w:kern w:val="2"/>
          <w:lang w:val="en-US" w:eastAsia="zh-CN" w:bidi="ar"/>
        </w:rPr>
        <w:t>4</w:t>
      </w:r>
      <w:r>
        <w:rPr>
          <w:rFonts w:hint="eastAsia" w:ascii="Times New Roman" w:hAnsi="Times New Roman" w:eastAsia="宋体" w:cs="Times New Roman"/>
          <w:bCs/>
          <w:color w:val="auto"/>
          <w:kern w:val="2"/>
          <w:lang w:eastAsia="zh-CN" w:bidi="ar"/>
        </w:rPr>
        <w:t>）；危废暂存间有机废气负压收集并连接管道</w:t>
      </w:r>
      <w:r>
        <w:rPr>
          <w:rFonts w:hint="eastAsia" w:ascii="Times New Roman" w:hAnsi="Times New Roman" w:eastAsia="宋体" w:cs="Times New Roman"/>
          <w:bCs/>
          <w:color w:val="auto"/>
          <w:kern w:val="2"/>
          <w:lang w:val="en-US" w:eastAsia="zh-CN" w:bidi="ar"/>
        </w:rPr>
        <w:t>依托</w:t>
      </w:r>
      <w:r>
        <w:rPr>
          <w:rFonts w:hint="eastAsia" w:ascii="Times New Roman" w:hAnsi="Times New Roman" w:eastAsia="宋体" w:cs="Times New Roman"/>
          <w:bCs/>
          <w:color w:val="auto"/>
          <w:kern w:val="2"/>
          <w:lang w:eastAsia="zh-CN" w:bidi="ar"/>
        </w:rPr>
        <w:t>1套干式过滤+活性炭吸附/脱附+催化燃烧处理，</w:t>
      </w:r>
      <w:r>
        <w:rPr>
          <w:rFonts w:hint="eastAsia" w:ascii="Times New Roman" w:hAnsi="Times New Roman" w:eastAsia="宋体" w:cs="Times New Roman"/>
          <w:bCs/>
          <w:color w:val="auto"/>
          <w:kern w:val="2"/>
          <w:lang w:val="en-US" w:eastAsia="zh-CN" w:bidi="ar"/>
        </w:rPr>
        <w:t>处理由</w:t>
      </w:r>
      <w:r>
        <w:rPr>
          <w:rFonts w:hint="eastAsia" w:ascii="Times New Roman" w:hAnsi="Times New Roman" w:eastAsia="宋体" w:cs="Times New Roman"/>
          <w:bCs/>
          <w:color w:val="auto"/>
          <w:kern w:val="2"/>
          <w:lang w:eastAsia="zh-CN" w:bidi="ar"/>
        </w:rPr>
        <w:t>15米高排气筒排放（DA00</w:t>
      </w:r>
      <w:r>
        <w:rPr>
          <w:rFonts w:hint="eastAsia" w:ascii="Times New Roman" w:hAnsi="Times New Roman" w:eastAsia="宋体" w:cs="Times New Roman"/>
          <w:bCs/>
          <w:color w:val="auto"/>
          <w:kern w:val="2"/>
          <w:lang w:val="en-US" w:eastAsia="zh-CN" w:bidi="ar"/>
        </w:rPr>
        <w:t>3</w:t>
      </w:r>
      <w:r>
        <w:rPr>
          <w:rFonts w:hint="eastAsia" w:ascii="Times New Roman" w:hAnsi="Times New Roman" w:eastAsia="宋体" w:cs="Times New Roman"/>
          <w:bCs/>
          <w:color w:val="auto"/>
          <w:kern w:val="2"/>
          <w:lang w:eastAsia="zh-CN" w:bidi="ar"/>
        </w:rPr>
        <w:t>）。</w:t>
      </w:r>
    </w:p>
    <w:p>
      <w:pPr>
        <w:spacing w:line="360" w:lineRule="auto"/>
        <w:ind w:firstLine="480"/>
        <w:rPr>
          <w:rFonts w:hint="eastAsia"/>
        </w:rPr>
      </w:pPr>
      <w:r>
        <w:rPr>
          <w:rFonts w:ascii="Times New Roman" w:hAnsi="Times New Roman" w:cs="Times New Roman"/>
          <w:color w:val="auto"/>
        </w:rPr>
        <w:t>项目废气处理后能够满足《大气污染物综合排放标准》（GB 16297-1996）、</w:t>
      </w:r>
      <w:r>
        <w:rPr>
          <w:rFonts w:ascii="Times New Roman" w:hAnsi="Times New Roman" w:cs="Times New Roman"/>
          <w:snapToGrid w:val="0"/>
          <w:color w:val="auto"/>
        </w:rPr>
        <w:t>《挥发性有机物无组织排放控制标准》（GB37822-2019）</w:t>
      </w:r>
      <w:r>
        <w:rPr>
          <w:rFonts w:hint="eastAsia" w:ascii="Times New Roman" w:hAnsi="Times New Roman" w:cs="Times New Roman"/>
          <w:snapToGrid w:val="0"/>
          <w:color w:val="auto"/>
        </w:rPr>
        <w:t>控制要求</w:t>
      </w:r>
      <w:r>
        <w:rPr>
          <w:rFonts w:ascii="Times New Roman" w:hAnsi="Times New Roman" w:cs="Times New Roman"/>
          <w:color w:val="auto"/>
        </w:rPr>
        <w:t>。</w:t>
      </w:r>
    </w:p>
    <w:p>
      <w:pPr>
        <w:spacing w:line="360" w:lineRule="auto"/>
        <w:ind w:firstLine="480"/>
      </w:pPr>
      <w:r>
        <w:rPr>
          <w:rFonts w:hint="eastAsia"/>
        </w:rPr>
        <w:t>3、厂界噪声治理设施</w:t>
      </w:r>
    </w:p>
    <w:p>
      <w:pPr>
        <w:spacing w:line="360" w:lineRule="auto"/>
        <w:ind w:firstLine="480"/>
      </w:pPr>
      <w:r>
        <w:rPr>
          <w:rFonts w:hint="eastAsia"/>
        </w:rPr>
        <w:t>根据监测结果表明</w:t>
      </w:r>
      <w:r>
        <w:rPr>
          <w:rFonts w:hint="eastAsia"/>
          <w:lang w:eastAsia="zh-CN"/>
        </w:rPr>
        <w:t>，</w:t>
      </w:r>
      <w:r>
        <w:rPr>
          <w:rFonts w:hint="eastAsia"/>
        </w:rPr>
        <w:t>噪声治理设施的降噪效果可以满足达标排放的要求。</w:t>
      </w:r>
    </w:p>
    <w:p>
      <w:pPr>
        <w:spacing w:line="360" w:lineRule="auto"/>
        <w:ind w:left="0" w:leftChars="0" w:firstLine="0" w:firstLineChars="0"/>
        <w:rPr>
          <w:b/>
          <w:bCs/>
        </w:rPr>
      </w:pPr>
      <w:r>
        <w:rPr>
          <w:rFonts w:hint="eastAsia"/>
          <w:b/>
          <w:bCs/>
        </w:rPr>
        <w:t>10.1.2污染物排放监测结果</w:t>
      </w:r>
    </w:p>
    <w:p>
      <w:pPr>
        <w:spacing w:line="360" w:lineRule="auto"/>
        <w:ind w:firstLine="480"/>
      </w:pPr>
      <w:r>
        <w:rPr>
          <w:rFonts w:hint="eastAsia" w:ascii="Times New Roman" w:hAnsi="Times New Roman" w:cs="Times New Roman"/>
          <w:color w:val="auto"/>
        </w:rPr>
        <w:t>安徽新邦机械制造有限公司年产10000吨机械加工生产项目</w:t>
      </w:r>
      <w:r>
        <w:t>生产工况稳定，且运行负荷达75%以上，满足验收监测技术规范要求，环保设施运行正常，监测结果具有代表性、准确性，为此给出如下结论：</w:t>
      </w:r>
    </w:p>
    <w:p>
      <w:pPr>
        <w:spacing w:line="360" w:lineRule="auto"/>
        <w:ind w:firstLine="480"/>
      </w:pPr>
      <w:r>
        <w:t>1</w:t>
      </w:r>
      <w:r>
        <w:rPr>
          <w:rFonts w:hint="eastAsia"/>
        </w:rPr>
        <w:t xml:space="preserve">、废气 </w:t>
      </w:r>
    </w:p>
    <w:p>
      <w:pPr>
        <w:ind w:firstLine="480"/>
        <w:rPr>
          <w:rFonts w:hint="default" w:eastAsiaTheme="minorEastAsia"/>
          <w:lang w:val="en-US" w:eastAsia="zh-CN"/>
        </w:rPr>
      </w:pPr>
      <w:r>
        <w:rPr>
          <w:rFonts w:hint="eastAsia"/>
        </w:rPr>
        <w:t>废气</w:t>
      </w:r>
      <w:r>
        <w:t>监测结果表明：</w:t>
      </w:r>
      <w:r>
        <w:rPr>
          <w:rFonts w:hint="eastAsia"/>
        </w:rPr>
        <w:t>项目</w:t>
      </w:r>
      <w:r>
        <w:rPr>
          <w:rFonts w:hint="eastAsia"/>
          <w:lang w:val="en-US" w:eastAsia="zh-CN"/>
        </w:rPr>
        <w:t>切割、焊接、抛丸产生的粉尘经滤筒除尘器装置处理后，颗粒物排放浓度及排放速率均能满足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中标准限值；</w:t>
      </w:r>
      <w:r>
        <w:rPr>
          <w:rFonts w:hint="eastAsia"/>
        </w:rPr>
        <w:t>项目</w:t>
      </w:r>
      <w:r>
        <w:rPr>
          <w:rFonts w:hint="eastAsia"/>
          <w:lang w:val="en-US" w:eastAsia="zh-CN"/>
        </w:rPr>
        <w:t>调漆、喷涂及晾干产生的颗粒物、非甲烷总烃、二甲苯经干式过滤+活性炭吸附/脱附+催化燃烧装置处理后，颗粒物、非甲烷总烃、二甲苯排放浓度及排放速率均能满足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中标准限值。</w:t>
      </w:r>
      <w:r>
        <w:rPr>
          <w:rFonts w:hint="eastAsia"/>
        </w:rPr>
        <w:t>项目</w:t>
      </w:r>
      <w:r>
        <w:rPr>
          <w:rFonts w:hint="eastAsia"/>
          <w:lang w:val="en-US" w:eastAsia="zh-CN"/>
        </w:rPr>
        <w:t>颗粒物、二甲苯、非甲烷总烃无组织排放浓度满足</w:t>
      </w:r>
      <w:r>
        <w:rPr>
          <w:rFonts w:ascii="Times New Roman" w:hAnsi="Times New Roman" w:cs="Times New Roman"/>
          <w:snapToGrid w:val="0"/>
          <w:color w:val="auto"/>
        </w:rPr>
        <w:t>《大气污染物综合排放标准》（GB 16297-1996）</w:t>
      </w:r>
      <w:r>
        <w:rPr>
          <w:rFonts w:hint="eastAsia" w:ascii="Times New Roman" w:hAnsi="Times New Roman" w:cs="Times New Roman"/>
          <w:snapToGrid w:val="0"/>
          <w:color w:val="auto"/>
          <w:lang w:val="en-US" w:eastAsia="zh-CN"/>
        </w:rPr>
        <w:t>中排放限值；</w:t>
      </w:r>
      <w:r>
        <w:rPr>
          <w:rFonts w:hint="eastAsia"/>
          <w:kern w:val="0"/>
          <w:lang w:val="ru-RU"/>
        </w:rPr>
        <w:t>非甲烷总烃</w:t>
      </w:r>
      <w:r>
        <w:rPr>
          <w:rFonts w:hint="eastAsia"/>
          <w:kern w:val="0"/>
        </w:rPr>
        <w:t>无组织</w:t>
      </w:r>
      <w:r>
        <w:rPr>
          <w:rFonts w:hint="eastAsia"/>
          <w:kern w:val="0"/>
          <w:lang w:val="ru-RU"/>
        </w:rPr>
        <w:t>排放</w:t>
      </w:r>
      <w:r>
        <w:rPr>
          <w:rFonts w:hint="eastAsia"/>
          <w:kern w:val="0"/>
        </w:rPr>
        <w:t>满足</w:t>
      </w:r>
      <w:r>
        <w:rPr>
          <w:rFonts w:ascii="Times New Roman" w:hAnsi="Times New Roman" w:cs="Times New Roman"/>
          <w:snapToGrid w:val="0"/>
          <w:color w:val="auto"/>
        </w:rPr>
        <w:t>《挥发性有机物无组织排放控制标准》（GB37822-2019）</w:t>
      </w:r>
      <w:r>
        <w:rPr>
          <w:rFonts w:hint="eastAsia" w:ascii="Times New Roman" w:hAnsi="Times New Roman" w:cs="Times New Roman"/>
          <w:snapToGrid w:val="0"/>
          <w:color w:val="auto"/>
          <w:lang w:eastAsia="zh-CN"/>
        </w:rPr>
        <w:t>。</w:t>
      </w:r>
    </w:p>
    <w:p>
      <w:pPr>
        <w:spacing w:line="360" w:lineRule="auto"/>
        <w:ind w:firstLine="480"/>
      </w:pPr>
      <w:r>
        <w:rPr>
          <w:rFonts w:hint="eastAsia"/>
        </w:rPr>
        <w:t>2、</w:t>
      </w:r>
      <w:r>
        <w:t>废水</w:t>
      </w:r>
    </w:p>
    <w:p>
      <w:pPr>
        <w:spacing w:line="440" w:lineRule="exact"/>
        <w:ind w:firstLine="480" w:firstLineChars="200"/>
        <w:contextualSpacing/>
        <w:jc w:val="both"/>
        <w:rPr>
          <w:rFonts w:hint="eastAsia" w:ascii="Times New Roman" w:hAnsi="Times New Roman" w:eastAsia="宋体" w:cs="Times New Roman"/>
          <w:color w:val="auto"/>
        </w:rPr>
      </w:pPr>
      <w:r>
        <w:rPr>
          <w:rFonts w:hint="eastAsia" w:ascii="Times New Roman" w:hAnsi="Times New Roman" w:eastAsia="宋体" w:cs="Times New Roman"/>
        </w:rPr>
        <w:t>废水监测结果表明：</w:t>
      </w:r>
      <w:r>
        <w:t>项目区</w:t>
      </w:r>
      <w:r>
        <w:rPr>
          <w:bCs/>
        </w:rPr>
        <w:t>总排口</w:t>
      </w:r>
      <w:r>
        <w:t>废水</w:t>
      </w:r>
      <w:r>
        <w:rPr>
          <w:rFonts w:hint="eastAsia"/>
          <w:lang w:val="en-US" w:eastAsia="zh-CN"/>
        </w:rPr>
        <w:t>浓度</w:t>
      </w:r>
      <w:r>
        <w:t>满足</w:t>
      </w:r>
      <w:r>
        <w:rPr>
          <w:rFonts w:hint="eastAsia" w:ascii="Times New Roman" w:hAnsi="Times New Roman" w:eastAsia="宋体" w:cs="Times New Roman"/>
          <w:color w:val="auto"/>
          <w:lang w:eastAsia="zh-CN"/>
        </w:rPr>
        <w:t>段园镇污水处理厂（袁庄矿污水处理厂）接管限值，经市政污水管网接管至段园镇污水处理厂（袁庄矿污水处理厂）进一步处理，</w:t>
      </w:r>
      <w:r>
        <w:rPr>
          <w:rFonts w:hint="eastAsia" w:ascii="Times New Roman" w:hAnsi="Times New Roman" w:eastAsia="宋体" w:cs="Times New Roman"/>
          <w:color w:val="auto"/>
          <w:lang w:val="en-US" w:eastAsia="zh-CN"/>
        </w:rPr>
        <w:t>处理达标后排放。</w:t>
      </w:r>
    </w:p>
    <w:p>
      <w:pPr>
        <w:spacing w:line="360" w:lineRule="auto"/>
        <w:ind w:firstLine="480"/>
      </w:pPr>
      <w:r>
        <w:rPr>
          <w:rFonts w:hint="eastAsia"/>
        </w:rPr>
        <w:t>3、</w:t>
      </w:r>
      <w:r>
        <w:t>噪声</w:t>
      </w:r>
    </w:p>
    <w:p>
      <w:pPr>
        <w:spacing w:line="360" w:lineRule="auto"/>
        <w:ind w:firstLine="480"/>
        <w:rPr>
          <w:rFonts w:hint="eastAsia" w:eastAsiaTheme="minorEastAsia"/>
          <w:lang w:eastAsia="zh-CN"/>
        </w:rPr>
      </w:pPr>
      <w:r>
        <w:rPr>
          <w:rFonts w:hint="eastAsia"/>
        </w:rPr>
        <w:t>噪声监测结果表明：</w:t>
      </w:r>
      <w:bookmarkStart w:id="66" w:name="_GoBack"/>
      <w:r>
        <w:rPr>
          <w:rFonts w:hint="eastAsia"/>
        </w:rPr>
        <w:t>项目厂界噪声等效声级昼间均低于6</w:t>
      </w:r>
      <w:r>
        <w:rPr>
          <w:rFonts w:hint="eastAsia"/>
          <w:lang w:val="en-US" w:eastAsia="zh-CN"/>
        </w:rPr>
        <w:t>0</w:t>
      </w:r>
      <w:r>
        <w:rPr>
          <w:rFonts w:hint="eastAsia"/>
        </w:rPr>
        <w:t>dB(A)，夜间均低于5</w:t>
      </w:r>
      <w:r>
        <w:rPr>
          <w:rFonts w:hint="eastAsia"/>
          <w:lang w:val="en-US" w:eastAsia="zh-CN"/>
        </w:rPr>
        <w:t>0</w:t>
      </w:r>
      <w:r>
        <w:rPr>
          <w:rFonts w:hint="eastAsia"/>
        </w:rPr>
        <w:t>dB(A)，符合《工业企业厂界环境噪声排放标准》（GB12348-2008）</w:t>
      </w:r>
      <w:r>
        <w:rPr>
          <w:rFonts w:hint="eastAsia"/>
          <w:lang w:val="en-US" w:eastAsia="zh-CN"/>
        </w:rPr>
        <w:t>2</w:t>
      </w:r>
      <w:r>
        <w:rPr>
          <w:rFonts w:hint="eastAsia"/>
        </w:rPr>
        <w:t>类标准</w:t>
      </w:r>
      <w:r>
        <w:rPr>
          <w:rFonts w:hint="eastAsia"/>
          <w:lang w:eastAsia="zh-CN"/>
        </w:rPr>
        <w:t>；</w:t>
      </w:r>
      <w:r>
        <w:rPr>
          <w:rFonts w:hint="eastAsia"/>
          <w:lang w:val="en-US" w:eastAsia="zh-CN"/>
        </w:rPr>
        <w:t>敏感点姚楼村和姚楼小学</w:t>
      </w:r>
      <w:r>
        <w:rPr>
          <w:rFonts w:hint="eastAsia" w:ascii="Times New Roman" w:hAnsi="Times New Roman" w:cs="Times New Roman"/>
          <w:snapToGrid w:val="0"/>
          <w:color w:val="auto"/>
          <w:lang w:val="en-US" w:eastAsia="zh-CN"/>
        </w:rPr>
        <w:t>昼、夜声环境</w:t>
      </w:r>
      <w:r>
        <w:rPr>
          <w:rFonts w:ascii="Times New Roman" w:hAnsi="Times New Roman" w:eastAsia="宋体"/>
          <w:color w:val="auto"/>
          <w:sz w:val="24"/>
          <w:szCs w:val="24"/>
        </w:rPr>
        <w:t>《声环境质量标准》（GB3096-2008）2类标准</w:t>
      </w:r>
      <w:r>
        <w:rPr>
          <w:rFonts w:hint="eastAsia" w:ascii="Times New Roman" w:hAnsi="Times New Roman" w:eastAsia="宋体"/>
          <w:color w:val="auto"/>
          <w:sz w:val="24"/>
          <w:szCs w:val="24"/>
          <w:lang w:eastAsia="zh-CN"/>
        </w:rPr>
        <w:t>。</w:t>
      </w:r>
    </w:p>
    <w:bookmarkEnd w:id="66"/>
    <w:p>
      <w:pPr>
        <w:spacing w:line="360" w:lineRule="auto"/>
        <w:ind w:firstLine="480"/>
      </w:pPr>
      <w:r>
        <w:t>4</w:t>
      </w:r>
      <w:r>
        <w:rPr>
          <w:rFonts w:hint="eastAsia"/>
        </w:rPr>
        <w:t>、固体废物</w:t>
      </w:r>
    </w:p>
    <w:p>
      <w:pPr>
        <w:spacing w:line="360" w:lineRule="auto"/>
        <w:ind w:firstLine="480"/>
      </w:pPr>
      <w:r>
        <w:fldChar w:fldCharType="begin"/>
      </w:r>
      <w:r>
        <w:instrText xml:space="preserve"> </w:instrText>
      </w:r>
      <w:r>
        <w:rPr>
          <w:rFonts w:hint="eastAsia"/>
        </w:rPr>
        <w:instrText xml:space="preserve">= 1 \* GB3</w:instrText>
      </w:r>
      <w:r>
        <w:instrText xml:space="preserve"> </w:instrText>
      </w:r>
      <w:r>
        <w:fldChar w:fldCharType="separate"/>
      </w:r>
      <w:r>
        <w:rPr>
          <w:rFonts w:hint="eastAsia"/>
        </w:rPr>
        <w:t>①</w:t>
      </w:r>
      <w:r>
        <w:fldChar w:fldCharType="end"/>
      </w:r>
      <w:r>
        <w:rPr>
          <w:rFonts w:hint="eastAsia"/>
        </w:rPr>
        <w:t>危险废物</w:t>
      </w:r>
    </w:p>
    <w:p>
      <w:pPr>
        <w:spacing w:line="360" w:lineRule="auto"/>
        <w:ind w:firstLine="480"/>
      </w:pPr>
      <w:r>
        <w:rPr>
          <w:rFonts w:hint="eastAsia"/>
          <w:lang w:val="zh-CN"/>
        </w:rPr>
        <w:t>项目</w:t>
      </w:r>
      <w:r>
        <w:rPr>
          <w:rFonts w:hint="eastAsia" w:ascii="Times New Roman" w:hAnsi="Times New Roman" w:eastAsia="宋体" w:cs="Times New Roman"/>
          <w:color w:val="auto"/>
        </w:rPr>
        <w:t>废油性漆桶、废稀释剂桶、漆渣、</w:t>
      </w:r>
      <w:r>
        <w:rPr>
          <w:rFonts w:hint="eastAsia" w:ascii="Times New Roman" w:hAnsi="Times New Roman" w:eastAsia="宋体" w:cs="Times New Roman"/>
          <w:color w:val="auto"/>
          <w:lang w:eastAsia="zh-CN"/>
        </w:rPr>
        <w:t>废过滤材料</w:t>
      </w:r>
      <w:r>
        <w:rPr>
          <w:rFonts w:hint="eastAsia" w:ascii="Times New Roman" w:hAnsi="Times New Roman" w:eastAsia="宋体" w:cs="Times New Roman"/>
          <w:color w:val="auto"/>
        </w:rPr>
        <w:t>、废活性炭、废切削液、废机油等危险废物</w:t>
      </w:r>
      <w:r>
        <w:rPr>
          <w:rFonts w:hint="eastAsia" w:ascii="Times New Roman" w:hAnsi="Times New Roman" w:eastAsia="宋体" w:cs="Times New Roman"/>
          <w:color w:val="auto"/>
          <w:lang w:eastAsia="zh-CN"/>
        </w:rPr>
        <w:t>，</w:t>
      </w:r>
      <w:r>
        <w:rPr>
          <w:rFonts w:hint="eastAsia"/>
        </w:rPr>
        <w:t>定期委托</w:t>
      </w:r>
      <w:r>
        <w:rPr>
          <w:rFonts w:hint="eastAsia"/>
          <w:kern w:val="0"/>
          <w:lang w:val="en-US" w:eastAsia="zh-CN"/>
        </w:rPr>
        <w:t>威立雅环境服务（淮北）有限公司</w:t>
      </w:r>
      <w:r>
        <w:t>处置</w:t>
      </w:r>
      <w:r>
        <w:rPr>
          <w:rFonts w:hint="eastAsia"/>
        </w:rPr>
        <w:t>。</w:t>
      </w:r>
    </w:p>
    <w:p>
      <w:pPr>
        <w:spacing w:line="360" w:lineRule="auto"/>
        <w:ind w:firstLine="480"/>
      </w:pPr>
      <w:r>
        <w:fldChar w:fldCharType="begin"/>
      </w:r>
      <w:r>
        <w:instrText xml:space="preserve"> </w:instrText>
      </w:r>
      <w:r>
        <w:rPr>
          <w:rFonts w:hint="eastAsia"/>
        </w:rPr>
        <w:instrText xml:space="preserve">= 2 \* GB3</w:instrText>
      </w:r>
      <w:r>
        <w:instrText xml:space="preserve"> </w:instrText>
      </w:r>
      <w:r>
        <w:fldChar w:fldCharType="separate"/>
      </w:r>
      <w:r>
        <w:rPr>
          <w:rFonts w:hint="eastAsia"/>
        </w:rPr>
        <w:t>②</w:t>
      </w:r>
      <w:r>
        <w:fldChar w:fldCharType="end"/>
      </w:r>
      <w:r>
        <w:rPr>
          <w:rFonts w:hint="eastAsia"/>
        </w:rPr>
        <w:t>一般固废</w:t>
      </w:r>
    </w:p>
    <w:p>
      <w:pPr>
        <w:spacing w:line="360" w:lineRule="auto"/>
        <w:ind w:firstLine="480"/>
        <w:rPr>
          <w:rFonts w:hint="eastAsia"/>
        </w:rPr>
      </w:pPr>
      <w:r>
        <w:rPr>
          <w:rFonts w:hint="eastAsia" w:ascii="Times New Roman" w:hAnsi="Times New Roman" w:eastAsia="宋体" w:cs="Times New Roman"/>
          <w:color w:val="auto"/>
          <w:lang w:val="en-US" w:eastAsia="zh-CN"/>
        </w:rPr>
        <w:t>项目</w:t>
      </w:r>
      <w:r>
        <w:rPr>
          <w:rFonts w:hint="eastAsia" w:ascii="Times New Roman" w:hAnsi="Times New Roman" w:eastAsia="宋体" w:cs="Times New Roman"/>
          <w:color w:val="auto"/>
        </w:rPr>
        <w:t>废边角料、废钢丸、废滤筒、滤筒除尘灰、焊渣</w:t>
      </w:r>
      <w:r>
        <w:rPr>
          <w:rFonts w:hint="eastAsia" w:ascii="Times New Roman" w:hAnsi="Times New Roman" w:eastAsia="宋体" w:cs="Times New Roman"/>
          <w:color w:val="auto"/>
          <w:lang w:val="en-US" w:eastAsia="zh-CN"/>
        </w:rPr>
        <w:t>等</w:t>
      </w:r>
      <w:r>
        <w:rPr>
          <w:rFonts w:hint="eastAsia" w:ascii="Times New Roman" w:hAnsi="Times New Roman" w:eastAsia="宋体" w:cs="Times New Roman"/>
          <w:color w:val="auto"/>
        </w:rPr>
        <w:t>集中收集存放在一般固废暂存区后外售；废催化剂、水性油漆桶集中收集存放在一般固废暂存区后生产厂家回收；生活垃圾和含油抹布和手套存放在生产车间外垃圾桶，定期交由环卫部门清理</w:t>
      </w:r>
    </w:p>
    <w:p>
      <w:pPr>
        <w:spacing w:line="360" w:lineRule="auto"/>
        <w:ind w:firstLine="480"/>
      </w:pPr>
      <w:r>
        <w:rPr>
          <w:rFonts w:hint="eastAsia"/>
        </w:rPr>
        <w:t>综合以上</w:t>
      </w:r>
      <w:r>
        <w:t>，项目</w:t>
      </w:r>
      <w:r>
        <w:rPr>
          <w:rFonts w:hint="eastAsia"/>
        </w:rPr>
        <w:t>各类</w:t>
      </w:r>
      <w:r>
        <w:t>固废得到合理处置，不会造成二次污染。</w:t>
      </w:r>
    </w:p>
    <w:p>
      <w:pPr>
        <w:pStyle w:val="62"/>
        <w:spacing w:line="360" w:lineRule="auto"/>
        <w:ind w:left="0" w:leftChars="0" w:firstLine="0" w:firstLineChars="0"/>
      </w:pPr>
      <w:bookmarkStart w:id="64" w:name="_Toc3768"/>
      <w:r>
        <w:rPr>
          <w:rFonts w:hint="eastAsia"/>
        </w:rPr>
        <w:t>10.</w:t>
      </w:r>
      <w:r>
        <w:rPr>
          <w:rFonts w:hint="eastAsia"/>
          <w:lang w:val="en-US"/>
        </w:rPr>
        <w:t>2</w:t>
      </w:r>
      <w:r>
        <w:rPr>
          <w:rFonts w:hint="eastAsia"/>
        </w:rPr>
        <w:t xml:space="preserve"> 环境防护距离要求</w:t>
      </w:r>
      <w:bookmarkEnd w:id="64"/>
    </w:p>
    <w:p>
      <w:pPr>
        <w:adjustRightInd w:val="0"/>
        <w:snapToGrid w:val="0"/>
        <w:spacing w:line="440" w:lineRule="exact"/>
        <w:ind w:firstLine="480" w:firstLineChars="200"/>
        <w:jc w:val="both"/>
        <w:rPr>
          <w:rFonts w:ascii="Times New Roman" w:hAnsi="Times New Roman" w:cs="Times New Roman"/>
          <w:color w:val="auto"/>
        </w:rPr>
      </w:pPr>
      <w:r>
        <w:rPr>
          <w:rFonts w:hint="eastAsia" w:ascii="Times New Roman" w:hAnsi="Times New Roman" w:cs="Times New Roman"/>
          <w:color w:val="auto"/>
          <w:lang w:val="en-US" w:eastAsia="zh-CN"/>
        </w:rPr>
        <w:t>项目以安徽正民万基重钢科技有限公司厂界为边界，已设100m环境防护距离。</w:t>
      </w:r>
      <w:r>
        <w:rPr>
          <w:rFonts w:ascii="Times New Roman" w:hAnsi="Times New Roman" w:cs="Times New Roman"/>
          <w:color w:val="auto"/>
        </w:rPr>
        <w:t>根据现场勘查，项目设置的环境防护距离内</w:t>
      </w:r>
      <w:r>
        <w:rPr>
          <w:rFonts w:hint="eastAsia" w:ascii="Times New Roman" w:hAnsi="Times New Roman" w:cs="Times New Roman"/>
          <w:color w:val="auto"/>
        </w:rPr>
        <w:t>无敏感点</w:t>
      </w:r>
      <w:r>
        <w:rPr>
          <w:rFonts w:hint="eastAsia" w:ascii="Times New Roman" w:hAnsi="Times New Roman" w:cs="Times New Roman"/>
          <w:color w:val="auto"/>
          <w:kern w:val="2"/>
          <w:sz w:val="21"/>
          <w:lang w:bidi="ar"/>
        </w:rPr>
        <w:t>（</w:t>
      </w:r>
      <w:r>
        <w:rPr>
          <w:rFonts w:hint="eastAsia" w:ascii="Times New Roman" w:hAnsi="Times New Roman" w:cs="Times New Roman"/>
          <w:color w:val="auto"/>
          <w:kern w:val="2"/>
          <w:sz w:val="24"/>
          <w:szCs w:val="24"/>
          <w:lang w:bidi="ar"/>
        </w:rPr>
        <w:t>环境防护距离内12户</w:t>
      </w:r>
      <w:r>
        <w:rPr>
          <w:rFonts w:hint="eastAsia" w:ascii="Times New Roman" w:hAnsi="Times New Roman" w:cs="Times New Roman"/>
          <w:color w:val="auto"/>
          <w:kern w:val="2"/>
          <w:sz w:val="24"/>
          <w:szCs w:val="24"/>
          <w:lang w:val="en-US" w:eastAsia="zh-CN" w:bidi="ar"/>
        </w:rPr>
        <w:t>居民已被</w:t>
      </w:r>
      <w:r>
        <w:rPr>
          <w:rFonts w:hint="eastAsia" w:ascii="Times New Roman" w:hAnsi="Times New Roman" w:eastAsia="宋体" w:cs="Times New Roman"/>
          <w:color w:val="auto"/>
          <w:kern w:val="2"/>
          <w:sz w:val="24"/>
          <w:szCs w:val="24"/>
          <w:lang w:val="en-US" w:eastAsia="zh-CN" w:bidi="ar"/>
        </w:rPr>
        <w:t>安徽正民重工科技有限公司租赁为倒班宿舍，租赁协议详见附件</w:t>
      </w:r>
      <w:r>
        <w:rPr>
          <w:rFonts w:ascii="Times New Roman" w:hAnsi="Times New Roman" w:cs="Times New Roman"/>
          <w:color w:val="auto"/>
        </w:rPr>
        <w:t>）。</w:t>
      </w:r>
    </w:p>
    <w:p>
      <w:pPr>
        <w:pStyle w:val="62"/>
        <w:spacing w:line="360" w:lineRule="auto"/>
        <w:ind w:left="0" w:leftChars="0" w:firstLine="0" w:firstLineChars="0"/>
      </w:pPr>
      <w:bookmarkStart w:id="65" w:name="_Toc13210"/>
      <w:r>
        <w:rPr>
          <w:rFonts w:hint="eastAsia"/>
        </w:rPr>
        <w:t>10.</w:t>
      </w:r>
      <w:r>
        <w:rPr>
          <w:rFonts w:hint="eastAsia"/>
          <w:lang w:val="en-US"/>
        </w:rPr>
        <w:t>3</w:t>
      </w:r>
      <w:r>
        <w:rPr>
          <w:rFonts w:hint="eastAsia"/>
        </w:rPr>
        <w:t xml:space="preserve"> 结论</w:t>
      </w:r>
      <w:bookmarkEnd w:id="65"/>
    </w:p>
    <w:p>
      <w:pPr>
        <w:spacing w:line="360" w:lineRule="auto"/>
        <w:ind w:firstLine="480"/>
      </w:pPr>
      <w:r>
        <w:rPr>
          <w:rFonts w:hint="eastAsia"/>
        </w:rPr>
        <w:t>本次验收监测期间生产工况满足验收监测工况要求。项目环境保护手续齐全，执行了环境影响评价和“三同时”制度。在实施过程中基本按照环评文件及批复要求配套建设了相应的环境保护设施，落实了相应的环境保护措施。项目废气、废水、噪声等主要污染物达标排放，基本符合环境保护验收条件，同意本项目通过</w:t>
      </w:r>
      <w:r>
        <w:rPr>
          <w:rFonts w:hint="eastAsia"/>
          <w:lang w:val="en-US" w:eastAsia="zh-CN"/>
        </w:rPr>
        <w:t>阶段性</w:t>
      </w:r>
      <w:r>
        <w:rPr>
          <w:rFonts w:hint="eastAsia"/>
        </w:rPr>
        <w:t>竣工环境保护验收。</w:t>
      </w:r>
    </w:p>
    <w:p>
      <w:pPr>
        <w:spacing w:line="360" w:lineRule="auto"/>
        <w:ind w:firstLine="480"/>
        <w:sectPr>
          <w:headerReference r:id="rId16" w:type="default"/>
          <w:pgSz w:w="11906" w:h="16838"/>
          <w:pgMar w:top="1440" w:right="1800" w:bottom="1440" w:left="1800" w:header="851" w:footer="992" w:gutter="0"/>
          <w:cols w:space="425" w:num="1"/>
          <w:docGrid w:type="lines" w:linePitch="312" w:charSpace="0"/>
        </w:sectPr>
      </w:pPr>
    </w:p>
    <w:p>
      <w:pPr>
        <w:ind w:firstLine="480"/>
      </w:pPr>
      <w:r>
        <w:rPr>
          <w:rFonts w:hint="eastAsia"/>
        </w:rPr>
        <w:t>附件</w:t>
      </w:r>
    </w:p>
    <w:p>
      <w:pPr>
        <w:ind w:firstLine="480"/>
      </w:pPr>
      <w:r>
        <w:rPr>
          <w:rFonts w:hint="eastAsia"/>
        </w:rPr>
        <w:t>附件1：委托书</w:t>
      </w:r>
    </w:p>
    <w:p>
      <w:pPr>
        <w:ind w:firstLine="480"/>
        <w:rPr>
          <w:rFonts w:hint="default" w:ascii="Times New Roman" w:hAnsi="Times New Roman" w:eastAsia="宋体" w:cs="Times New Roman"/>
          <w:kern w:val="0"/>
          <w:lang w:val="en-US"/>
        </w:rPr>
      </w:pPr>
      <w:r>
        <w:rPr>
          <w:rFonts w:hint="eastAsia" w:ascii="Times New Roman" w:hAnsi="Times New Roman" w:eastAsia="宋体" w:cs="Times New Roman"/>
        </w:rPr>
        <w:t>附件2：</w:t>
      </w:r>
      <w:r>
        <w:rPr>
          <w:rFonts w:hint="eastAsia" w:ascii="Times New Roman" w:hAnsi="Times New Roman" w:eastAsia="宋体" w:cs="Times New Roman"/>
          <w:kern w:val="0"/>
        </w:rPr>
        <w:t>《关于</w:t>
      </w:r>
      <w:r>
        <w:rPr>
          <w:rFonts w:hint="eastAsia" w:ascii="Times New Roman" w:hAnsi="Times New Roman"/>
          <w:color w:val="auto"/>
          <w:sz w:val="24"/>
          <w:szCs w:val="24"/>
          <w:lang w:val="en-US" w:eastAsia="zh-CN"/>
        </w:rPr>
        <w:t>安徽新邦机械制造有限公司年产10000吨机械加工生产项目环境影响报告书的批复》，淮杜环行[2023]37号，淮北市杜集区生态环境分局，2023年10月27日。</w:t>
      </w:r>
    </w:p>
    <w:p>
      <w:pPr>
        <w:ind w:firstLine="480"/>
      </w:pPr>
      <w:r>
        <w:rPr>
          <w:rFonts w:hint="eastAsia"/>
        </w:rPr>
        <w:t>附件3：危险废物委托处理合同</w:t>
      </w:r>
    </w:p>
    <w:p>
      <w:pPr>
        <w:ind w:firstLine="480"/>
      </w:pPr>
      <w:r>
        <w:rPr>
          <w:rFonts w:hint="eastAsia"/>
        </w:rPr>
        <w:t>附件</w:t>
      </w:r>
      <w:r>
        <w:rPr>
          <w:rFonts w:hint="eastAsia"/>
          <w:lang w:val="en-US" w:eastAsia="zh-CN"/>
        </w:rPr>
        <w:t>4</w:t>
      </w:r>
      <w:r>
        <w:rPr>
          <w:rFonts w:hint="eastAsia"/>
        </w:rPr>
        <w:t>：</w:t>
      </w:r>
      <w:r>
        <w:t>验收监测报告</w:t>
      </w:r>
    </w:p>
    <w:p>
      <w:pPr>
        <w:ind w:firstLine="480"/>
      </w:pPr>
      <w:r>
        <w:rPr>
          <w:rFonts w:hint="eastAsia"/>
        </w:rPr>
        <w:t>附件</w:t>
      </w:r>
      <w:r>
        <w:rPr>
          <w:rFonts w:hint="eastAsia"/>
          <w:lang w:val="en-US" w:eastAsia="zh-CN"/>
        </w:rPr>
        <w:t>5</w:t>
      </w:r>
      <w:r>
        <w:rPr>
          <w:rFonts w:hint="eastAsia"/>
        </w:rPr>
        <w:t>：建设项目竣工环境保护“三同时”验收登记表</w:t>
      </w:r>
    </w:p>
    <w:p>
      <w:pPr>
        <w:ind w:firstLine="480"/>
      </w:pPr>
    </w:p>
    <w:sectPr>
      <w:headerReference r:id="rId17" w:type="default"/>
      <w:footerReference r:id="rId18"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Calibri Light">
    <w:panose1 w:val="020F03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5063"/>
    </w:sdtPr>
    <w:sdtContent>
      <w:p>
        <w:pPr>
          <w:pStyle w:val="29"/>
          <w:ind w:firstLine="360"/>
        </w:pPr>
        <w:r>
          <w:fldChar w:fldCharType="begin"/>
        </w:r>
        <w:r>
          <w:instrText xml:space="preserve">PAGE   \* MERGEFORMAT</w:instrText>
        </w:r>
        <w:r>
          <w:fldChar w:fldCharType="separate"/>
        </w:r>
        <w:r>
          <w:rPr>
            <w:lang w:val="zh-CN"/>
          </w:rPr>
          <w:t>III</w:t>
        </w:r>
        <w:r>
          <w:rPr>
            <w:lang w:val="zh-CN"/>
          </w:rPr>
          <w:fldChar w:fldCharType="end"/>
        </w:r>
      </w:p>
    </w:sdtContent>
  </w:sdt>
  <w:p>
    <w:pPr>
      <w:pStyle w:val="2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9"/>
      <w:ind w:firstLine="360"/>
    </w:pPr>
  </w:p>
  <w:p>
    <w:pPr>
      <w:pStyle w:val="2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Bdr>
        <w:bottom w:val="none" w:color="auto" w:sz="0" w:space="1"/>
      </w:pBdr>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Bdr>
        <w:bottom w:val="none" w:color="auto" w:sz="0" w:space="1"/>
      </w:pBdr>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A"/>
    <w:multiLevelType w:val="multilevel"/>
    <w:tmpl w:val="0000000A"/>
    <w:lvl w:ilvl="0" w:tentative="0">
      <w:start w:val="1"/>
      <w:numFmt w:val="chineseCountingThousand"/>
      <w:lvlText w:val="（%1）."/>
      <w:lvlJc w:val="left"/>
      <w:pPr>
        <w:tabs>
          <w:tab w:val="left" w:pos="720"/>
        </w:tabs>
        <w:ind w:left="0" w:firstLine="0"/>
      </w:pPr>
      <w:rPr>
        <w:rFonts w:hint="eastAsia"/>
      </w:rPr>
    </w:lvl>
    <w:lvl w:ilvl="1" w:tentative="0">
      <w:start w:val="1"/>
      <w:numFmt w:val="decimal"/>
      <w:isLgl/>
      <w:lvlText w:val="%1.%2"/>
      <w:lvlJc w:val="left"/>
      <w:pPr>
        <w:tabs>
          <w:tab w:val="left" w:pos="360"/>
        </w:tabs>
        <w:ind w:left="0" w:firstLine="0"/>
      </w:pPr>
      <w:rPr>
        <w:rFonts w:hint="eastAsia"/>
      </w:rPr>
    </w:lvl>
    <w:lvl w:ilvl="2" w:tentative="0">
      <w:start w:val="1"/>
      <w:numFmt w:val="decimal"/>
      <w:isLgl/>
      <w:lvlText w:val="%1.%2.%3"/>
      <w:lvlJc w:val="left"/>
      <w:pPr>
        <w:tabs>
          <w:tab w:val="left" w:pos="720"/>
        </w:tabs>
        <w:ind w:left="0" w:firstLine="0"/>
      </w:pPr>
      <w:rPr>
        <w:rFonts w:hint="eastAsia"/>
      </w:rPr>
    </w:lvl>
    <w:lvl w:ilvl="3" w:tentative="0">
      <w:start w:val="1"/>
      <w:numFmt w:val="decimal"/>
      <w:lvlText w:val="%1.%2.%3.%4"/>
      <w:lvlJc w:val="left"/>
      <w:pPr>
        <w:tabs>
          <w:tab w:val="left" w:pos="720"/>
        </w:tabs>
        <w:ind w:left="0" w:firstLine="0"/>
      </w:pPr>
      <w:rPr>
        <w:rFonts w:hint="eastAsia"/>
      </w:rPr>
    </w:lvl>
    <w:lvl w:ilvl="4" w:tentative="0">
      <w:start w:val="1"/>
      <w:numFmt w:val="decimal"/>
      <w:pStyle w:val="7"/>
      <w:lvlText w:val="%1.%2.%3.%4.%5"/>
      <w:lvlJc w:val="left"/>
      <w:pPr>
        <w:tabs>
          <w:tab w:val="left" w:pos="0"/>
        </w:tabs>
        <w:ind w:left="0" w:firstLine="0"/>
      </w:pPr>
      <w:rPr>
        <w:rFonts w:hint="eastAsia"/>
      </w:rPr>
    </w:lvl>
    <w:lvl w:ilvl="5" w:tentative="0">
      <w:start w:val="1"/>
      <w:numFmt w:val="decimal"/>
      <w:pStyle w:val="8"/>
      <w:lvlText w:val="%1.%2.%3.%4.%5.%6"/>
      <w:lvlJc w:val="left"/>
      <w:pPr>
        <w:tabs>
          <w:tab w:val="left" w:pos="0"/>
        </w:tabs>
        <w:ind w:left="0" w:firstLine="0"/>
      </w:pPr>
      <w:rPr>
        <w:rFonts w:hint="eastAsia"/>
      </w:rPr>
    </w:lvl>
    <w:lvl w:ilvl="6" w:tentative="0">
      <w:start w:val="1"/>
      <w:numFmt w:val="decimal"/>
      <w:pStyle w:val="9"/>
      <w:lvlText w:val="%1.%2.%3.%4.%5.%6.%7"/>
      <w:lvlJc w:val="left"/>
      <w:pPr>
        <w:tabs>
          <w:tab w:val="left" w:pos="0"/>
        </w:tabs>
        <w:ind w:left="0" w:firstLine="0"/>
      </w:pPr>
      <w:rPr>
        <w:rFonts w:hint="eastAsia"/>
      </w:rPr>
    </w:lvl>
    <w:lvl w:ilvl="7" w:tentative="0">
      <w:start w:val="1"/>
      <w:numFmt w:val="decimal"/>
      <w:pStyle w:val="10"/>
      <w:lvlText w:val="%1.%2.%3.%4.%5.%6.%7.%8"/>
      <w:lvlJc w:val="left"/>
      <w:pPr>
        <w:tabs>
          <w:tab w:val="left" w:pos="0"/>
        </w:tabs>
        <w:ind w:left="0" w:firstLine="0"/>
      </w:pPr>
      <w:rPr>
        <w:rFonts w:hint="eastAsia"/>
      </w:rPr>
    </w:lvl>
    <w:lvl w:ilvl="8" w:tentative="0">
      <w:start w:val="1"/>
      <w:numFmt w:val="decimal"/>
      <w:pStyle w:val="11"/>
      <w:lvlText w:val="%1.%2.%3.%4.%5.%6.%7.%8.%9"/>
      <w:lvlJc w:val="left"/>
      <w:pPr>
        <w:tabs>
          <w:tab w:val="left" w:pos="0"/>
        </w:tabs>
        <w:ind w:left="0" w:firstLine="0"/>
      </w:pPr>
      <w:rPr>
        <w:rFonts w:hint="eastAsia"/>
      </w:rPr>
    </w:lvl>
  </w:abstractNum>
  <w:abstractNum w:abstractNumId="1">
    <w:nsid w:val="05C2BD36"/>
    <w:multiLevelType w:val="singleLevel"/>
    <w:tmpl w:val="05C2BD36"/>
    <w:lvl w:ilvl="0" w:tentative="0">
      <w:start w:val="2"/>
      <w:numFmt w:val="chineseCounting"/>
      <w:suff w:val="nothing"/>
      <w:lvlText w:val="%1、"/>
      <w:lvlJc w:val="left"/>
      <w:rPr>
        <w:rFonts w:hint="eastAsia"/>
      </w:rPr>
    </w:lvl>
  </w:abstractNum>
  <w:abstractNum w:abstractNumId="2">
    <w:nsid w:val="6BE70AB6"/>
    <w:multiLevelType w:val="singleLevel"/>
    <w:tmpl w:val="6BE70AB6"/>
    <w:lvl w:ilvl="0" w:tentative="0">
      <w:start w:val="1"/>
      <w:numFmt w:val="bullet"/>
      <w:pStyle w:val="6"/>
      <w:lvlText w:val=""/>
      <w:lvlJc w:val="left"/>
      <w:pPr>
        <w:tabs>
          <w:tab w:val="left" w:pos="1620"/>
        </w:tabs>
        <w:ind w:left="1620" w:hanging="360"/>
      </w:pPr>
      <w:rPr>
        <w:rFonts w:hint="default" w:ascii="Wingdings" w:hAnsi="Wingdings"/>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zE5ODUxMmU2YmMwODVmMmMwYmVhOWUzODJkMjFmNDcifQ=="/>
  </w:docVars>
  <w:rsids>
    <w:rsidRoot w:val="00172A27"/>
    <w:rsid w:val="00026A49"/>
    <w:rsid w:val="00033183"/>
    <w:rsid w:val="00035FF7"/>
    <w:rsid w:val="000374FD"/>
    <w:rsid w:val="00037ADE"/>
    <w:rsid w:val="00040661"/>
    <w:rsid w:val="00055F73"/>
    <w:rsid w:val="00061A45"/>
    <w:rsid w:val="00072AD3"/>
    <w:rsid w:val="0007797E"/>
    <w:rsid w:val="000A7BC0"/>
    <w:rsid w:val="000B3DA5"/>
    <w:rsid w:val="000C49AD"/>
    <w:rsid w:val="000C50EA"/>
    <w:rsid w:val="000F5099"/>
    <w:rsid w:val="00104C0C"/>
    <w:rsid w:val="00112C54"/>
    <w:rsid w:val="00121B68"/>
    <w:rsid w:val="0013775A"/>
    <w:rsid w:val="00147E79"/>
    <w:rsid w:val="00172A27"/>
    <w:rsid w:val="00191653"/>
    <w:rsid w:val="001A03C3"/>
    <w:rsid w:val="001A52C6"/>
    <w:rsid w:val="001D3FD8"/>
    <w:rsid w:val="001F3324"/>
    <w:rsid w:val="002039DA"/>
    <w:rsid w:val="00204849"/>
    <w:rsid w:val="00207638"/>
    <w:rsid w:val="0021000C"/>
    <w:rsid w:val="00216498"/>
    <w:rsid w:val="002352F7"/>
    <w:rsid w:val="002410E9"/>
    <w:rsid w:val="00257F7A"/>
    <w:rsid w:val="00282CEF"/>
    <w:rsid w:val="00295B03"/>
    <w:rsid w:val="002A0219"/>
    <w:rsid w:val="002A7FAB"/>
    <w:rsid w:val="002B1A48"/>
    <w:rsid w:val="002C680E"/>
    <w:rsid w:val="002C6DB0"/>
    <w:rsid w:val="002D6DBB"/>
    <w:rsid w:val="002E1321"/>
    <w:rsid w:val="003022B5"/>
    <w:rsid w:val="00304FA5"/>
    <w:rsid w:val="00313933"/>
    <w:rsid w:val="00344646"/>
    <w:rsid w:val="003578DD"/>
    <w:rsid w:val="003608F1"/>
    <w:rsid w:val="0036212D"/>
    <w:rsid w:val="00366F39"/>
    <w:rsid w:val="00377ED3"/>
    <w:rsid w:val="00384535"/>
    <w:rsid w:val="00393E8E"/>
    <w:rsid w:val="003950AA"/>
    <w:rsid w:val="003A420D"/>
    <w:rsid w:val="003B2BD5"/>
    <w:rsid w:val="003B5264"/>
    <w:rsid w:val="003D3BF4"/>
    <w:rsid w:val="003F6F69"/>
    <w:rsid w:val="004078F8"/>
    <w:rsid w:val="0042288C"/>
    <w:rsid w:val="00424C05"/>
    <w:rsid w:val="0043632A"/>
    <w:rsid w:val="00442B89"/>
    <w:rsid w:val="004507F2"/>
    <w:rsid w:val="00461578"/>
    <w:rsid w:val="00477782"/>
    <w:rsid w:val="00486075"/>
    <w:rsid w:val="00491523"/>
    <w:rsid w:val="00496098"/>
    <w:rsid w:val="005003F3"/>
    <w:rsid w:val="00510D28"/>
    <w:rsid w:val="005163E1"/>
    <w:rsid w:val="00527B50"/>
    <w:rsid w:val="00533312"/>
    <w:rsid w:val="0053494B"/>
    <w:rsid w:val="0054474F"/>
    <w:rsid w:val="005516AF"/>
    <w:rsid w:val="00554851"/>
    <w:rsid w:val="00561394"/>
    <w:rsid w:val="00565821"/>
    <w:rsid w:val="00565B32"/>
    <w:rsid w:val="005906ED"/>
    <w:rsid w:val="005A0501"/>
    <w:rsid w:val="005D3A94"/>
    <w:rsid w:val="00601126"/>
    <w:rsid w:val="00602CE7"/>
    <w:rsid w:val="00615514"/>
    <w:rsid w:val="006157AE"/>
    <w:rsid w:val="00623217"/>
    <w:rsid w:val="00633D7F"/>
    <w:rsid w:val="0064301B"/>
    <w:rsid w:val="00684061"/>
    <w:rsid w:val="006A46F7"/>
    <w:rsid w:val="006A6053"/>
    <w:rsid w:val="006A6BFE"/>
    <w:rsid w:val="006B4744"/>
    <w:rsid w:val="006B5F49"/>
    <w:rsid w:val="006E0F4D"/>
    <w:rsid w:val="006E1B08"/>
    <w:rsid w:val="006E5ED1"/>
    <w:rsid w:val="00701D4D"/>
    <w:rsid w:val="00704139"/>
    <w:rsid w:val="00707DBB"/>
    <w:rsid w:val="007312E4"/>
    <w:rsid w:val="007365B0"/>
    <w:rsid w:val="00737C6C"/>
    <w:rsid w:val="0074186F"/>
    <w:rsid w:val="007428E6"/>
    <w:rsid w:val="00786442"/>
    <w:rsid w:val="00790ABC"/>
    <w:rsid w:val="007A7210"/>
    <w:rsid w:val="007C555D"/>
    <w:rsid w:val="007D70C2"/>
    <w:rsid w:val="007E03FD"/>
    <w:rsid w:val="007E4E66"/>
    <w:rsid w:val="007F75E0"/>
    <w:rsid w:val="008059E8"/>
    <w:rsid w:val="0081024D"/>
    <w:rsid w:val="00810911"/>
    <w:rsid w:val="00861C1A"/>
    <w:rsid w:val="00890628"/>
    <w:rsid w:val="008A12A0"/>
    <w:rsid w:val="008C1401"/>
    <w:rsid w:val="008C3E9A"/>
    <w:rsid w:val="008D16B7"/>
    <w:rsid w:val="008D2DAC"/>
    <w:rsid w:val="008D650D"/>
    <w:rsid w:val="008E5F0B"/>
    <w:rsid w:val="008E647C"/>
    <w:rsid w:val="008E791D"/>
    <w:rsid w:val="009007F4"/>
    <w:rsid w:val="0090129A"/>
    <w:rsid w:val="00904056"/>
    <w:rsid w:val="00905FBE"/>
    <w:rsid w:val="00912975"/>
    <w:rsid w:val="00913A58"/>
    <w:rsid w:val="00917746"/>
    <w:rsid w:val="00922279"/>
    <w:rsid w:val="00924387"/>
    <w:rsid w:val="0093079C"/>
    <w:rsid w:val="0094514B"/>
    <w:rsid w:val="00967444"/>
    <w:rsid w:val="009A09A0"/>
    <w:rsid w:val="009A5168"/>
    <w:rsid w:val="009B0D81"/>
    <w:rsid w:val="009B3582"/>
    <w:rsid w:val="009C16A6"/>
    <w:rsid w:val="009C1BE2"/>
    <w:rsid w:val="009C286A"/>
    <w:rsid w:val="009C4200"/>
    <w:rsid w:val="009D4018"/>
    <w:rsid w:val="009E6475"/>
    <w:rsid w:val="00A20568"/>
    <w:rsid w:val="00A2238C"/>
    <w:rsid w:val="00A26214"/>
    <w:rsid w:val="00A27707"/>
    <w:rsid w:val="00A4234F"/>
    <w:rsid w:val="00A53B56"/>
    <w:rsid w:val="00A544F6"/>
    <w:rsid w:val="00A62D3C"/>
    <w:rsid w:val="00A71F3D"/>
    <w:rsid w:val="00AA0C31"/>
    <w:rsid w:val="00AB2C50"/>
    <w:rsid w:val="00AB70C3"/>
    <w:rsid w:val="00AC049A"/>
    <w:rsid w:val="00AC4E19"/>
    <w:rsid w:val="00AD3C5A"/>
    <w:rsid w:val="00B12FC6"/>
    <w:rsid w:val="00B17D96"/>
    <w:rsid w:val="00B222C7"/>
    <w:rsid w:val="00B31E8D"/>
    <w:rsid w:val="00B41A8E"/>
    <w:rsid w:val="00B82A31"/>
    <w:rsid w:val="00BA7690"/>
    <w:rsid w:val="00BB0CAF"/>
    <w:rsid w:val="00BD16DF"/>
    <w:rsid w:val="00BD27A2"/>
    <w:rsid w:val="00BD7AA6"/>
    <w:rsid w:val="00BF642F"/>
    <w:rsid w:val="00C0338B"/>
    <w:rsid w:val="00C04FC6"/>
    <w:rsid w:val="00C07A3D"/>
    <w:rsid w:val="00C1171A"/>
    <w:rsid w:val="00C11812"/>
    <w:rsid w:val="00C12AD2"/>
    <w:rsid w:val="00C15EBF"/>
    <w:rsid w:val="00C33A2B"/>
    <w:rsid w:val="00C534A0"/>
    <w:rsid w:val="00C64C25"/>
    <w:rsid w:val="00C758B1"/>
    <w:rsid w:val="00C952FF"/>
    <w:rsid w:val="00CA32D8"/>
    <w:rsid w:val="00CB4CD5"/>
    <w:rsid w:val="00CB592F"/>
    <w:rsid w:val="00CE4B0C"/>
    <w:rsid w:val="00D02FB5"/>
    <w:rsid w:val="00D411E4"/>
    <w:rsid w:val="00D57D4A"/>
    <w:rsid w:val="00D8291C"/>
    <w:rsid w:val="00DA341B"/>
    <w:rsid w:val="00DA3999"/>
    <w:rsid w:val="00DB4736"/>
    <w:rsid w:val="00E2718E"/>
    <w:rsid w:val="00E5373A"/>
    <w:rsid w:val="00E85EB3"/>
    <w:rsid w:val="00EA30CF"/>
    <w:rsid w:val="00EC088A"/>
    <w:rsid w:val="00EC6403"/>
    <w:rsid w:val="00ED7796"/>
    <w:rsid w:val="00EE29E7"/>
    <w:rsid w:val="00EE71CA"/>
    <w:rsid w:val="00EF7E88"/>
    <w:rsid w:val="00F1146E"/>
    <w:rsid w:val="00F12715"/>
    <w:rsid w:val="00F1341B"/>
    <w:rsid w:val="00F16536"/>
    <w:rsid w:val="00F32216"/>
    <w:rsid w:val="00F33A9B"/>
    <w:rsid w:val="00F372EF"/>
    <w:rsid w:val="00F400DA"/>
    <w:rsid w:val="00F41A4F"/>
    <w:rsid w:val="00F446A8"/>
    <w:rsid w:val="00F51B91"/>
    <w:rsid w:val="00F52668"/>
    <w:rsid w:val="00F53AC0"/>
    <w:rsid w:val="00F54FFF"/>
    <w:rsid w:val="00F56568"/>
    <w:rsid w:val="00F60200"/>
    <w:rsid w:val="00F823F5"/>
    <w:rsid w:val="00F96E8E"/>
    <w:rsid w:val="00FA1CD0"/>
    <w:rsid w:val="00FB0AA9"/>
    <w:rsid w:val="00FC6838"/>
    <w:rsid w:val="00FD436F"/>
    <w:rsid w:val="00FD688E"/>
    <w:rsid w:val="00FE5BC7"/>
    <w:rsid w:val="00FF68EF"/>
    <w:rsid w:val="010A6B8D"/>
    <w:rsid w:val="015D1EF7"/>
    <w:rsid w:val="020A0379"/>
    <w:rsid w:val="02A91D81"/>
    <w:rsid w:val="03534853"/>
    <w:rsid w:val="03D53B27"/>
    <w:rsid w:val="046C501C"/>
    <w:rsid w:val="048C494A"/>
    <w:rsid w:val="04BE5C08"/>
    <w:rsid w:val="05047743"/>
    <w:rsid w:val="07407631"/>
    <w:rsid w:val="075A4240"/>
    <w:rsid w:val="075A7AEE"/>
    <w:rsid w:val="080E765D"/>
    <w:rsid w:val="08451D9B"/>
    <w:rsid w:val="0B057D70"/>
    <w:rsid w:val="0BB73761"/>
    <w:rsid w:val="0D663599"/>
    <w:rsid w:val="0D9F639E"/>
    <w:rsid w:val="0E2529C0"/>
    <w:rsid w:val="0E6D13DB"/>
    <w:rsid w:val="0ED03B59"/>
    <w:rsid w:val="0EDE67CC"/>
    <w:rsid w:val="0FF700F0"/>
    <w:rsid w:val="11A3651D"/>
    <w:rsid w:val="11D05C32"/>
    <w:rsid w:val="13404C85"/>
    <w:rsid w:val="13616CF3"/>
    <w:rsid w:val="14B970B6"/>
    <w:rsid w:val="15543DCE"/>
    <w:rsid w:val="159348F7"/>
    <w:rsid w:val="15F630D7"/>
    <w:rsid w:val="16175528"/>
    <w:rsid w:val="163C2811"/>
    <w:rsid w:val="16846935"/>
    <w:rsid w:val="16B47FDD"/>
    <w:rsid w:val="16FB0A86"/>
    <w:rsid w:val="174212F0"/>
    <w:rsid w:val="177832FE"/>
    <w:rsid w:val="178460A8"/>
    <w:rsid w:val="189015C1"/>
    <w:rsid w:val="18BB2EA9"/>
    <w:rsid w:val="18C9062F"/>
    <w:rsid w:val="193271B6"/>
    <w:rsid w:val="199205C0"/>
    <w:rsid w:val="1A651E82"/>
    <w:rsid w:val="1A777FE7"/>
    <w:rsid w:val="1CAF5FB8"/>
    <w:rsid w:val="1DD218BE"/>
    <w:rsid w:val="1E4720BB"/>
    <w:rsid w:val="1FE5672C"/>
    <w:rsid w:val="209F6530"/>
    <w:rsid w:val="2138408B"/>
    <w:rsid w:val="220E6DD1"/>
    <w:rsid w:val="235264C8"/>
    <w:rsid w:val="23660FE7"/>
    <w:rsid w:val="2397502E"/>
    <w:rsid w:val="23A663D9"/>
    <w:rsid w:val="23E94924"/>
    <w:rsid w:val="24831FDA"/>
    <w:rsid w:val="248D6B5C"/>
    <w:rsid w:val="257F7C73"/>
    <w:rsid w:val="26835926"/>
    <w:rsid w:val="286D0FD7"/>
    <w:rsid w:val="293168B5"/>
    <w:rsid w:val="2A7875E4"/>
    <w:rsid w:val="2A866380"/>
    <w:rsid w:val="2AB96756"/>
    <w:rsid w:val="2B3827B7"/>
    <w:rsid w:val="2BDD0222"/>
    <w:rsid w:val="2C2E3173"/>
    <w:rsid w:val="2C3739F7"/>
    <w:rsid w:val="2C3B49ED"/>
    <w:rsid w:val="2C663817"/>
    <w:rsid w:val="2F967065"/>
    <w:rsid w:val="30F75360"/>
    <w:rsid w:val="3119383F"/>
    <w:rsid w:val="317717FD"/>
    <w:rsid w:val="318B24CE"/>
    <w:rsid w:val="31B71515"/>
    <w:rsid w:val="32083B87"/>
    <w:rsid w:val="32952774"/>
    <w:rsid w:val="32E12438"/>
    <w:rsid w:val="333F62E6"/>
    <w:rsid w:val="34790D04"/>
    <w:rsid w:val="350C1B78"/>
    <w:rsid w:val="35332B4D"/>
    <w:rsid w:val="35453004"/>
    <w:rsid w:val="35FF348B"/>
    <w:rsid w:val="36D16BD5"/>
    <w:rsid w:val="37164248"/>
    <w:rsid w:val="37513E17"/>
    <w:rsid w:val="37732382"/>
    <w:rsid w:val="3842137D"/>
    <w:rsid w:val="399161E1"/>
    <w:rsid w:val="3A6104D2"/>
    <w:rsid w:val="3B721562"/>
    <w:rsid w:val="3B956940"/>
    <w:rsid w:val="3B9853DB"/>
    <w:rsid w:val="3CE05DC4"/>
    <w:rsid w:val="3D894779"/>
    <w:rsid w:val="3D966C7E"/>
    <w:rsid w:val="3DE73182"/>
    <w:rsid w:val="3F262C1F"/>
    <w:rsid w:val="3FA67A5C"/>
    <w:rsid w:val="4023718A"/>
    <w:rsid w:val="40D94176"/>
    <w:rsid w:val="41297BA8"/>
    <w:rsid w:val="41D65E2E"/>
    <w:rsid w:val="42A0254A"/>
    <w:rsid w:val="42C02333"/>
    <w:rsid w:val="45B61DB8"/>
    <w:rsid w:val="463F3208"/>
    <w:rsid w:val="46F04E55"/>
    <w:rsid w:val="472D4FCF"/>
    <w:rsid w:val="476F01E3"/>
    <w:rsid w:val="47867568"/>
    <w:rsid w:val="47CE47E6"/>
    <w:rsid w:val="48324768"/>
    <w:rsid w:val="48330452"/>
    <w:rsid w:val="48725084"/>
    <w:rsid w:val="487750D5"/>
    <w:rsid w:val="48FF25B6"/>
    <w:rsid w:val="4A1846D3"/>
    <w:rsid w:val="4A800BE6"/>
    <w:rsid w:val="4C51283A"/>
    <w:rsid w:val="4D376AD0"/>
    <w:rsid w:val="4DC66910"/>
    <w:rsid w:val="4E52289A"/>
    <w:rsid w:val="4E7B5EB5"/>
    <w:rsid w:val="4E835543"/>
    <w:rsid w:val="4FFA5DDE"/>
    <w:rsid w:val="50CF0296"/>
    <w:rsid w:val="5112329E"/>
    <w:rsid w:val="535E583D"/>
    <w:rsid w:val="546546B3"/>
    <w:rsid w:val="556C5FEF"/>
    <w:rsid w:val="55835B5D"/>
    <w:rsid w:val="57212C61"/>
    <w:rsid w:val="575F3842"/>
    <w:rsid w:val="57603931"/>
    <w:rsid w:val="57C67137"/>
    <w:rsid w:val="58690F0C"/>
    <w:rsid w:val="5886386C"/>
    <w:rsid w:val="59B934C7"/>
    <w:rsid w:val="5A52175E"/>
    <w:rsid w:val="5A530E88"/>
    <w:rsid w:val="5A726C61"/>
    <w:rsid w:val="5A9A561A"/>
    <w:rsid w:val="5BDC0CC3"/>
    <w:rsid w:val="5C183F4D"/>
    <w:rsid w:val="5C9B1BF7"/>
    <w:rsid w:val="5D044EAB"/>
    <w:rsid w:val="5DFC252C"/>
    <w:rsid w:val="5F1D3651"/>
    <w:rsid w:val="5F396834"/>
    <w:rsid w:val="5F9C1595"/>
    <w:rsid w:val="61C92E78"/>
    <w:rsid w:val="622A3975"/>
    <w:rsid w:val="62E34178"/>
    <w:rsid w:val="63067D5B"/>
    <w:rsid w:val="63E92F01"/>
    <w:rsid w:val="640D3A67"/>
    <w:rsid w:val="65A83F37"/>
    <w:rsid w:val="663815CC"/>
    <w:rsid w:val="67044274"/>
    <w:rsid w:val="67090647"/>
    <w:rsid w:val="672063A9"/>
    <w:rsid w:val="67494E90"/>
    <w:rsid w:val="674C5C80"/>
    <w:rsid w:val="68CC45A4"/>
    <w:rsid w:val="6B096275"/>
    <w:rsid w:val="6BB64D2C"/>
    <w:rsid w:val="6C462F84"/>
    <w:rsid w:val="6D1E00BF"/>
    <w:rsid w:val="6D510378"/>
    <w:rsid w:val="6EA12D56"/>
    <w:rsid w:val="701337DF"/>
    <w:rsid w:val="71D71887"/>
    <w:rsid w:val="71FD5970"/>
    <w:rsid w:val="72587BCF"/>
    <w:rsid w:val="726A345E"/>
    <w:rsid w:val="72B040A7"/>
    <w:rsid w:val="74DD616A"/>
    <w:rsid w:val="76E0000D"/>
    <w:rsid w:val="77040325"/>
    <w:rsid w:val="77130569"/>
    <w:rsid w:val="791D0A48"/>
    <w:rsid w:val="795C495D"/>
    <w:rsid w:val="79607369"/>
    <w:rsid w:val="79885AED"/>
    <w:rsid w:val="7A3D63E0"/>
    <w:rsid w:val="7B64753A"/>
    <w:rsid w:val="7BCA32FB"/>
    <w:rsid w:val="7C254418"/>
    <w:rsid w:val="7E2E3EDA"/>
    <w:rsid w:val="7E5A4CCF"/>
    <w:rsid w:val="7E611BB9"/>
    <w:rsid w:val="7FD31F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iPriority="0" w:semiHidden="0" w:name="List 2"/>
    <w:lsdException w:uiPriority="99" w:name="List 3"/>
    <w:lsdException w:uiPriority="99" w:name="List 4"/>
    <w:lsdException w:uiPriority="99" w:name="List 5"/>
    <w:lsdException w:uiPriority="99" w:name="List Bullet 2"/>
    <w:lsdException w:uiPriority="99" w:name="List Bullet 3"/>
    <w:lsdException w:qFormat="1" w:uiPriority="99" w:semiHidden="0"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line="360" w:lineRule="auto"/>
      <w:ind w:firstLine="420" w:firstLineChars="200"/>
    </w:pPr>
    <w:rPr>
      <w:rFonts w:asciiTheme="minorHAnsi" w:hAnsiTheme="minorHAnsi" w:eastAsiaTheme="minorEastAsia" w:cstheme="minorBidi"/>
      <w:kern w:val="2"/>
      <w:sz w:val="24"/>
      <w:szCs w:val="24"/>
      <w:lang w:val="en-US" w:eastAsia="zh-CN" w:bidi="ar-SA"/>
    </w:rPr>
  </w:style>
  <w:style w:type="paragraph" w:styleId="2">
    <w:name w:val="heading 1"/>
    <w:basedOn w:val="1"/>
    <w:link w:val="79"/>
    <w:autoRedefine/>
    <w:qFormat/>
    <w:uiPriority w:val="0"/>
    <w:pPr>
      <w:keepNext/>
      <w:keepLines/>
      <w:spacing w:before="340" w:after="330" w:line="578" w:lineRule="auto"/>
      <w:outlineLvl w:val="0"/>
    </w:pPr>
    <w:rPr>
      <w:rFonts w:ascii="Times New Roman" w:hAnsi="Times New Roman" w:eastAsia="仿宋_GB2312" w:cs="Times New Roman"/>
      <w:b/>
      <w:bCs/>
      <w:kern w:val="44"/>
      <w:sz w:val="44"/>
      <w:szCs w:val="44"/>
    </w:rPr>
  </w:style>
  <w:style w:type="paragraph" w:styleId="3">
    <w:name w:val="heading 2"/>
    <w:basedOn w:val="1"/>
    <w:next w:val="1"/>
    <w:link w:val="60"/>
    <w:autoRedefine/>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61"/>
    <w:autoRedefine/>
    <w:unhideWhenUsed/>
    <w:qFormat/>
    <w:uiPriority w:val="0"/>
    <w:pPr>
      <w:keepNext/>
      <w:keepLines/>
      <w:spacing w:before="260" w:after="260" w:line="416" w:lineRule="auto"/>
      <w:outlineLvl w:val="2"/>
    </w:pPr>
    <w:rPr>
      <w:b/>
      <w:bCs/>
      <w:sz w:val="32"/>
      <w:szCs w:val="32"/>
    </w:rPr>
  </w:style>
  <w:style w:type="paragraph" w:styleId="5">
    <w:name w:val="heading 4"/>
    <w:basedOn w:val="6"/>
    <w:next w:val="6"/>
    <w:link w:val="64"/>
    <w:autoRedefine/>
    <w:unhideWhenUsed/>
    <w:qFormat/>
    <w:uiPriority w:val="0"/>
    <w:pPr>
      <w:keepNext/>
      <w:keepLines/>
      <w:tabs>
        <w:tab w:val="left" w:pos="1620"/>
      </w:tab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link w:val="80"/>
    <w:autoRedefine/>
    <w:qFormat/>
    <w:uiPriority w:val="0"/>
    <w:pPr>
      <w:keepNext/>
      <w:keepLines/>
      <w:numPr>
        <w:ilvl w:val="4"/>
        <w:numId w:val="1"/>
      </w:numPr>
      <w:spacing w:before="280" w:after="290" w:line="376" w:lineRule="atLeast"/>
      <w:ind w:firstLine="200"/>
      <w:textAlignment w:val="baseline"/>
      <w:outlineLvl w:val="4"/>
    </w:pPr>
    <w:rPr>
      <w:rFonts w:ascii="Times New Roman" w:hAnsi="Times New Roman" w:eastAsia="宋体" w:cs="Times New Roman"/>
      <w:b/>
      <w:kern w:val="0"/>
      <w:sz w:val="28"/>
      <w:szCs w:val="20"/>
    </w:rPr>
  </w:style>
  <w:style w:type="paragraph" w:styleId="8">
    <w:name w:val="heading 6"/>
    <w:basedOn w:val="1"/>
    <w:next w:val="1"/>
    <w:link w:val="81"/>
    <w:autoRedefine/>
    <w:qFormat/>
    <w:uiPriority w:val="0"/>
    <w:pPr>
      <w:keepNext/>
      <w:keepLines/>
      <w:numPr>
        <w:ilvl w:val="5"/>
        <w:numId w:val="1"/>
      </w:numPr>
      <w:spacing w:before="240" w:after="64" w:line="320" w:lineRule="atLeast"/>
      <w:ind w:firstLine="200"/>
      <w:textAlignment w:val="baseline"/>
      <w:outlineLvl w:val="5"/>
    </w:pPr>
    <w:rPr>
      <w:rFonts w:ascii="Arial" w:hAnsi="Arial" w:eastAsia="黑体" w:cs="Times New Roman"/>
      <w:b/>
      <w:kern w:val="0"/>
      <w:szCs w:val="20"/>
    </w:rPr>
  </w:style>
  <w:style w:type="paragraph" w:styleId="9">
    <w:name w:val="heading 7"/>
    <w:basedOn w:val="1"/>
    <w:next w:val="1"/>
    <w:link w:val="82"/>
    <w:autoRedefine/>
    <w:qFormat/>
    <w:uiPriority w:val="0"/>
    <w:pPr>
      <w:keepNext/>
      <w:keepLines/>
      <w:numPr>
        <w:ilvl w:val="6"/>
        <w:numId w:val="1"/>
      </w:numPr>
      <w:spacing w:before="240" w:after="64" w:line="320" w:lineRule="atLeast"/>
      <w:ind w:firstLine="200"/>
      <w:textAlignment w:val="baseline"/>
      <w:outlineLvl w:val="6"/>
    </w:pPr>
    <w:rPr>
      <w:rFonts w:ascii="Times New Roman" w:hAnsi="Times New Roman" w:eastAsia="宋体" w:cs="Times New Roman"/>
      <w:b/>
      <w:kern w:val="0"/>
      <w:szCs w:val="20"/>
    </w:rPr>
  </w:style>
  <w:style w:type="paragraph" w:styleId="10">
    <w:name w:val="heading 8"/>
    <w:basedOn w:val="1"/>
    <w:next w:val="1"/>
    <w:link w:val="83"/>
    <w:autoRedefine/>
    <w:qFormat/>
    <w:uiPriority w:val="0"/>
    <w:pPr>
      <w:keepNext/>
      <w:keepLines/>
      <w:numPr>
        <w:ilvl w:val="7"/>
        <w:numId w:val="1"/>
      </w:numPr>
      <w:spacing w:before="240" w:after="64" w:line="320" w:lineRule="atLeast"/>
      <w:ind w:firstLine="200"/>
      <w:textAlignment w:val="baseline"/>
      <w:outlineLvl w:val="7"/>
    </w:pPr>
    <w:rPr>
      <w:rFonts w:ascii="Arial" w:hAnsi="Arial" w:eastAsia="黑体" w:cs="Times New Roman"/>
      <w:kern w:val="0"/>
      <w:szCs w:val="20"/>
    </w:rPr>
  </w:style>
  <w:style w:type="paragraph" w:styleId="11">
    <w:name w:val="heading 9"/>
    <w:basedOn w:val="1"/>
    <w:next w:val="1"/>
    <w:link w:val="84"/>
    <w:autoRedefine/>
    <w:qFormat/>
    <w:uiPriority w:val="0"/>
    <w:pPr>
      <w:keepNext/>
      <w:keepLines/>
      <w:numPr>
        <w:ilvl w:val="8"/>
        <w:numId w:val="1"/>
      </w:numPr>
      <w:spacing w:before="240" w:after="64" w:line="320" w:lineRule="atLeast"/>
      <w:ind w:firstLine="200"/>
      <w:textAlignment w:val="baseline"/>
      <w:outlineLvl w:val="8"/>
    </w:pPr>
    <w:rPr>
      <w:rFonts w:ascii="Arial" w:hAnsi="Arial" w:eastAsia="黑体" w:cs="Times New Roman"/>
      <w:kern w:val="0"/>
      <w:sz w:val="28"/>
      <w:szCs w:val="20"/>
    </w:rPr>
  </w:style>
  <w:style w:type="character" w:default="1" w:styleId="45">
    <w:name w:val="Default Paragraph Font"/>
    <w:autoRedefine/>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6">
    <w:name w:val="List Bullet 4"/>
    <w:basedOn w:val="1"/>
    <w:autoRedefine/>
    <w:unhideWhenUsed/>
    <w:qFormat/>
    <w:uiPriority w:val="99"/>
    <w:pPr>
      <w:numPr>
        <w:ilvl w:val="0"/>
        <w:numId w:val="2"/>
      </w:numPr>
    </w:pPr>
  </w:style>
  <w:style w:type="paragraph" w:styleId="12">
    <w:name w:val="toc 7"/>
    <w:basedOn w:val="1"/>
    <w:next w:val="1"/>
    <w:autoRedefine/>
    <w:unhideWhenUsed/>
    <w:qFormat/>
    <w:uiPriority w:val="39"/>
    <w:pPr>
      <w:ind w:left="1260"/>
    </w:pPr>
    <w:rPr>
      <w:sz w:val="18"/>
      <w:szCs w:val="18"/>
    </w:rPr>
  </w:style>
  <w:style w:type="paragraph" w:styleId="13">
    <w:name w:val="Normal Indent"/>
    <w:basedOn w:val="1"/>
    <w:autoRedefine/>
    <w:qFormat/>
    <w:uiPriority w:val="0"/>
    <w:rPr>
      <w:rFonts w:ascii="Times New Roman" w:hAnsi="Times New Roman" w:eastAsia="仿宋_GB2312" w:cs="Times New Roman"/>
      <w:szCs w:val="20"/>
    </w:rPr>
  </w:style>
  <w:style w:type="paragraph" w:styleId="14">
    <w:name w:val="caption"/>
    <w:basedOn w:val="1"/>
    <w:next w:val="1"/>
    <w:autoRedefine/>
    <w:qFormat/>
    <w:uiPriority w:val="0"/>
    <w:rPr>
      <w:rFonts w:ascii="Arial" w:hAnsi="Arial" w:eastAsia="黑体" w:cs="Arial"/>
      <w:sz w:val="20"/>
      <w:szCs w:val="20"/>
    </w:rPr>
  </w:style>
  <w:style w:type="paragraph" w:styleId="15">
    <w:name w:val="Document Map"/>
    <w:basedOn w:val="1"/>
    <w:link w:val="93"/>
    <w:autoRedefine/>
    <w:qFormat/>
    <w:uiPriority w:val="0"/>
    <w:pPr>
      <w:shd w:val="clear" w:color="auto" w:fill="000080"/>
    </w:pPr>
    <w:rPr>
      <w:rFonts w:ascii="Times New Roman" w:hAnsi="Times New Roman" w:eastAsia="仿宋_GB2312" w:cs="Times New Roman"/>
      <w:sz w:val="28"/>
      <w:szCs w:val="20"/>
    </w:rPr>
  </w:style>
  <w:style w:type="paragraph" w:styleId="16">
    <w:name w:val="Body Text 3"/>
    <w:basedOn w:val="1"/>
    <w:link w:val="92"/>
    <w:autoRedefine/>
    <w:qFormat/>
    <w:uiPriority w:val="0"/>
    <w:rPr>
      <w:rFonts w:ascii="Times New Roman" w:hAnsi="Times New Roman" w:eastAsia="宋体" w:cs="Times New Roman"/>
      <w:szCs w:val="20"/>
    </w:rPr>
  </w:style>
  <w:style w:type="paragraph" w:styleId="17">
    <w:name w:val="Body Text"/>
    <w:basedOn w:val="1"/>
    <w:link w:val="94"/>
    <w:autoRedefine/>
    <w:qFormat/>
    <w:uiPriority w:val="0"/>
    <w:rPr>
      <w:rFonts w:ascii="Times New Roman" w:hAnsi="Times New Roman" w:eastAsia="仿宋_GB2312" w:cs="Times New Roman"/>
      <w:sz w:val="28"/>
      <w:szCs w:val="20"/>
    </w:rPr>
  </w:style>
  <w:style w:type="paragraph" w:styleId="18">
    <w:name w:val="Body Text Indent"/>
    <w:basedOn w:val="1"/>
    <w:next w:val="19"/>
    <w:link w:val="69"/>
    <w:autoRedefine/>
    <w:qFormat/>
    <w:uiPriority w:val="0"/>
    <w:pPr>
      <w:ind w:left="105" w:leftChars="50" w:firstLine="480"/>
    </w:pPr>
    <w:rPr>
      <w:rFonts w:eastAsia="楷体_GB2312" w:cs="宋体"/>
      <w:color w:val="000000"/>
    </w:rPr>
  </w:style>
  <w:style w:type="paragraph" w:styleId="19">
    <w:name w:val="Body Text Indent 2"/>
    <w:basedOn w:val="1"/>
    <w:next w:val="20"/>
    <w:link w:val="75"/>
    <w:autoRedefine/>
    <w:unhideWhenUsed/>
    <w:qFormat/>
    <w:uiPriority w:val="0"/>
    <w:pPr>
      <w:spacing w:after="120" w:line="480" w:lineRule="auto"/>
      <w:ind w:left="420" w:leftChars="200"/>
    </w:pPr>
  </w:style>
  <w:style w:type="paragraph" w:styleId="20">
    <w:name w:val="Body Text First Indent 2"/>
    <w:basedOn w:val="18"/>
    <w:next w:val="1"/>
    <w:autoRedefine/>
    <w:qFormat/>
    <w:uiPriority w:val="0"/>
    <w:pPr>
      <w:ind w:firstLine="420"/>
    </w:pPr>
  </w:style>
  <w:style w:type="paragraph" w:styleId="21">
    <w:name w:val="List 2"/>
    <w:basedOn w:val="1"/>
    <w:autoRedefine/>
    <w:unhideWhenUsed/>
    <w:qFormat/>
    <w:uiPriority w:val="0"/>
    <w:pPr>
      <w:ind w:left="100" w:leftChars="200" w:hanging="200" w:hangingChars="200"/>
      <w:contextualSpacing/>
    </w:pPr>
  </w:style>
  <w:style w:type="paragraph" w:styleId="22">
    <w:name w:val="Block Text"/>
    <w:basedOn w:val="1"/>
    <w:autoRedefine/>
    <w:qFormat/>
    <w:uiPriority w:val="0"/>
    <w:pPr>
      <w:spacing w:line="240" w:lineRule="exact"/>
      <w:ind w:left="-146" w:leftChars="-53" w:right="-31" w:rightChars="-11" w:hanging="2" w:hangingChars="1"/>
    </w:pPr>
    <w:rPr>
      <w:rFonts w:ascii="宋体" w:hAnsi="宋体" w:eastAsia="宋体" w:cs="Times New Roman"/>
      <w:szCs w:val="20"/>
    </w:rPr>
  </w:style>
  <w:style w:type="paragraph" w:styleId="23">
    <w:name w:val="toc 5"/>
    <w:basedOn w:val="1"/>
    <w:next w:val="1"/>
    <w:autoRedefine/>
    <w:unhideWhenUsed/>
    <w:qFormat/>
    <w:uiPriority w:val="39"/>
    <w:pPr>
      <w:ind w:left="840"/>
    </w:pPr>
    <w:rPr>
      <w:sz w:val="18"/>
      <w:szCs w:val="18"/>
    </w:rPr>
  </w:style>
  <w:style w:type="paragraph" w:styleId="24">
    <w:name w:val="toc 3"/>
    <w:basedOn w:val="1"/>
    <w:next w:val="1"/>
    <w:autoRedefine/>
    <w:unhideWhenUsed/>
    <w:qFormat/>
    <w:uiPriority w:val="39"/>
    <w:pPr>
      <w:ind w:left="420"/>
    </w:pPr>
    <w:rPr>
      <w:i/>
      <w:iCs/>
      <w:sz w:val="20"/>
      <w:szCs w:val="20"/>
    </w:rPr>
  </w:style>
  <w:style w:type="paragraph" w:styleId="25">
    <w:name w:val="Plain Text"/>
    <w:basedOn w:val="1"/>
    <w:link w:val="72"/>
    <w:autoRedefine/>
    <w:qFormat/>
    <w:uiPriority w:val="0"/>
    <w:pPr>
      <w:autoSpaceDE w:val="0"/>
      <w:autoSpaceDN w:val="0"/>
    </w:pPr>
    <w:rPr>
      <w:rFonts w:ascii="宋体" w:hAnsi="Courier New" w:eastAsia="宋体"/>
    </w:rPr>
  </w:style>
  <w:style w:type="paragraph" w:styleId="26">
    <w:name w:val="toc 8"/>
    <w:basedOn w:val="1"/>
    <w:next w:val="1"/>
    <w:autoRedefine/>
    <w:unhideWhenUsed/>
    <w:qFormat/>
    <w:uiPriority w:val="39"/>
    <w:pPr>
      <w:ind w:left="1470"/>
    </w:pPr>
    <w:rPr>
      <w:sz w:val="18"/>
      <w:szCs w:val="18"/>
    </w:rPr>
  </w:style>
  <w:style w:type="paragraph" w:styleId="27">
    <w:name w:val="Date"/>
    <w:basedOn w:val="1"/>
    <w:next w:val="1"/>
    <w:link w:val="59"/>
    <w:autoRedefine/>
    <w:unhideWhenUsed/>
    <w:qFormat/>
    <w:uiPriority w:val="0"/>
    <w:pPr>
      <w:ind w:left="100" w:leftChars="2500"/>
    </w:pPr>
  </w:style>
  <w:style w:type="paragraph" w:styleId="28">
    <w:name w:val="Balloon Text"/>
    <w:basedOn w:val="1"/>
    <w:link w:val="122"/>
    <w:autoRedefine/>
    <w:semiHidden/>
    <w:unhideWhenUsed/>
    <w:qFormat/>
    <w:uiPriority w:val="99"/>
    <w:rPr>
      <w:sz w:val="18"/>
      <w:szCs w:val="18"/>
    </w:rPr>
  </w:style>
  <w:style w:type="paragraph" w:styleId="29">
    <w:name w:val="footer"/>
    <w:basedOn w:val="1"/>
    <w:link w:val="58"/>
    <w:autoRedefine/>
    <w:unhideWhenUsed/>
    <w:qFormat/>
    <w:uiPriority w:val="99"/>
    <w:pPr>
      <w:tabs>
        <w:tab w:val="center" w:pos="4153"/>
        <w:tab w:val="right" w:pos="8306"/>
      </w:tabs>
    </w:pPr>
    <w:rPr>
      <w:sz w:val="18"/>
      <w:szCs w:val="18"/>
    </w:rPr>
  </w:style>
  <w:style w:type="paragraph" w:styleId="30">
    <w:name w:val="header"/>
    <w:basedOn w:val="1"/>
    <w:link w:val="57"/>
    <w:autoRedefine/>
    <w:unhideWhenUsed/>
    <w:qFormat/>
    <w:uiPriority w:val="0"/>
    <w:pPr>
      <w:pBdr>
        <w:bottom w:val="single" w:color="auto" w:sz="6" w:space="1"/>
      </w:pBdr>
      <w:tabs>
        <w:tab w:val="center" w:pos="4153"/>
        <w:tab w:val="right" w:pos="8306"/>
      </w:tabs>
    </w:pPr>
    <w:rPr>
      <w:sz w:val="18"/>
      <w:szCs w:val="18"/>
    </w:rPr>
  </w:style>
  <w:style w:type="paragraph" w:styleId="31">
    <w:name w:val="toc 1"/>
    <w:basedOn w:val="1"/>
    <w:next w:val="1"/>
    <w:autoRedefine/>
    <w:qFormat/>
    <w:uiPriority w:val="39"/>
    <w:pPr>
      <w:spacing w:before="120" w:after="120"/>
    </w:pPr>
    <w:rPr>
      <w:b/>
      <w:bCs/>
      <w:caps/>
      <w:sz w:val="20"/>
      <w:szCs w:val="20"/>
    </w:rPr>
  </w:style>
  <w:style w:type="paragraph" w:styleId="32">
    <w:name w:val="toc 4"/>
    <w:basedOn w:val="1"/>
    <w:next w:val="1"/>
    <w:autoRedefine/>
    <w:unhideWhenUsed/>
    <w:qFormat/>
    <w:uiPriority w:val="39"/>
    <w:pPr>
      <w:ind w:left="630"/>
    </w:pPr>
    <w:rPr>
      <w:sz w:val="18"/>
      <w:szCs w:val="18"/>
    </w:rPr>
  </w:style>
  <w:style w:type="paragraph" w:styleId="33">
    <w:name w:val="Subtitle"/>
    <w:basedOn w:val="1"/>
    <w:next w:val="1"/>
    <w:link w:val="63"/>
    <w:autoRedefine/>
    <w:qFormat/>
    <w:uiPriority w:val="11"/>
    <w:pPr>
      <w:spacing w:before="240" w:after="60" w:line="312" w:lineRule="auto"/>
      <w:outlineLvl w:val="1"/>
    </w:pPr>
    <w:rPr>
      <w:rFonts w:eastAsia="宋体" w:asciiTheme="majorHAnsi" w:hAnsiTheme="majorHAnsi" w:cstheme="majorBidi"/>
      <w:b/>
      <w:bCs/>
      <w:kern w:val="28"/>
      <w:sz w:val="32"/>
      <w:szCs w:val="32"/>
    </w:rPr>
  </w:style>
  <w:style w:type="paragraph" w:styleId="34">
    <w:name w:val="List"/>
    <w:basedOn w:val="1"/>
    <w:autoRedefine/>
    <w:qFormat/>
    <w:uiPriority w:val="0"/>
    <w:pPr>
      <w:ind w:left="200" w:hanging="200" w:hangingChars="200"/>
    </w:pPr>
    <w:rPr>
      <w:rFonts w:ascii="Times New Roman" w:hAnsi="Times New Roman" w:eastAsia="仿宋_GB2312" w:cs="Times New Roman"/>
      <w:sz w:val="28"/>
      <w:szCs w:val="20"/>
    </w:rPr>
  </w:style>
  <w:style w:type="paragraph" w:styleId="35">
    <w:name w:val="toc 6"/>
    <w:basedOn w:val="1"/>
    <w:next w:val="1"/>
    <w:autoRedefine/>
    <w:unhideWhenUsed/>
    <w:qFormat/>
    <w:uiPriority w:val="39"/>
    <w:pPr>
      <w:ind w:left="1050"/>
    </w:pPr>
    <w:rPr>
      <w:sz w:val="18"/>
      <w:szCs w:val="18"/>
    </w:rPr>
  </w:style>
  <w:style w:type="paragraph" w:styleId="36">
    <w:name w:val="Body Text Indent 3"/>
    <w:basedOn w:val="1"/>
    <w:link w:val="96"/>
    <w:autoRedefine/>
    <w:qFormat/>
    <w:uiPriority w:val="0"/>
    <w:pPr>
      <w:spacing w:line="440" w:lineRule="exact"/>
      <w:ind w:firstLine="570"/>
    </w:pPr>
    <w:rPr>
      <w:rFonts w:ascii="宋体" w:hAnsi="Times New Roman" w:eastAsia="宋体" w:cs="Times New Roman"/>
      <w:sz w:val="28"/>
      <w:szCs w:val="20"/>
    </w:rPr>
  </w:style>
  <w:style w:type="paragraph" w:styleId="37">
    <w:name w:val="toc 2"/>
    <w:basedOn w:val="1"/>
    <w:next w:val="1"/>
    <w:autoRedefine/>
    <w:unhideWhenUsed/>
    <w:qFormat/>
    <w:uiPriority w:val="39"/>
    <w:pPr>
      <w:ind w:left="210"/>
    </w:pPr>
    <w:rPr>
      <w:smallCaps/>
      <w:sz w:val="20"/>
      <w:szCs w:val="20"/>
    </w:rPr>
  </w:style>
  <w:style w:type="paragraph" w:styleId="38">
    <w:name w:val="toc 9"/>
    <w:basedOn w:val="1"/>
    <w:next w:val="1"/>
    <w:autoRedefine/>
    <w:unhideWhenUsed/>
    <w:qFormat/>
    <w:uiPriority w:val="39"/>
    <w:pPr>
      <w:ind w:left="1680"/>
    </w:pPr>
    <w:rPr>
      <w:sz w:val="18"/>
      <w:szCs w:val="18"/>
    </w:rPr>
  </w:style>
  <w:style w:type="paragraph" w:styleId="39">
    <w:name w:val="Body Text 2"/>
    <w:basedOn w:val="1"/>
    <w:link w:val="97"/>
    <w:autoRedefine/>
    <w:qFormat/>
    <w:uiPriority w:val="0"/>
    <w:rPr>
      <w:rFonts w:ascii="Times New Roman" w:hAnsi="Times New Roman" w:eastAsia="仿宋_GB2312" w:cs="Times New Roman"/>
      <w:szCs w:val="20"/>
    </w:rPr>
  </w:style>
  <w:style w:type="paragraph" w:styleId="40">
    <w:name w:val="Normal (Web)"/>
    <w:basedOn w:val="1"/>
    <w:link w:val="88"/>
    <w:autoRedefine/>
    <w:qFormat/>
    <w:uiPriority w:val="0"/>
    <w:pPr>
      <w:widowControl/>
      <w:spacing w:before="100" w:beforeAutospacing="1" w:after="100" w:afterAutospacing="1"/>
    </w:pPr>
    <w:rPr>
      <w:rFonts w:ascii="宋体" w:hAnsi="宋体" w:eastAsia="宋体"/>
      <w:color w:val="000000"/>
    </w:rPr>
  </w:style>
  <w:style w:type="paragraph" w:styleId="41">
    <w:name w:val="index 1"/>
    <w:basedOn w:val="1"/>
    <w:next w:val="1"/>
    <w:autoRedefine/>
    <w:qFormat/>
    <w:uiPriority w:val="0"/>
    <w:rPr>
      <w:rFonts w:ascii="Times New Roman" w:hAnsi="Times New Roman" w:eastAsia="仿宋_GB2312" w:cs="Times New Roman"/>
      <w:sz w:val="20"/>
      <w:szCs w:val="20"/>
    </w:rPr>
  </w:style>
  <w:style w:type="paragraph" w:styleId="42">
    <w:name w:val="Title"/>
    <w:basedOn w:val="1"/>
    <w:next w:val="1"/>
    <w:link w:val="68"/>
    <w:autoRedefine/>
    <w:qFormat/>
    <w:uiPriority w:val="0"/>
    <w:pPr>
      <w:widowControl/>
      <w:spacing w:before="240" w:after="60"/>
      <w:ind w:firstLine="643"/>
      <w:jc w:val="center"/>
      <w:outlineLvl w:val="0"/>
    </w:pPr>
    <w:rPr>
      <w:rFonts w:ascii="Cambria" w:hAnsi="Cambria" w:eastAsia="宋体" w:cs="Times New Roman"/>
      <w:b/>
      <w:bCs/>
      <w:sz w:val="32"/>
      <w:szCs w:val="32"/>
      <w:lang w:val="zh-CN"/>
    </w:rPr>
  </w:style>
  <w:style w:type="table" w:styleId="44">
    <w:name w:val="Table Grid"/>
    <w:basedOn w:val="43"/>
    <w:autoRedefine/>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6">
    <w:name w:val="Strong"/>
    <w:basedOn w:val="45"/>
    <w:autoRedefine/>
    <w:qFormat/>
    <w:uiPriority w:val="22"/>
    <w:rPr>
      <w:b/>
      <w:bCs/>
    </w:rPr>
  </w:style>
  <w:style w:type="character" w:styleId="47">
    <w:name w:val="page number"/>
    <w:basedOn w:val="45"/>
    <w:autoRedefine/>
    <w:qFormat/>
    <w:uiPriority w:val="0"/>
    <w:rPr>
      <w:rFonts w:ascii="宋体" w:hAnsi="宋体" w:eastAsia="宋体"/>
    </w:rPr>
  </w:style>
  <w:style w:type="character" w:styleId="48">
    <w:name w:val="FollowedHyperlink"/>
    <w:autoRedefine/>
    <w:qFormat/>
    <w:uiPriority w:val="0"/>
    <w:rPr>
      <w:color w:val="800080"/>
      <w:u w:val="single"/>
    </w:rPr>
  </w:style>
  <w:style w:type="character" w:styleId="49">
    <w:name w:val="Hyperlink"/>
    <w:autoRedefine/>
    <w:qFormat/>
    <w:uiPriority w:val="99"/>
    <w:rPr>
      <w:color w:val="0000FF"/>
      <w:u w:val="single"/>
    </w:rPr>
  </w:style>
  <w:style w:type="character" w:styleId="50">
    <w:name w:val="annotation reference"/>
    <w:autoRedefine/>
    <w:qFormat/>
    <w:uiPriority w:val="99"/>
    <w:rPr>
      <w:sz w:val="21"/>
      <w:szCs w:val="21"/>
    </w:rPr>
  </w:style>
  <w:style w:type="paragraph" w:customStyle="1" w:styleId="51">
    <w:name w:val="xl27"/>
    <w:basedOn w:val="1"/>
    <w:next w:val="1"/>
    <w:autoRedefine/>
    <w:qFormat/>
    <w:uiPriority w:val="0"/>
    <w:pPr>
      <w:widowControl/>
      <w:pBdr>
        <w:bottom w:val="single" w:color="auto" w:sz="12" w:space="0"/>
      </w:pBdr>
      <w:spacing w:before="100" w:after="100"/>
    </w:pPr>
    <w:rPr>
      <w:rFonts w:ascii="宋体" w:hAnsi="宋体"/>
      <w:kern w:val="0"/>
    </w:rPr>
  </w:style>
  <w:style w:type="paragraph" w:customStyle="1" w:styleId="52">
    <w:name w:val="样式 正文文本缩进 + 行距: 1.5 倍行距"/>
    <w:basedOn w:val="1"/>
    <w:autoRedefine/>
    <w:qFormat/>
    <w:uiPriority w:val="0"/>
    <w:pPr>
      <w:spacing w:after="120"/>
      <w:ind w:left="90" w:leftChars="32" w:firstLine="560"/>
    </w:pPr>
    <w:rPr>
      <w:rFonts w:cs="宋体"/>
    </w:rPr>
  </w:style>
  <w:style w:type="paragraph" w:customStyle="1" w:styleId="53">
    <w:name w:val="Default"/>
    <w:basedOn w:val="54"/>
    <w:next w:val="55"/>
    <w:autoRedefine/>
    <w:qFormat/>
    <w:uiPriority w:val="0"/>
    <w:pPr>
      <w:autoSpaceDE w:val="0"/>
      <w:autoSpaceDN w:val="0"/>
    </w:pPr>
    <w:rPr>
      <w:rFonts w:ascii="宋体" w:hAnsi="Times New Roman" w:eastAsia="宋体" w:cs="宋体"/>
      <w:color w:val="000000"/>
      <w:sz w:val="24"/>
      <w:szCs w:val="24"/>
    </w:rPr>
  </w:style>
  <w:style w:type="paragraph" w:customStyle="1" w:styleId="54">
    <w:name w:val="标题2"/>
    <w:basedOn w:val="3"/>
    <w:autoRedefine/>
    <w:qFormat/>
    <w:uiPriority w:val="0"/>
    <w:pPr>
      <w:spacing w:after="120" w:line="413" w:lineRule="auto"/>
    </w:pPr>
    <w:rPr>
      <w:b w:val="0"/>
      <w:bCs w:val="0"/>
      <w:szCs w:val="20"/>
    </w:rPr>
  </w:style>
  <w:style w:type="paragraph" w:customStyle="1" w:styleId="55">
    <w:name w:val="样式3"/>
    <w:basedOn w:val="1"/>
    <w:next w:val="56"/>
    <w:autoRedefine/>
    <w:qFormat/>
    <w:uiPriority w:val="0"/>
  </w:style>
  <w:style w:type="paragraph" w:customStyle="1" w:styleId="56">
    <w:name w:val="目录 53"/>
    <w:basedOn w:val="1"/>
    <w:next w:val="1"/>
    <w:autoRedefine/>
    <w:qFormat/>
    <w:uiPriority w:val="0"/>
    <w:pPr>
      <w:ind w:left="840"/>
    </w:pPr>
    <w:rPr>
      <w:rFonts w:cs="宋体"/>
      <w:color w:val="000000"/>
    </w:rPr>
  </w:style>
  <w:style w:type="character" w:customStyle="1" w:styleId="57">
    <w:name w:val="页眉 Char"/>
    <w:basedOn w:val="45"/>
    <w:link w:val="30"/>
    <w:autoRedefine/>
    <w:qFormat/>
    <w:uiPriority w:val="99"/>
    <w:rPr>
      <w:sz w:val="18"/>
      <w:szCs w:val="18"/>
    </w:rPr>
  </w:style>
  <w:style w:type="character" w:customStyle="1" w:styleId="58">
    <w:name w:val="页脚 Char"/>
    <w:basedOn w:val="45"/>
    <w:link w:val="29"/>
    <w:autoRedefine/>
    <w:qFormat/>
    <w:uiPriority w:val="99"/>
    <w:rPr>
      <w:sz w:val="18"/>
      <w:szCs w:val="18"/>
    </w:rPr>
  </w:style>
  <w:style w:type="character" w:customStyle="1" w:styleId="59">
    <w:name w:val="日期 Char"/>
    <w:basedOn w:val="45"/>
    <w:link w:val="27"/>
    <w:autoRedefine/>
    <w:semiHidden/>
    <w:qFormat/>
    <w:uiPriority w:val="99"/>
  </w:style>
  <w:style w:type="character" w:customStyle="1" w:styleId="60">
    <w:name w:val="标题 2 Char"/>
    <w:basedOn w:val="45"/>
    <w:link w:val="3"/>
    <w:autoRedefine/>
    <w:qFormat/>
    <w:uiPriority w:val="0"/>
    <w:rPr>
      <w:rFonts w:asciiTheme="majorHAnsi" w:hAnsiTheme="majorHAnsi" w:eastAsiaTheme="majorEastAsia" w:cstheme="majorBidi"/>
      <w:b/>
      <w:bCs/>
      <w:sz w:val="32"/>
      <w:szCs w:val="32"/>
    </w:rPr>
  </w:style>
  <w:style w:type="character" w:customStyle="1" w:styleId="61">
    <w:name w:val="标题 3 Char"/>
    <w:basedOn w:val="45"/>
    <w:link w:val="4"/>
    <w:autoRedefine/>
    <w:qFormat/>
    <w:uiPriority w:val="0"/>
    <w:rPr>
      <w:b/>
      <w:bCs/>
      <w:sz w:val="32"/>
      <w:szCs w:val="32"/>
    </w:rPr>
  </w:style>
  <w:style w:type="paragraph" w:customStyle="1" w:styleId="62">
    <w:name w:val="二级标题"/>
    <w:basedOn w:val="33"/>
    <w:autoRedefine/>
    <w:qFormat/>
    <w:uiPriority w:val="0"/>
    <w:pPr>
      <w:widowControl/>
      <w:ind w:firstLine="200"/>
    </w:pPr>
    <w:rPr>
      <w:rFonts w:ascii="Cambria" w:hAnsi="Cambria" w:cs="Times New Roman"/>
      <w:lang w:val="zh-CN"/>
    </w:rPr>
  </w:style>
  <w:style w:type="character" w:customStyle="1" w:styleId="63">
    <w:name w:val="副标题 Char"/>
    <w:basedOn w:val="45"/>
    <w:link w:val="33"/>
    <w:autoRedefine/>
    <w:qFormat/>
    <w:uiPriority w:val="11"/>
    <w:rPr>
      <w:rFonts w:eastAsia="宋体" w:asciiTheme="majorHAnsi" w:hAnsiTheme="majorHAnsi" w:cstheme="majorBidi"/>
      <w:b/>
      <w:bCs/>
      <w:kern w:val="28"/>
      <w:sz w:val="32"/>
      <w:szCs w:val="32"/>
    </w:rPr>
  </w:style>
  <w:style w:type="character" w:customStyle="1" w:styleId="64">
    <w:name w:val="标题 4 Char"/>
    <w:basedOn w:val="45"/>
    <w:link w:val="5"/>
    <w:autoRedefine/>
    <w:qFormat/>
    <w:uiPriority w:val="9"/>
    <w:rPr>
      <w:rFonts w:asciiTheme="majorHAnsi" w:hAnsiTheme="majorHAnsi" w:eastAsiaTheme="majorEastAsia" w:cstheme="majorBidi"/>
      <w:b/>
      <w:bCs/>
      <w:sz w:val="28"/>
      <w:szCs w:val="28"/>
    </w:rPr>
  </w:style>
  <w:style w:type="paragraph" w:customStyle="1" w:styleId="65">
    <w:name w:val="建议书正文"/>
    <w:basedOn w:val="1"/>
    <w:autoRedefine/>
    <w:qFormat/>
    <w:uiPriority w:val="0"/>
    <w:pPr>
      <w:ind w:firstLine="560"/>
    </w:pPr>
    <w:rPr>
      <w:rFonts w:ascii="宋体" w:hAnsi="宋体" w:eastAsia="宋体" w:cs="宋体"/>
      <w:sz w:val="28"/>
      <w:szCs w:val="20"/>
    </w:rPr>
  </w:style>
  <w:style w:type="paragraph" w:customStyle="1" w:styleId="66">
    <w:name w:val="列出段落1"/>
    <w:basedOn w:val="1"/>
    <w:autoRedefine/>
    <w:qFormat/>
    <w:uiPriority w:val="34"/>
    <w:rPr>
      <w:rFonts w:ascii="Calibri" w:hAnsi="Calibri" w:eastAsia="宋体" w:cs="Times New Roman"/>
    </w:rPr>
  </w:style>
  <w:style w:type="paragraph" w:customStyle="1" w:styleId="67">
    <w:name w:val="三级标题"/>
    <w:basedOn w:val="1"/>
    <w:autoRedefine/>
    <w:qFormat/>
    <w:uiPriority w:val="0"/>
    <w:pPr>
      <w:widowControl/>
      <w:ind w:firstLine="200"/>
      <w:outlineLvl w:val="2"/>
    </w:pPr>
    <w:rPr>
      <w:rFonts w:ascii="Times New Roman" w:hAnsi="Times New Roman" w:eastAsia="宋体" w:cs="宋体"/>
      <w:b/>
      <w:kern w:val="0"/>
    </w:rPr>
  </w:style>
  <w:style w:type="character" w:customStyle="1" w:styleId="68">
    <w:name w:val="标题 Char"/>
    <w:basedOn w:val="45"/>
    <w:link w:val="42"/>
    <w:autoRedefine/>
    <w:qFormat/>
    <w:uiPriority w:val="0"/>
    <w:rPr>
      <w:rFonts w:ascii="Cambria" w:hAnsi="Cambria"/>
      <w:b/>
      <w:bCs/>
      <w:kern w:val="2"/>
      <w:sz w:val="32"/>
      <w:szCs w:val="32"/>
      <w:lang w:val="zh-CN"/>
    </w:rPr>
  </w:style>
  <w:style w:type="character" w:customStyle="1" w:styleId="69">
    <w:name w:val="正文文本缩进 Char"/>
    <w:link w:val="18"/>
    <w:autoRedefine/>
    <w:qFormat/>
    <w:uiPriority w:val="0"/>
    <w:rPr>
      <w:rFonts w:eastAsia="楷体_GB2312" w:cs="宋体"/>
      <w:color w:val="000000"/>
      <w:sz w:val="24"/>
      <w:szCs w:val="24"/>
    </w:rPr>
  </w:style>
  <w:style w:type="character" w:customStyle="1" w:styleId="70">
    <w:name w:val="正文文本缩进 Char1"/>
    <w:basedOn w:val="45"/>
    <w:autoRedefine/>
    <w:semiHidden/>
    <w:qFormat/>
    <w:uiPriority w:val="99"/>
  </w:style>
  <w:style w:type="paragraph" w:customStyle="1" w:styleId="71">
    <w:name w:val="表格文字2"/>
    <w:basedOn w:val="1"/>
    <w:autoRedefine/>
    <w:qFormat/>
    <w:uiPriority w:val="0"/>
    <w:pPr>
      <w:tabs>
        <w:tab w:val="left" w:pos="277"/>
        <w:tab w:val="left" w:pos="600"/>
        <w:tab w:val="left" w:pos="780"/>
        <w:tab w:val="left" w:pos="2517"/>
      </w:tabs>
      <w:spacing w:before="60"/>
      <w:textAlignment w:val="baseline"/>
    </w:pPr>
    <w:rPr>
      <w:rFonts w:ascii="Times New Roman" w:hAnsi="Times New Roman" w:eastAsia="宋体" w:cs="Times New Roman"/>
      <w:kern w:val="0"/>
      <w:szCs w:val="21"/>
    </w:rPr>
  </w:style>
  <w:style w:type="character" w:customStyle="1" w:styleId="72">
    <w:name w:val="纯文本 Char"/>
    <w:link w:val="25"/>
    <w:autoRedefine/>
    <w:qFormat/>
    <w:uiPriority w:val="0"/>
    <w:rPr>
      <w:rFonts w:ascii="宋体" w:hAnsi="Courier New" w:eastAsia="宋体"/>
    </w:rPr>
  </w:style>
  <w:style w:type="paragraph" w:customStyle="1" w:styleId="73">
    <w:name w:val="表后正文"/>
    <w:basedOn w:val="19"/>
    <w:autoRedefine/>
    <w:qFormat/>
    <w:uiPriority w:val="0"/>
    <w:pPr>
      <w:spacing w:beforeLines="50" w:after="0" w:line="480" w:lineRule="exact"/>
      <w:ind w:left="0" w:leftChars="0" w:firstLine="480"/>
    </w:pPr>
    <w:rPr>
      <w:rFonts w:ascii="Times New Roman" w:hAnsi="Times New Roman" w:eastAsia="楷体_GB2312" w:cs="Times New Roman"/>
      <w:szCs w:val="28"/>
    </w:rPr>
  </w:style>
  <w:style w:type="character" w:customStyle="1" w:styleId="74">
    <w:name w:val="纯文本 Char1"/>
    <w:basedOn w:val="45"/>
    <w:autoRedefine/>
    <w:qFormat/>
    <w:uiPriority w:val="0"/>
    <w:rPr>
      <w:rFonts w:ascii="宋体" w:hAnsi="Courier New" w:eastAsia="宋体" w:cs="Courier New"/>
      <w:szCs w:val="21"/>
    </w:rPr>
  </w:style>
  <w:style w:type="character" w:customStyle="1" w:styleId="75">
    <w:name w:val="正文文本缩进 2 Char"/>
    <w:basedOn w:val="45"/>
    <w:link w:val="19"/>
    <w:autoRedefine/>
    <w:semiHidden/>
    <w:qFormat/>
    <w:uiPriority w:val="99"/>
  </w:style>
  <w:style w:type="character" w:customStyle="1" w:styleId="76">
    <w:name w:val="表格标题 Char Char"/>
    <w:basedOn w:val="45"/>
    <w:link w:val="77"/>
    <w:autoRedefine/>
    <w:qFormat/>
    <w:uiPriority w:val="0"/>
    <w:rPr>
      <w:b/>
      <w:sz w:val="24"/>
      <w:szCs w:val="24"/>
    </w:rPr>
  </w:style>
  <w:style w:type="paragraph" w:customStyle="1" w:styleId="77">
    <w:name w:val="表格标题"/>
    <w:basedOn w:val="1"/>
    <w:next w:val="78"/>
    <w:link w:val="76"/>
    <w:autoRedefine/>
    <w:qFormat/>
    <w:uiPriority w:val="0"/>
    <w:pPr>
      <w:wordWrap w:val="0"/>
      <w:spacing w:line="500" w:lineRule="exact"/>
    </w:pPr>
    <w:rPr>
      <w:b/>
    </w:rPr>
  </w:style>
  <w:style w:type="paragraph" w:customStyle="1" w:styleId="78">
    <w:name w:val="表格内容"/>
    <w:basedOn w:val="77"/>
    <w:next w:val="1"/>
    <w:link w:val="118"/>
    <w:autoRedefine/>
    <w:qFormat/>
    <w:uiPriority w:val="0"/>
    <w:pPr>
      <w:wordWrap/>
      <w:spacing w:line="240" w:lineRule="atLeast"/>
    </w:pPr>
    <w:rPr>
      <w:rFonts w:ascii="Times New Roman" w:hAnsi="Times New Roman" w:eastAsia="宋体"/>
      <w:b w:val="0"/>
      <w:sz w:val="21"/>
      <w:szCs w:val="22"/>
    </w:rPr>
  </w:style>
  <w:style w:type="character" w:customStyle="1" w:styleId="79">
    <w:name w:val="标题 1 Char"/>
    <w:basedOn w:val="45"/>
    <w:link w:val="2"/>
    <w:autoRedefine/>
    <w:qFormat/>
    <w:uiPriority w:val="0"/>
    <w:rPr>
      <w:rFonts w:ascii="Times New Roman" w:hAnsi="Times New Roman" w:eastAsia="仿宋_GB2312" w:cs="Times New Roman"/>
      <w:b/>
      <w:bCs/>
      <w:kern w:val="44"/>
      <w:sz w:val="44"/>
      <w:szCs w:val="44"/>
    </w:rPr>
  </w:style>
  <w:style w:type="character" w:customStyle="1" w:styleId="80">
    <w:name w:val="标题 5 Char"/>
    <w:basedOn w:val="45"/>
    <w:link w:val="7"/>
    <w:autoRedefine/>
    <w:qFormat/>
    <w:uiPriority w:val="0"/>
    <w:rPr>
      <w:rFonts w:ascii="Times New Roman" w:hAnsi="Times New Roman" w:eastAsia="宋体" w:cs="Times New Roman"/>
      <w:b/>
      <w:kern w:val="0"/>
      <w:sz w:val="28"/>
      <w:szCs w:val="20"/>
    </w:rPr>
  </w:style>
  <w:style w:type="character" w:customStyle="1" w:styleId="81">
    <w:name w:val="标题 6 Char"/>
    <w:basedOn w:val="45"/>
    <w:link w:val="8"/>
    <w:autoRedefine/>
    <w:qFormat/>
    <w:uiPriority w:val="0"/>
    <w:rPr>
      <w:rFonts w:ascii="Arial" w:hAnsi="Arial" w:eastAsia="黑体" w:cs="Times New Roman"/>
      <w:b/>
      <w:kern w:val="0"/>
      <w:sz w:val="24"/>
      <w:szCs w:val="20"/>
    </w:rPr>
  </w:style>
  <w:style w:type="character" w:customStyle="1" w:styleId="82">
    <w:name w:val="标题 7 Char"/>
    <w:basedOn w:val="45"/>
    <w:link w:val="9"/>
    <w:autoRedefine/>
    <w:qFormat/>
    <w:uiPriority w:val="0"/>
    <w:rPr>
      <w:rFonts w:ascii="Times New Roman" w:hAnsi="Times New Roman" w:eastAsia="宋体" w:cs="Times New Roman"/>
      <w:b/>
      <w:kern w:val="0"/>
      <w:sz w:val="24"/>
      <w:szCs w:val="20"/>
    </w:rPr>
  </w:style>
  <w:style w:type="character" w:customStyle="1" w:styleId="83">
    <w:name w:val="标题 8 Char"/>
    <w:basedOn w:val="45"/>
    <w:link w:val="10"/>
    <w:autoRedefine/>
    <w:qFormat/>
    <w:uiPriority w:val="0"/>
    <w:rPr>
      <w:rFonts w:ascii="Arial" w:hAnsi="Arial" w:eastAsia="黑体" w:cs="Times New Roman"/>
      <w:kern w:val="0"/>
      <w:sz w:val="24"/>
      <w:szCs w:val="20"/>
    </w:rPr>
  </w:style>
  <w:style w:type="character" w:customStyle="1" w:styleId="84">
    <w:name w:val="标题 9 Char"/>
    <w:basedOn w:val="45"/>
    <w:link w:val="11"/>
    <w:autoRedefine/>
    <w:qFormat/>
    <w:uiPriority w:val="0"/>
    <w:rPr>
      <w:rFonts w:ascii="Arial" w:hAnsi="Arial" w:eastAsia="黑体" w:cs="Times New Roman"/>
      <w:kern w:val="0"/>
      <w:sz w:val="28"/>
      <w:szCs w:val="20"/>
    </w:rPr>
  </w:style>
  <w:style w:type="character" w:customStyle="1" w:styleId="85">
    <w:name w:val="表格 Char"/>
    <w:link w:val="86"/>
    <w:autoRedefine/>
    <w:qFormat/>
    <w:uiPriority w:val="0"/>
  </w:style>
  <w:style w:type="paragraph" w:customStyle="1" w:styleId="86">
    <w:name w:val="表格"/>
    <w:basedOn w:val="1"/>
    <w:link w:val="85"/>
    <w:autoRedefine/>
    <w:qFormat/>
    <w:uiPriority w:val="0"/>
    <w:pPr>
      <w:keepNext/>
      <w:spacing w:line="312" w:lineRule="atLeast"/>
      <w:textAlignment w:val="baseline"/>
    </w:pPr>
  </w:style>
  <w:style w:type="character" w:customStyle="1" w:styleId="87">
    <w:name w:val="ca-2"/>
    <w:basedOn w:val="45"/>
    <w:autoRedefine/>
    <w:qFormat/>
    <w:uiPriority w:val="0"/>
  </w:style>
  <w:style w:type="character" w:customStyle="1" w:styleId="88">
    <w:name w:val="普通(网站) Char"/>
    <w:link w:val="40"/>
    <w:autoRedefine/>
    <w:qFormat/>
    <w:uiPriority w:val="0"/>
    <w:rPr>
      <w:rFonts w:ascii="宋体" w:hAnsi="宋体" w:eastAsia="宋体"/>
      <w:color w:val="000000"/>
      <w:sz w:val="24"/>
    </w:rPr>
  </w:style>
  <w:style w:type="character" w:customStyle="1" w:styleId="89">
    <w:name w:val="apple-style-span"/>
    <w:basedOn w:val="45"/>
    <w:autoRedefine/>
    <w:qFormat/>
    <w:uiPriority w:val="0"/>
  </w:style>
  <w:style w:type="paragraph" w:customStyle="1" w:styleId="90">
    <w:name w:val="样式1"/>
    <w:autoRedefine/>
    <w:qFormat/>
    <w:uiPriority w:val="0"/>
    <w:pPr>
      <w:suppressAutoHyphens/>
      <w:spacing w:line="520" w:lineRule="atLeast"/>
      <w:ind w:firstLine="200" w:firstLineChars="200"/>
      <w:jc w:val="both"/>
    </w:pPr>
    <w:rPr>
      <w:rFonts w:ascii="Times New Roman" w:hAnsi="Times New Roman" w:eastAsia="宋体" w:cs="Times New Roman"/>
      <w:spacing w:val="18"/>
      <w:sz w:val="32"/>
      <w:lang w:val="en-US" w:eastAsia="zh-CN" w:bidi="ar-SA"/>
    </w:rPr>
  </w:style>
  <w:style w:type="paragraph" w:customStyle="1" w:styleId="91">
    <w:name w:val="Char"/>
    <w:basedOn w:val="1"/>
    <w:autoRedefine/>
    <w:qFormat/>
    <w:uiPriority w:val="0"/>
    <w:rPr>
      <w:rFonts w:ascii="Times New Roman" w:hAnsi="Times New Roman" w:eastAsia="宋体" w:cs="Times New Roman"/>
    </w:rPr>
  </w:style>
  <w:style w:type="character" w:customStyle="1" w:styleId="92">
    <w:name w:val="正文文本 3 Char"/>
    <w:basedOn w:val="45"/>
    <w:link w:val="16"/>
    <w:autoRedefine/>
    <w:qFormat/>
    <w:uiPriority w:val="0"/>
    <w:rPr>
      <w:rFonts w:ascii="Times New Roman" w:hAnsi="Times New Roman" w:eastAsia="宋体" w:cs="Times New Roman"/>
      <w:szCs w:val="20"/>
    </w:rPr>
  </w:style>
  <w:style w:type="character" w:customStyle="1" w:styleId="93">
    <w:name w:val="文档结构图 Char"/>
    <w:basedOn w:val="45"/>
    <w:link w:val="15"/>
    <w:autoRedefine/>
    <w:qFormat/>
    <w:uiPriority w:val="0"/>
    <w:rPr>
      <w:rFonts w:ascii="Times New Roman" w:hAnsi="Times New Roman" w:eastAsia="仿宋_GB2312" w:cs="Times New Roman"/>
      <w:sz w:val="28"/>
      <w:szCs w:val="20"/>
      <w:shd w:val="clear" w:color="auto" w:fill="000080"/>
    </w:rPr>
  </w:style>
  <w:style w:type="character" w:customStyle="1" w:styleId="94">
    <w:name w:val="正文文本 Char"/>
    <w:basedOn w:val="45"/>
    <w:link w:val="17"/>
    <w:autoRedefine/>
    <w:qFormat/>
    <w:uiPriority w:val="0"/>
    <w:rPr>
      <w:rFonts w:ascii="Times New Roman" w:hAnsi="Times New Roman" w:eastAsia="仿宋_GB2312" w:cs="Times New Roman"/>
      <w:sz w:val="28"/>
      <w:szCs w:val="20"/>
    </w:rPr>
  </w:style>
  <w:style w:type="paragraph" w:customStyle="1" w:styleId="95">
    <w:name w:val="1"/>
    <w:basedOn w:val="1"/>
    <w:next w:val="25"/>
    <w:autoRedefine/>
    <w:qFormat/>
    <w:uiPriority w:val="0"/>
    <w:rPr>
      <w:rFonts w:hint="eastAsia" w:ascii="宋体" w:hAnsi="Courier New" w:eastAsia="宋体" w:cs="Courier New"/>
      <w:szCs w:val="21"/>
    </w:rPr>
  </w:style>
  <w:style w:type="character" w:customStyle="1" w:styleId="96">
    <w:name w:val="正文文本缩进 3 Char"/>
    <w:basedOn w:val="45"/>
    <w:link w:val="36"/>
    <w:autoRedefine/>
    <w:qFormat/>
    <w:uiPriority w:val="0"/>
    <w:rPr>
      <w:rFonts w:ascii="宋体" w:hAnsi="Times New Roman" w:eastAsia="宋体" w:cs="Times New Roman"/>
      <w:sz w:val="28"/>
      <w:szCs w:val="20"/>
    </w:rPr>
  </w:style>
  <w:style w:type="character" w:customStyle="1" w:styleId="97">
    <w:name w:val="正文文本 2 Char"/>
    <w:basedOn w:val="45"/>
    <w:link w:val="39"/>
    <w:autoRedefine/>
    <w:qFormat/>
    <w:uiPriority w:val="0"/>
    <w:rPr>
      <w:rFonts w:ascii="Times New Roman" w:hAnsi="Times New Roman" w:eastAsia="仿宋_GB2312" w:cs="Times New Roman"/>
      <w:sz w:val="24"/>
      <w:szCs w:val="20"/>
    </w:rPr>
  </w:style>
  <w:style w:type="paragraph" w:customStyle="1" w:styleId="98">
    <w:name w:val="GB-条文"/>
    <w:autoRedefine/>
    <w:qFormat/>
    <w:uiPriority w:val="0"/>
    <w:pPr>
      <w:widowControl w:val="0"/>
      <w:adjustRightInd w:val="0"/>
      <w:snapToGrid w:val="0"/>
      <w:spacing w:line="360" w:lineRule="auto"/>
      <w:ind w:firstLine="420" w:firstLineChars="200"/>
      <w:jc w:val="both"/>
    </w:pPr>
    <w:rPr>
      <w:rFonts w:ascii="宋体" w:hAnsi="宋体" w:eastAsia="宋体" w:cs="Times New Roman"/>
      <w:sz w:val="21"/>
      <w:lang w:val="en-US" w:eastAsia="zh-CN" w:bidi="ar-SA"/>
    </w:rPr>
  </w:style>
  <w:style w:type="paragraph" w:customStyle="1" w:styleId="99">
    <w:name w:val="样式"/>
    <w:basedOn w:val="1"/>
    <w:next w:val="25"/>
    <w:autoRedefine/>
    <w:qFormat/>
    <w:uiPriority w:val="0"/>
    <w:rPr>
      <w:rFonts w:ascii="宋体" w:hAnsi="Courier New" w:eastAsia="仿宋_GB2312" w:cs="Times New Roman"/>
      <w:szCs w:val="20"/>
    </w:rPr>
  </w:style>
  <w:style w:type="paragraph" w:customStyle="1" w:styleId="100">
    <w:name w:val="插图标题"/>
    <w:basedOn w:val="1"/>
    <w:autoRedefine/>
    <w:qFormat/>
    <w:uiPriority w:val="0"/>
    <w:pPr>
      <w:spacing w:line="480" w:lineRule="exact"/>
    </w:pPr>
    <w:rPr>
      <w:rFonts w:ascii="Times New Roman" w:hAnsi="Times New Roman" w:eastAsia="黑体" w:cs="Times New Roman"/>
      <w:b/>
      <w:snapToGrid w:val="0"/>
      <w:kern w:val="0"/>
      <w:sz w:val="28"/>
    </w:rPr>
  </w:style>
  <w:style w:type="paragraph" w:customStyle="1" w:styleId="101">
    <w:name w:val="正文2"/>
    <w:basedOn w:val="1"/>
    <w:autoRedefine/>
    <w:qFormat/>
    <w:uiPriority w:val="0"/>
    <w:pPr>
      <w:spacing w:line="500" w:lineRule="exact"/>
      <w:ind w:firstLine="560"/>
    </w:pPr>
    <w:rPr>
      <w:rFonts w:ascii="楷体_GB2312" w:hAnsi="Times New Roman" w:eastAsia="楷体_GB2312" w:cs="宋体"/>
      <w:sz w:val="28"/>
      <w:szCs w:val="20"/>
    </w:rPr>
  </w:style>
  <w:style w:type="paragraph" w:customStyle="1" w:styleId="102">
    <w:name w:val="p0"/>
    <w:basedOn w:val="1"/>
    <w:autoRedefine/>
    <w:qFormat/>
    <w:uiPriority w:val="0"/>
    <w:rPr>
      <w:rFonts w:ascii="Times New Roman" w:hAnsi="Times New Roman" w:eastAsia="仿宋_GB2312" w:cs="Times New Roman"/>
      <w:kern w:val="0"/>
      <w:szCs w:val="21"/>
    </w:rPr>
  </w:style>
  <w:style w:type="paragraph" w:customStyle="1" w:styleId="103">
    <w:name w:val="字元 字元"/>
    <w:basedOn w:val="1"/>
    <w:autoRedefine/>
    <w:qFormat/>
    <w:uiPriority w:val="0"/>
    <w:rPr>
      <w:rFonts w:ascii="Times New Roman" w:hAnsi="Times New Roman" w:eastAsia="宋体" w:cs="Times New Roman"/>
    </w:rPr>
  </w:style>
  <w:style w:type="paragraph" w:customStyle="1" w:styleId="104">
    <w:name w:val="正文1"/>
    <w:basedOn w:val="1"/>
    <w:autoRedefine/>
    <w:qFormat/>
    <w:uiPriority w:val="0"/>
    <w:rPr>
      <w:rFonts w:ascii="仿宋_GB2312" w:hAnsi="Times New Roman" w:eastAsia="仿宋_GB2312" w:cs="Times New Roman"/>
      <w:szCs w:val="20"/>
    </w:rPr>
  </w:style>
  <w:style w:type="paragraph" w:customStyle="1" w:styleId="105">
    <w:name w:val="表内容"/>
    <w:basedOn w:val="1"/>
    <w:autoRedefine/>
    <w:qFormat/>
    <w:uiPriority w:val="0"/>
    <w:rPr>
      <w:rFonts w:ascii="Times New Roman" w:hAnsi="Times New Roman" w:eastAsia="仿宋_GB2312" w:cs="Times New Roman"/>
      <w:snapToGrid w:val="0"/>
      <w:kern w:val="0"/>
      <w:sz w:val="28"/>
      <w:szCs w:val="21"/>
    </w:rPr>
  </w:style>
  <w:style w:type="paragraph" w:customStyle="1" w:styleId="106">
    <w:name w:val="表格式"/>
    <w:basedOn w:val="34"/>
    <w:autoRedefine/>
    <w:qFormat/>
    <w:uiPriority w:val="0"/>
    <w:pPr>
      <w:spacing w:line="400" w:lineRule="exact"/>
      <w:ind w:left="0" w:firstLine="0" w:firstLineChars="0"/>
    </w:pPr>
    <w:rPr>
      <w:rFonts w:ascii="宋体" w:eastAsia="宋体"/>
      <w:sz w:val="21"/>
    </w:rPr>
  </w:style>
  <w:style w:type="paragraph" w:customStyle="1" w:styleId="107">
    <w:name w:val="xl50"/>
    <w:basedOn w:val="1"/>
    <w:autoRedefine/>
    <w:qFormat/>
    <w:uiPriority w:val="0"/>
    <w:pPr>
      <w:widowControl/>
      <w:pBdr>
        <w:left w:val="single" w:color="auto" w:sz="4" w:space="0"/>
        <w:right w:val="single" w:color="auto" w:sz="4" w:space="0"/>
      </w:pBdr>
      <w:spacing w:before="100" w:after="100"/>
      <w:textAlignment w:val="center"/>
    </w:pPr>
    <w:rPr>
      <w:rFonts w:ascii="宋体" w:hAnsi="宋体" w:eastAsia="宋体" w:cs="Times New Roman"/>
      <w:kern w:val="0"/>
      <w:szCs w:val="20"/>
    </w:rPr>
  </w:style>
  <w:style w:type="paragraph" w:customStyle="1" w:styleId="108">
    <w:name w:val="1正文段落"/>
    <w:basedOn w:val="1"/>
    <w:autoRedefine/>
    <w:qFormat/>
    <w:uiPriority w:val="0"/>
    <w:pPr>
      <w:ind w:firstLine="480"/>
    </w:pPr>
    <w:rPr>
      <w:rFonts w:ascii="Times New Roman" w:hAnsi="Times New Roman" w:eastAsia="宋体" w:cs="Times New Roman"/>
      <w:snapToGrid w:val="0"/>
      <w:kern w:val="0"/>
    </w:rPr>
  </w:style>
  <w:style w:type="paragraph" w:customStyle="1" w:styleId="109">
    <w:name w:val="TOC 标题1"/>
    <w:basedOn w:val="2"/>
    <w:next w:val="1"/>
    <w:autoRedefine/>
    <w:unhideWhenUsed/>
    <w:qFormat/>
    <w:uiPriority w:val="39"/>
    <w:pPr>
      <w:widowControl/>
      <w:spacing w:before="240" w:after="0" w:line="259" w:lineRule="auto"/>
      <w:outlineLvl w:val="9"/>
    </w:pPr>
    <w:rPr>
      <w:rFonts w:asciiTheme="majorHAnsi" w:hAnsiTheme="majorHAnsi" w:eastAsiaTheme="majorEastAsia" w:cstheme="majorBidi"/>
      <w:b w:val="0"/>
      <w:bCs w:val="0"/>
      <w:color w:val="2E75B5" w:themeColor="accent1" w:themeShade="BF"/>
      <w:kern w:val="0"/>
      <w:sz w:val="32"/>
      <w:szCs w:val="32"/>
    </w:rPr>
  </w:style>
  <w:style w:type="paragraph" w:styleId="110">
    <w:name w:val="List Paragraph"/>
    <w:basedOn w:val="1"/>
    <w:autoRedefine/>
    <w:qFormat/>
    <w:uiPriority w:val="34"/>
  </w:style>
  <w:style w:type="paragraph" w:customStyle="1" w:styleId="111">
    <w:name w:val="表格文字"/>
    <w:basedOn w:val="1"/>
    <w:link w:val="112"/>
    <w:autoRedefine/>
    <w:qFormat/>
    <w:uiPriority w:val="0"/>
    <w:rPr>
      <w:rFonts w:ascii="宋体" w:hAnsi="宋体" w:eastAsia="宋体" w:cs="Times New Roman"/>
    </w:rPr>
  </w:style>
  <w:style w:type="character" w:customStyle="1" w:styleId="112">
    <w:name w:val="表格文字 Char1"/>
    <w:link w:val="111"/>
    <w:autoRedefine/>
    <w:qFormat/>
    <w:uiPriority w:val="0"/>
    <w:rPr>
      <w:rFonts w:ascii="宋体" w:hAnsi="宋体" w:eastAsia="宋体" w:cs="Times New Roman"/>
      <w:szCs w:val="24"/>
    </w:rPr>
  </w:style>
  <w:style w:type="character" w:customStyle="1" w:styleId="113">
    <w:name w:val="小标题"/>
    <w:autoRedefine/>
    <w:qFormat/>
    <w:uiPriority w:val="0"/>
    <w:rPr>
      <w:rFonts w:ascii="仿宋_GB2312" w:hAnsi="仿宋_GB2312" w:eastAsia="仿宋_GB2312"/>
      <w:sz w:val="24"/>
    </w:rPr>
  </w:style>
  <w:style w:type="paragraph" w:customStyle="1" w:styleId="114">
    <w:name w:val="表格内容自定"/>
    <w:basedOn w:val="1"/>
    <w:autoRedefine/>
    <w:qFormat/>
    <w:uiPriority w:val="0"/>
    <w:pPr>
      <w:spacing w:line="280" w:lineRule="exact"/>
    </w:pPr>
    <w:rPr>
      <w:rFonts w:ascii="Times New Roman" w:hAnsi="Times New Roman" w:eastAsia="宋体" w:cs="Times New Roman"/>
      <w:kern w:val="0"/>
      <w:sz w:val="18"/>
      <w:szCs w:val="21"/>
    </w:rPr>
  </w:style>
  <w:style w:type="character" w:customStyle="1" w:styleId="115">
    <w:name w:val="fontstyle01"/>
    <w:basedOn w:val="45"/>
    <w:autoRedefine/>
    <w:qFormat/>
    <w:uiPriority w:val="0"/>
    <w:rPr>
      <w:rFonts w:hint="eastAsia" w:ascii="宋体" w:hAnsi="宋体" w:eastAsia="宋体"/>
      <w:color w:val="000000"/>
      <w:sz w:val="28"/>
      <w:szCs w:val="28"/>
    </w:rPr>
  </w:style>
  <w:style w:type="character" w:customStyle="1" w:styleId="116">
    <w:name w:val="fontstyle21"/>
    <w:basedOn w:val="45"/>
    <w:autoRedefine/>
    <w:qFormat/>
    <w:uiPriority w:val="0"/>
    <w:rPr>
      <w:rFonts w:hint="default" w:ascii="Calibri" w:hAnsi="Calibri"/>
      <w:color w:val="000000"/>
      <w:sz w:val="28"/>
      <w:szCs w:val="28"/>
    </w:rPr>
  </w:style>
  <w:style w:type="character" w:customStyle="1" w:styleId="117">
    <w:name w:val="fontstyle11"/>
    <w:basedOn w:val="45"/>
    <w:autoRedefine/>
    <w:qFormat/>
    <w:uiPriority w:val="0"/>
    <w:rPr>
      <w:rFonts w:hint="eastAsia" w:ascii="宋体" w:hAnsi="宋体" w:eastAsia="宋体"/>
      <w:color w:val="000000"/>
      <w:sz w:val="28"/>
      <w:szCs w:val="28"/>
    </w:rPr>
  </w:style>
  <w:style w:type="character" w:customStyle="1" w:styleId="118">
    <w:name w:val="表格内容 Char"/>
    <w:link w:val="78"/>
    <w:autoRedefine/>
    <w:qFormat/>
    <w:uiPriority w:val="0"/>
    <w:rPr>
      <w:rFonts w:ascii="Times New Roman" w:hAnsi="Times New Roman" w:eastAsia="宋体"/>
    </w:rPr>
  </w:style>
  <w:style w:type="character" w:customStyle="1" w:styleId="119">
    <w:name w:val="表格标题 Char"/>
    <w:autoRedefine/>
    <w:qFormat/>
    <w:uiPriority w:val="0"/>
    <w:rPr>
      <w:rFonts w:eastAsia="宋体"/>
      <w:b/>
      <w:sz w:val="21"/>
    </w:rPr>
  </w:style>
  <w:style w:type="paragraph" w:customStyle="1" w:styleId="120">
    <w:name w:val="本文正文"/>
    <w:basedOn w:val="1"/>
    <w:autoRedefine/>
    <w:qFormat/>
    <w:uiPriority w:val="0"/>
    <w:pPr>
      <w:widowControl/>
      <w:autoSpaceDE w:val="0"/>
      <w:autoSpaceDN w:val="0"/>
      <w:spacing w:line="300" w:lineRule="auto"/>
      <w:ind w:firstLine="560"/>
      <w:textAlignment w:val="baseline"/>
    </w:pPr>
    <w:rPr>
      <w:rFonts w:ascii="Times New Roman" w:hAnsi="Times New Roman" w:eastAsia="宋体" w:cs="宋体"/>
      <w:kern w:val="0"/>
      <w:sz w:val="28"/>
      <w:szCs w:val="20"/>
    </w:rPr>
  </w:style>
  <w:style w:type="character" w:customStyle="1" w:styleId="121">
    <w:name w:val="font61"/>
    <w:basedOn w:val="45"/>
    <w:autoRedefine/>
    <w:qFormat/>
    <w:uiPriority w:val="0"/>
    <w:rPr>
      <w:rFonts w:hint="eastAsia" w:ascii="宋体" w:hAnsi="宋体" w:eastAsia="宋体" w:cs="宋体"/>
      <w:color w:val="auto"/>
      <w:sz w:val="21"/>
      <w:szCs w:val="21"/>
      <w:u w:val="none"/>
    </w:rPr>
  </w:style>
  <w:style w:type="character" w:customStyle="1" w:styleId="122">
    <w:name w:val="批注框文本 Char"/>
    <w:basedOn w:val="45"/>
    <w:link w:val="28"/>
    <w:autoRedefine/>
    <w:semiHidden/>
    <w:qFormat/>
    <w:uiPriority w:val="99"/>
    <w:rPr>
      <w:sz w:val="18"/>
      <w:szCs w:val="18"/>
    </w:rPr>
  </w:style>
  <w:style w:type="paragraph" w:customStyle="1" w:styleId="123">
    <w:name w:val="表格内部—常用"/>
    <w:basedOn w:val="1"/>
    <w:next w:val="1"/>
    <w:autoRedefine/>
    <w:qFormat/>
    <w:uiPriority w:val="99"/>
    <w:rPr>
      <w:sz w:val="21"/>
      <w:szCs w:val="21"/>
    </w:rPr>
  </w:style>
  <w:style w:type="paragraph" w:customStyle="1" w:styleId="124">
    <w:name w:val="正文文本－5号字"/>
    <w:basedOn w:val="17"/>
    <w:autoRedefine/>
    <w:qFormat/>
    <w:uiPriority w:val="0"/>
    <w:pPr>
      <w:spacing w:line="480" w:lineRule="exact"/>
      <w:ind w:firstLine="480"/>
    </w:pPr>
    <w:rPr>
      <w:rFonts w:eastAsia="宋体"/>
      <w:sz w:val="24"/>
      <w:szCs w:val="24"/>
    </w:rPr>
  </w:style>
  <w:style w:type="paragraph" w:customStyle="1" w:styleId="125">
    <w:name w:val="样式 小四"/>
    <w:basedOn w:val="1"/>
    <w:autoRedefine/>
    <w:qFormat/>
    <w:uiPriority w:val="0"/>
    <w:pPr>
      <w:spacing w:beforeLines="50" w:line="300" w:lineRule="auto"/>
      <w:ind w:firstLine="200"/>
    </w:pPr>
    <w:rPr>
      <w:rFonts w:eastAsia="宋体" w:cs="宋体"/>
    </w:rPr>
  </w:style>
  <w:style w:type="character" w:customStyle="1" w:styleId="126">
    <w:name w:val="font01"/>
    <w:autoRedefine/>
    <w:qFormat/>
    <w:uiPriority w:val="0"/>
    <w:rPr>
      <w:rFonts w:hint="eastAsia" w:ascii="宋体" w:hAnsi="宋体" w:eastAsia="宋体" w:cs="宋体"/>
      <w:color w:val="000000"/>
      <w:sz w:val="20"/>
      <w:szCs w:val="20"/>
      <w:u w:val="none"/>
    </w:rPr>
  </w:style>
  <w:style w:type="paragraph" w:customStyle="1" w:styleId="127">
    <w:name w:val="正文 首行缩进:  2 字符"/>
    <w:basedOn w:val="1"/>
    <w:autoRedefine/>
    <w:qFormat/>
    <w:uiPriority w:val="0"/>
    <w:pPr>
      <w:ind w:firstLine="579"/>
    </w:pPr>
    <w:rPr>
      <w:rFonts w:cs="宋体"/>
      <w:sz w:val="21"/>
      <w:szCs w:val="20"/>
    </w:rPr>
  </w:style>
  <w:style w:type="paragraph" w:customStyle="1" w:styleId="128">
    <w:name w:val="Normal_144"/>
    <w:autoRedefine/>
    <w:qFormat/>
    <w:uiPriority w:val="0"/>
    <w:pPr>
      <w:spacing w:before="120" w:after="240"/>
      <w:jc w:val="both"/>
    </w:pPr>
    <w:rPr>
      <w:rFonts w:ascii="Times New Roman" w:hAnsi="Times New Roman" w:eastAsia="Calibri" w:cs="Times New Roman"/>
      <w:sz w:val="22"/>
      <w:szCs w:val="22"/>
      <w:lang w:val="ru-RU" w:eastAsia="en-US" w:bidi="ar-SA"/>
    </w:rPr>
  </w:style>
  <w:style w:type="paragraph" w:customStyle="1" w:styleId="129">
    <w:name w:val="1表头"/>
    <w:basedOn w:val="1"/>
    <w:autoRedefine/>
    <w:qFormat/>
    <w:uiPriority w:val="0"/>
    <w:pPr>
      <w:ind w:firstLine="480"/>
    </w:pPr>
    <w:rPr>
      <w:rFonts w:hAnsi="宋体" w:eastAsia="黑体"/>
    </w:rPr>
  </w:style>
  <w:style w:type="paragraph" w:customStyle="1" w:styleId="130">
    <w:name w:val="正本文字"/>
    <w:basedOn w:val="1"/>
    <w:autoRedefine/>
    <w:qFormat/>
    <w:uiPriority w:val="0"/>
    <w:pPr>
      <w:ind w:firstLine="480"/>
    </w:pPr>
    <w:rPr>
      <w:rFonts w:ascii="宋体" w:hAnsi="宋体"/>
      <w:kern w:val="18"/>
    </w:rPr>
  </w:style>
  <w:style w:type="paragraph" w:customStyle="1" w:styleId="131">
    <w:name w:val="表格正文"/>
    <w:basedOn w:val="1"/>
    <w:next w:val="1"/>
    <w:autoRedefine/>
    <w:qFormat/>
    <w:uiPriority w:val="0"/>
    <w:pPr>
      <w:widowControl/>
      <w:autoSpaceDE/>
      <w:autoSpaceDN/>
      <w:adjustRightInd w:val="0"/>
      <w:spacing w:line="460" w:lineRule="exact"/>
      <w:ind w:firstLine="420"/>
      <w:contextualSpacing w:val="0"/>
      <w:jc w:val="left"/>
      <w:textAlignment w:val="baseline"/>
    </w:pPr>
    <w:rPr>
      <w:rFonts w:eastAsia="宋体"/>
      <w:kern w:val="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23.png"/><Relationship Id="rId43" Type="http://schemas.openxmlformats.org/officeDocument/2006/relationships/image" Target="media/image22.png"/><Relationship Id="rId42" Type="http://schemas.openxmlformats.org/officeDocument/2006/relationships/image" Target="media/image21.png"/><Relationship Id="rId41" Type="http://schemas.openxmlformats.org/officeDocument/2006/relationships/image" Target="media/image20.png"/><Relationship Id="rId40" Type="http://schemas.openxmlformats.org/officeDocument/2006/relationships/image" Target="media/image19.png"/><Relationship Id="rId4" Type="http://schemas.openxmlformats.org/officeDocument/2006/relationships/endnotes" Target="endnotes.xml"/><Relationship Id="rId39" Type="http://schemas.openxmlformats.org/officeDocument/2006/relationships/image" Target="media/image18.png"/><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notes" Target="footnotes.xml"/><Relationship Id="rId29" Type="http://schemas.openxmlformats.org/officeDocument/2006/relationships/image" Target="media/image8.png"/><Relationship Id="rId28" Type="http://schemas.openxmlformats.org/officeDocument/2006/relationships/image" Target="media/image7.png"/><Relationship Id="rId27" Type="http://schemas.openxmlformats.org/officeDocument/2006/relationships/image" Target="media/image6.png"/><Relationship Id="rId26" Type="http://schemas.openxmlformats.org/officeDocument/2006/relationships/image" Target="media/image5.png"/><Relationship Id="rId25" Type="http://schemas.openxmlformats.org/officeDocument/2006/relationships/image" Target="media/image4.png"/><Relationship Id="rId24" Type="http://schemas.openxmlformats.org/officeDocument/2006/relationships/image" Target="media/image3.png"/><Relationship Id="rId23" Type="http://schemas.openxmlformats.org/officeDocument/2006/relationships/image" Target="media/image2.emf"/><Relationship Id="rId22" Type="http://schemas.openxmlformats.org/officeDocument/2006/relationships/oleObject" Target="embeddings/oleObject2.bin"/><Relationship Id="rId21" Type="http://schemas.openxmlformats.org/officeDocument/2006/relationships/image" Target="media/image1.e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6.xml"/><Relationship Id="rId17" Type="http://schemas.openxmlformats.org/officeDocument/2006/relationships/header" Target="header8.xml"/><Relationship Id="rId16" Type="http://schemas.openxmlformats.org/officeDocument/2006/relationships/header" Target="header7.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8"/>
    <customShpInfo spid="_x0000_s1029"/>
    <customShpInfo spid="_x0000_s103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61CB1F-8B3D-45A8-BFF2-DD48CC1412FB}">
  <ds:schemaRefs/>
</ds:datastoreItem>
</file>

<file path=docProps/app.xml><?xml version="1.0" encoding="utf-8"?>
<Properties xmlns="http://schemas.openxmlformats.org/officeDocument/2006/extended-properties" xmlns:vt="http://schemas.openxmlformats.org/officeDocument/2006/docPropsVTypes">
  <Template>Normal.dotm</Template>
  <Pages>71</Pages>
  <Words>5111</Words>
  <Characters>29133</Characters>
  <Lines>242</Lines>
  <Paragraphs>68</Paragraphs>
  <TotalTime>4</TotalTime>
  <ScaleCrop>false</ScaleCrop>
  <LinksUpToDate>false</LinksUpToDate>
  <CharactersWithSpaces>34176</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2024-01-29T23:23:00Z</dcterms:created>
  <dc:creator>wyy</dc:creator>
  <cp:lastModifiedBy>Administrator</cp:lastModifiedBy>
  <cp:lastPrinted>2020-09-29T04:37:00Z</cp:lastPrinted>
  <dcterms:modified xsi:type="dcterms:W3CDTF">2024-03-05T07:34:04Z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F7F1F771AC16408C8132C5FB870BEA3A</vt:lpwstr>
  </property>
</Properties>
</file>